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Damora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1,193,708.00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1,193,708.00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1,193,708.00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1,193,708.00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1,193,708.00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1,193,708.00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1,193,708.00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1,193,708.00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1,193,708.00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Damora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Crecent Street, Building 23, Suite 105, Waltham, MA 02453</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$0.00001 per share ("Shares"), of Damora Therapeutics, Inc. (f/k/a Galecto, Inc.) held by an investment fund it manages; (ii) Point72 Capital Advisors, Inc. ("Point72 Capital Advisors Inc.") with respect to the Shares held by an investment fund managed by Point72 Asset Management; and (iii) Steven A. Cohen ("Mr. Cohen") with respect to the Shares beneficially owned by Point72 Asset Management and Point72 Capital Advisors Inc. Each of Cubist Systematic Strategies, LLC, Point72 (DIFC) Limited and Point72 Asia (Singapore) Pte. Ltd. are relying advisers on the Form ADV of Point72 Asset Management and each acts as a sub-advisor with respect to a portion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March 31, 2026. Point72 Asset Management, Point72 Capital Advisors Inc., and Mr. Cohen own directly no Shares. Pursuant to an investment 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2.0%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1565</Words>
  <Characters>7977</Characters>
  <CharactersWithSpaces>9496</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