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20"/>
        </w:rPr>
      </w:pPr>
      <w:bookmarkStart w:id="0" w:name="dmra-20260716.htm"/>
      <w:bookmarkStart w:id="1" w:name="ksdmra20260716"/>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sz w:val="20"/>
        </w:rPr>
      </w:pPr>
      <w:r>
        <w:rPr>
          <w:rFonts w:ascii="Times New Roman" w:hAnsi="Times New Roman"/>
          <w:b/>
          <w:color w:val="000000"/>
          <w:sz w:val="22"/>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2"/>
        </w:rPr>
        <w:t>Date of Report (Date of earliest event reported): July 16, 2026</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DAMORA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8500" w:type="dxa"/>
        <w:jc w:val="left"/>
        <w:tblInd w:w="0" w:type="dxa"/>
        <w:tblLayout w:type="fixed"/>
        <w:tblCellMar>
          <w:top w:w="28" w:type="dxa"/>
          <w:left w:w="28" w:type="dxa"/>
          <w:bottom w:w="28" w:type="dxa"/>
          <w:right w:w="28" w:type="dxa"/>
        </w:tblCellMar>
      </w:tblPr>
      <w:tblGrid>
        <w:gridCol w:w="2071"/>
        <w:gridCol w:w="146"/>
        <w:gridCol w:w="4651"/>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001-39655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37-1957007</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221 Crescent Street</w:t>
            </w:r>
          </w:p>
          <w:p>
            <w:pPr>
              <w:pStyle w:val="TableContents"/>
              <w:bidi w:val="0"/>
              <w:jc w:val="center"/>
              <w:rPr>
                <w:rFonts w:ascii="Times New Roman" w:hAnsi="Times New Roman"/>
                <w:b/>
                <w:color w:val="000000"/>
                <w:sz w:val="20"/>
              </w:rPr>
            </w:pPr>
            <w:r>
              <w:rPr>
                <w:rFonts w:ascii="Times New Roman" w:hAnsi="Times New Roman"/>
                <w:b/>
                <w:color w:val="000000"/>
                <w:sz w:val="20"/>
              </w:rPr>
              <w:t>Building 23, Suite 105</w:t>
            </w:r>
          </w:p>
          <w:p>
            <w:pPr>
              <w:pStyle w:val="TableContents"/>
              <w:bidi w:val="0"/>
              <w:jc w:val="center"/>
              <w:rPr>
                <w:rFonts w:ascii="Times New Roman" w:hAnsi="Times New Roman"/>
                <w:sz w:val="20"/>
              </w:rPr>
            </w:pPr>
            <w:r>
              <w:rPr>
                <w:rFonts w:ascii="Times New Roman" w:hAnsi="Times New Roman"/>
                <w:b/>
                <w:color w:val="000000"/>
                <w:sz w:val="20"/>
              </w:rPr>
              <w:t>Waltham, MA</w:t>
            </w:r>
            <w:r>
              <w:rPr>
                <w:rFonts w:ascii="Times New Roman" w:hAnsi="Times New Roman"/>
                <w:color w:val="000000"/>
                <w:sz w:val="20"/>
              </w:rPr>
              <w:t xml:space="preserve"> </w:t>
            </w:r>
            <w:r>
              <w:rPr>
                <w:rFonts w:ascii="Times New Roman" w:hAnsi="Times New Roman"/>
                <w:b/>
                <w:color w:val="000000"/>
                <w:sz w:val="20"/>
              </w:rPr>
              <w:t>02453</w:t>
            </w:r>
          </w:p>
          <w:p>
            <w:pPr>
              <w:pStyle w:val="TableContents"/>
              <w:bidi w:val="0"/>
              <w:spacing w:before="0" w:after="283"/>
              <w:jc w:val="center"/>
              <w:rPr>
                <w:rFonts w:ascii="Times New Roman" w:hAnsi="Times New Roman"/>
                <w:sz w:val="16"/>
              </w:rPr>
            </w:pPr>
            <w:r>
              <w:rPr>
                <w:rFonts w:ascii="Times New Roman" w:hAnsi="Times New Roman"/>
                <w:b/>
                <w:color w:val="000000"/>
                <w:sz w:val="16"/>
              </w:rPr>
              <w:t>(Address of principal executive offices, including zip code)</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(781) 281-9020</w:t>
            </w:r>
          </w:p>
          <w:p>
            <w:pPr>
              <w:pStyle w:val="TableContents"/>
              <w:bidi w:val="0"/>
              <w:spacing w:before="0" w:after="283"/>
              <w:jc w:val="center"/>
              <w:rPr>
                <w:rFonts w:ascii="Times New Roman" w:hAnsi="Times New Roman"/>
                <w:sz w:val="16"/>
              </w:rPr>
            </w:pPr>
            <w:r>
              <w:rPr>
                <w:rFonts w:ascii="Times New Roman" w:hAnsi="Times New Roman"/>
                <w:b/>
                <w:color w:val="000000"/>
                <w:sz w:val="16"/>
              </w:rPr>
              <w:t>(Registrant’s telephone number, including area code)</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661" w:type="dxa"/>
        <w:jc w:val="left"/>
        <w:tblInd w:w="0" w:type="dxa"/>
        <w:tblLayout w:type="fixed"/>
        <w:tblCellMar>
          <w:top w:w="28" w:type="dxa"/>
          <w:left w:w="28" w:type="dxa"/>
          <w:bottom w:w="28" w:type="dxa"/>
          <w:right w:w="28" w:type="dxa"/>
        </w:tblCellMar>
      </w:tblPr>
      <w:tblGrid>
        <w:gridCol w:w="4111"/>
        <w:gridCol w:w="109"/>
        <w:gridCol w:w="826"/>
        <w:gridCol w:w="109"/>
        <w:gridCol w:w="2506"/>
      </w:tblGrid>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4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Ordinary Shares, $0.00001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DMRA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spacing w:before="240" w:after="283"/>
        <w:jc w:val="left"/>
        <w:rPr>
          <w:rFonts w:ascii="Times New Roman" w:hAnsi="Times New Roman"/>
          <w:sz w:val="20"/>
        </w:rPr>
      </w:pPr>
      <w:r>
        <w:rPr>
          <w:rFonts w:ascii="Times New Roman" w:hAnsi="Times New Roman"/>
          <w:color w:val="000000"/>
          <w:sz w:val="19"/>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Emerging growth company </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sz w:val="20"/>
        </w:rPr>
      </w:pPr>
      <w:r>
        <w:rPr>
          <w:rFonts w:ascii="Times New Roman" w:hAnsi="Times New Roman"/>
          <w:color w:val="000000"/>
          <w:sz w:val="20"/>
        </w:rPr>
        <w:t>On July 16, 2026, Damora Therapeutics, Inc., a Cayman Islands exempted company (the “</w:t>
      </w:r>
      <w:r>
        <w:rPr>
          <w:rFonts w:ascii="Times New Roman" w:hAnsi="Times New Roman"/>
          <w:b/>
          <w:color w:val="000000"/>
          <w:sz w:val="20"/>
        </w:rPr>
        <w:t>Company</w:t>
      </w:r>
      <w:r>
        <w:rPr>
          <w:rFonts w:ascii="Times New Roman" w:hAnsi="Times New Roman"/>
          <w:color w:val="000000"/>
          <w:sz w:val="20"/>
        </w:rPr>
        <w:t>”), entered into indemnification agreements with each of its directors and executive officers (collectively, the “</w:t>
      </w:r>
      <w:r>
        <w:rPr>
          <w:rFonts w:ascii="Times New Roman" w:hAnsi="Times New Roman"/>
          <w:b/>
          <w:color w:val="000000"/>
          <w:sz w:val="20"/>
        </w:rPr>
        <w:t>Indemnitees</w:t>
      </w:r>
      <w:r>
        <w:rPr>
          <w:rFonts w:ascii="Times New Roman" w:hAnsi="Times New Roman"/>
          <w:color w:val="000000"/>
          <w:sz w:val="20"/>
        </w:rPr>
        <w:t>” and, the “</w:t>
      </w:r>
      <w:r>
        <w:rPr>
          <w:rFonts w:ascii="Times New Roman" w:hAnsi="Times New Roman"/>
          <w:b/>
          <w:color w:val="000000"/>
          <w:sz w:val="20"/>
        </w:rPr>
        <w:t>Indemnification Agreements</w:t>
      </w:r>
      <w:r>
        <w:rPr>
          <w:rFonts w:ascii="Times New Roman" w:hAnsi="Times New Roman"/>
          <w:color w:val="000000"/>
          <w:sz w:val="20"/>
        </w:rPr>
        <w:t>”), which replaced and superseded any previous indemnification agreements between the Company and each such individual. The Indemnification Agreements provide for certain indemnification and advancement of expenses by the Company in connection with actions or proceedings arising out of the Indemnitees’ service as directors or officers of the Company or service to other entities at the Company’s request, on the terms and subject to the conditions set forth therein.</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Indemnification Agreements is not complete and is subject to and qualified in its entirety by reference to the complete text of the Indemnification Agreements, the form of which is attached hereto as Exhibit 10.1 and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3.03 Material Modification to Rights of Security Holders.</w:t>
      </w:r>
    </w:p>
    <w:p>
      <w:pPr>
        <w:pStyle w:val="TextBody"/>
        <w:bidi w:val="0"/>
        <w:jc w:val="left"/>
        <w:rPr>
          <w:rFonts w:ascii="Times New Roman" w:hAnsi="Times New Roman"/>
          <w:sz w:val="20"/>
        </w:rPr>
      </w:pPr>
      <w:r>
        <w:rPr>
          <w:rFonts w:ascii="Times New Roman" w:hAnsi="Times New Roman"/>
          <w:color w:val="000000"/>
          <w:sz w:val="20"/>
        </w:rPr>
        <w:t>The Company held a special meeting on February 9, 2026 (the “</w:t>
      </w:r>
      <w:r>
        <w:rPr>
          <w:rFonts w:ascii="Times New Roman" w:hAnsi="Times New Roman"/>
          <w:b/>
          <w:color w:val="000000"/>
          <w:sz w:val="20"/>
        </w:rPr>
        <w:t>Special Meeting</w:t>
      </w:r>
      <w:r>
        <w:rPr>
          <w:rFonts w:ascii="Times New Roman" w:hAnsi="Times New Roman"/>
          <w:color w:val="000000"/>
          <w:sz w:val="20"/>
        </w:rPr>
        <w:t>”) to approve all of the proposals in its definitive proxy statement filed on Form DEF 14A with the U.S. Securities and Exchange Commission (the “</w:t>
      </w:r>
      <w:r>
        <w:rPr>
          <w:rFonts w:ascii="Times New Roman" w:hAnsi="Times New Roman"/>
          <w:b/>
          <w:color w:val="000000"/>
          <w:sz w:val="20"/>
        </w:rPr>
        <w:t>SEC</w:t>
      </w:r>
      <w:r>
        <w:rPr>
          <w:rFonts w:ascii="Times New Roman" w:hAnsi="Times New Roman"/>
          <w:color w:val="000000"/>
          <w:sz w:val="20"/>
        </w:rPr>
        <w:t>”) on December 31, 2025 (the “</w:t>
      </w:r>
      <w:r>
        <w:rPr>
          <w:rFonts w:ascii="Times New Roman" w:hAnsi="Times New Roman"/>
          <w:b/>
          <w:color w:val="000000"/>
          <w:sz w:val="20"/>
        </w:rPr>
        <w:t>Proxy Statement</w:t>
      </w:r>
      <w:r>
        <w:rPr>
          <w:rFonts w:ascii="Times New Roman" w:hAnsi="Times New Roman"/>
          <w:color w:val="000000"/>
          <w:sz w:val="20"/>
        </w:rPr>
        <w:t>”). At the Special Meeting, the Company’s stockholders approved, among other matters, the redomestication of the Company from the State of Delaware to the Cayman Islands by conversion and by way of continuation (the “</w:t>
      </w:r>
      <w:r>
        <w:rPr>
          <w:rFonts w:ascii="Times New Roman" w:hAnsi="Times New Roman"/>
          <w:b/>
          <w:color w:val="000000"/>
          <w:sz w:val="20"/>
        </w:rPr>
        <w:t>Redomestication</w:t>
      </w:r>
      <w:r>
        <w:rPr>
          <w:rFonts w:ascii="Times New Roman" w:hAnsi="Times New Roman"/>
          <w:color w:val="000000"/>
          <w:sz w:val="20"/>
        </w:rPr>
        <w:t>”) by means of a plan of conversion (the “</w:t>
      </w:r>
      <w:r>
        <w:rPr>
          <w:rFonts w:ascii="Times New Roman" w:hAnsi="Times New Roman"/>
          <w:b/>
          <w:color w:val="000000"/>
          <w:sz w:val="20"/>
        </w:rPr>
        <w:t>Plan of Conversion</w:t>
      </w:r>
      <w:r>
        <w:rPr>
          <w:rFonts w:ascii="Times New Roman" w:hAnsi="Times New Roman"/>
          <w:color w:val="000000"/>
          <w:sz w:val="20"/>
        </w:rPr>
        <w:t>”), as described in the Proxy Statement. Pursuant to the Plan of Conversion, to effect the Redomestication, the Company (i) filed a Certificate of Conversion with the Secretary of State of the State of Delaware (the “</w:t>
      </w:r>
      <w:r>
        <w:rPr>
          <w:rFonts w:ascii="Times New Roman" w:hAnsi="Times New Roman"/>
          <w:b/>
          <w:color w:val="000000"/>
          <w:sz w:val="20"/>
        </w:rPr>
        <w:t>Certificate of Conversion</w:t>
      </w:r>
      <w:r>
        <w:rPr>
          <w:rFonts w:ascii="Times New Roman" w:hAnsi="Times New Roman"/>
          <w:color w:val="000000"/>
          <w:sz w:val="20"/>
        </w:rPr>
        <w:t>”), with an effective time of 4:45 p.m., Eastern Daylight Time, on July 16, 2026, and (ii) filed the Company’s Cayman Islands memorandum and articles of association (the “</w:t>
      </w:r>
      <w:r>
        <w:rPr>
          <w:rFonts w:ascii="Times New Roman" w:hAnsi="Times New Roman"/>
          <w:b/>
          <w:color w:val="000000"/>
          <w:sz w:val="20"/>
        </w:rPr>
        <w:t>Cayman Articles</w:t>
      </w:r>
      <w:r>
        <w:rPr>
          <w:rFonts w:ascii="Times New Roman" w:hAnsi="Times New Roman"/>
          <w:color w:val="000000"/>
          <w:sz w:val="20"/>
        </w:rPr>
        <w:t>”) with the Cayman Islands Registrar of Companies, with an effective date of July 16, 2026. The Company also filed certificates of designation with the Cayman Islands Registrar of Companies designating the Company’s Series A Non-Voting Convertible Preferred Shares, Series B Non-Voting Convertible Preferred Shares, and Series C Non-Voting Convertible Preferred Shares, each with an effective date of July 16, 2026 (the “</w:t>
      </w:r>
      <w:r>
        <w:rPr>
          <w:rFonts w:ascii="Times New Roman" w:hAnsi="Times New Roman"/>
          <w:b/>
          <w:color w:val="000000"/>
          <w:sz w:val="20"/>
        </w:rPr>
        <w:t>Cayman Certificates of Designation</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Following the Redomestication, the Company’s ordinary shares commenced trading at the open of trading on July 20, 2026, at which time the Company ordinary shares were represented by a new CUSIP number (G2646Y104).</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Through the adoption of the Plan of Conversion, from the effective time of the Redomestication:</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The Company continues its existence as a Cayman Islands exempted company (the “</w:t>
      </w:r>
      <w:r>
        <w:rPr>
          <w:rFonts w:ascii="Times New Roman" w:hAnsi="Times New Roman"/>
          <w:b/>
          <w:color w:val="000000"/>
          <w:sz w:val="20"/>
        </w:rPr>
        <w:t>Cayman Company</w:t>
      </w:r>
      <w:r>
        <w:rPr>
          <w:color w:val="000000"/>
        </w:rPr>
        <w:t>”</w:t>
      </w:r>
      <w:r>
        <w:rPr>
          <w:rFonts w:ascii="Times New Roman" w:hAnsi="Times New Roman"/>
          <w:color w:val="000000"/>
          <w:sz w:val="20"/>
        </w:rPr>
        <w:t>) and continues to operate its business under the name “Damora Therapeutics, Inc.”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internal affairs of the Company ceased to be governed by Delaware law and instead are governed by Cayman Islands law.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ceased to be governed by the Company’s amended and restated certificate of incorporation and the Company’s amended and restated by-laws and instead is governed by the provisions of the Cayman Articles.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Redomestication did not result in any change in the Company’s business, management, obligations, assets or liabilities (other than as a result of the transaction costs related to the Redomestication).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continues to be treated as a U.S. corporation for all purposes under the Internal Revenue Code of 1986, as amended.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Each outstanding share of Company common stock automatically converted into one ordinary share, par value $0.00001 per share, of the Cayman Company (the “</w:t>
      </w:r>
      <w:r>
        <w:rPr>
          <w:rFonts w:ascii="Times New Roman" w:hAnsi="Times New Roman"/>
          <w:b/>
          <w:color w:val="000000"/>
          <w:sz w:val="20"/>
        </w:rPr>
        <w:t>Company ordinary shares</w:t>
      </w:r>
      <w:r>
        <w:rPr>
          <w:color w:val="000000"/>
        </w:rPr>
        <w:t>”</w:t>
      </w:r>
      <w:r>
        <w:rPr>
          <w:rFonts w:ascii="Times New Roman" w:hAnsi="Times New Roman"/>
          <w:color w:val="000000"/>
          <w:sz w:val="20"/>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outstanding share of any series of Company preferred stock automatically converted into one outstanding share of the corresponding series of the preferred shares of the Cayman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Shareholders of the Company are not required to exchange their existing stock certificates (if any) for new share certificates.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outstanding option or right to acquire shares of Company common stock continues in existence in the form of and automatically becomes an option or right to acquire an equal number of Company ordinary shares under the same terms and conditions.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outstanding restricted stock unit of the Company continues in existence in the form of and automatically becomes a restricted stock unit of the Cayman Company under the same terms and conditions.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Cayman Company continues to be a publicly held company and will continue to file required periodic reports and other documents with the SEC. The Cayman Company and its shareholders are in the same respective positions under the federal securities laws as before the Redomestication. </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ordinary shares resulting from the Redomestication continue to be traded on Nasdaq under the symbol “DMRA.” Other than the trading of the Company ordinary shares under a new CUSIP number (G2646Y104) beginning at the open of trading on July 20, 2026, the Redomestication did not cause any interruption in the trading of such Company ordinary shares.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Company’s management, including all directors and officers, remain the same in connection with the Redomestication and have the same positions with the Cayman Company.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Redomestication did not affect any of the Company’s material contracts with any third parties, and the Company’s rights and obligations under those material contractual arrangements continue as rights and obligations of the Cayman Company.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Redomestication did not have any material accounting implications.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rights of the Company’s shareholders were changed as a result of the Redomestication. A more detailed description of the Plan of Conversion, Cayman Articles, and the effects of the Redomestication, is set forth in Proposal No. 3 of the Proxy Statement beginning on page 101, and the description contained therein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descriptions of the Plan of Conversion, Cayman Articles, and Cayman Certificates of Designation do not purport to be complete and are subject to and qualified in their entirety by the full text of the Plan of Conversion, Cayman Articles, and Cayman Certificates of Designation, copies of which are attached hereto as Exhibits 2.1, 3.1, 3.2, 3.3, and 3.4, respectively, and are incorporated herein by reference.</w:t>
      </w:r>
    </w:p>
    <w:p>
      <w:pPr>
        <w:pStyle w:val="TextBody"/>
        <w:bidi w:val="0"/>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Item 3.03 of this Current Report on Form 8-K is incorporated herein by reference.</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July 17, 2026, the Company issued a press release announcing the consummation of the Redomestication, which is included in this Current Report on Form 8-K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exhibit furnished under Item 7.01 of this Current Report on Form 8-K shall not be deemed to be “filed” for purposes of Section 18 of the Exchange Act or otherwise subject to the liabilities of that section, nor shall it be deemed incorporated by reference in any filing under the Exchange Act or the Securities Act regardless of any general incorporation language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09"/>
        <w:gridCol w:w="9345"/>
      </w:tblGrid>
      <w:tr>
        <w:trPr/>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5"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09" w:type="dxa"/>
            <w:tcBorders>
              <w:bottom w:val="single" w:sz="12" w:space="0" w:color="000000"/>
            </w:tcBorders>
            <w:tcMar>
              <w:top w:w="0" w:type="dxa"/>
              <w:left w:w="0" w:type="dxa"/>
              <w:bottom w:w="29" w:type="dxa"/>
              <w:right w:w="0" w:type="dxa"/>
            </w:tcMar>
            <w:vAlign w:val="center"/>
          </w:tcPr>
          <w:p>
            <w:pPr>
              <w:pStyle w:val="TableContents"/>
              <w:bidi w:val="0"/>
              <w:spacing w:before="0" w:after="283"/>
              <w:jc w:val="left"/>
              <w:rPr>
                <w:sz w:val="4"/>
                <w:szCs w:val="4"/>
              </w:rPr>
            </w:pPr>
            <w:r>
              <w:rPr>
                <w:sz w:val="4"/>
                <w:szCs w:val="4"/>
              </w:rPr>
            </w:r>
          </w:p>
        </w:tc>
        <w:tc>
          <w:tcPr>
            <w:tcW w:w="934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2_1.htm">
              <w:r>
                <w:rPr>
                  <w:rStyle w:val="InternetLink"/>
                  <w:rFonts w:ascii="Times New Roman" w:hAnsi="Times New Roman"/>
                  <w:color w:val="0000FF"/>
                  <w:sz w:val="20"/>
                  <w:u w:val="single"/>
                </w:rPr>
                <w:t>Plan of Conversion.</w:t>
              </w:r>
            </w:hyperlink>
            <w:hyperlink w:anchor="dmra-ex2_1.htm">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3_1.htm">
              <w:r>
                <w:rPr>
                  <w:rStyle w:val="InternetLink"/>
                  <w:rFonts w:ascii="Times New Roman" w:hAnsi="Times New Roman"/>
                  <w:color w:val="0000FF"/>
                  <w:sz w:val="20"/>
                  <w:u w:val="single"/>
                </w:rPr>
                <w:t>Cayman Memorandum and Articles of Association.</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3_2.htm">
              <w:r>
                <w:rPr>
                  <w:rStyle w:val="InternetLink"/>
                  <w:rFonts w:ascii="Times New Roman" w:hAnsi="Times New Roman"/>
                  <w:color w:val="0000FF"/>
                  <w:sz w:val="20"/>
                  <w:u w:val="single"/>
                </w:rPr>
                <w:t>Cayman Certificate of Designation of Preferences, Rights and Limitations of Series A Non-Voting Convertible Preferred Shares, effective July 16,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3_3.htm">
              <w:r>
                <w:rPr>
                  <w:rStyle w:val="InternetLink"/>
                  <w:rFonts w:ascii="Times New Roman" w:hAnsi="Times New Roman"/>
                  <w:color w:val="0000FF"/>
                  <w:sz w:val="20"/>
                  <w:u w:val="single"/>
                </w:rPr>
                <w:t>Cayman Certificate of Designation of Preferences, Rights and Limitations of Series B Non-Voting Convertible Preferred Shares, effective July 16,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3_4.htm">
              <w:r>
                <w:rPr>
                  <w:rStyle w:val="InternetLink"/>
                  <w:rFonts w:ascii="Times New Roman" w:hAnsi="Times New Roman"/>
                  <w:color w:val="0000FF"/>
                  <w:sz w:val="20"/>
                  <w:u w:val="single"/>
                </w:rPr>
                <w:t>Cayman Certificate of Designation of Preferences, Rights and Limitations of Series C Non-Voting Convertible Preferred Shares, effective July 16,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10_1.htm">
              <w:r>
                <w:rPr>
                  <w:rStyle w:val="InternetLink"/>
                  <w:rFonts w:ascii="Times New Roman" w:hAnsi="Times New Roman"/>
                  <w:color w:val="0000FF"/>
                  <w:sz w:val="20"/>
                  <w:u w:val="single"/>
                </w:rPr>
                <w:t>Form of Indemnification Agreement for directors and officers.</w:t>
              </w:r>
            </w:hyperlink>
            <w:hyperlink w:anchor="dmra-ex10_1.htm">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pPr>
            <w:hyperlink w:anchor="dmra-ex99_1.htm">
              <w:r>
                <w:rPr>
                  <w:rStyle w:val="InternetLink"/>
                  <w:rFonts w:ascii="Times New Roman" w:hAnsi="Times New Roman"/>
                  <w:color w:val="0000FF"/>
                  <w:sz w:val="20"/>
                  <w:u w:val="single"/>
                </w:rPr>
                <w:t>Press Release, issued on July 17,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912" w:type="dxa"/>
        <w:jc w:val="left"/>
        <w:tblInd w:w="0" w:type="dxa"/>
        <w:tblLayout w:type="fixed"/>
        <w:tblCellMar>
          <w:top w:w="28" w:type="dxa"/>
          <w:left w:w="28" w:type="dxa"/>
          <w:bottom w:w="28" w:type="dxa"/>
          <w:right w:w="28" w:type="dxa"/>
        </w:tblCellMar>
      </w:tblPr>
      <w:tblGrid>
        <w:gridCol w:w="1711"/>
        <w:gridCol w:w="146"/>
        <w:gridCol w:w="146"/>
        <w:gridCol w:w="146"/>
        <w:gridCol w:w="406"/>
        <w:gridCol w:w="14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Damora Therapeutics,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Jarrett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Jarrett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dmra-ex2_1.htm"/>
      <w:bookmarkStart w:id="3" w:name="ksdmraex2_1"/>
      <w:bookmarkEnd w:id="2"/>
      <w:bookmarkEnd w:id="3"/>
      <w:r>
        <w:rPr>
          <w:rFonts w:ascii="Times New Roman" w:hAnsi="Times New Roman"/>
          <w:b/>
          <w:color w:val="000000"/>
          <w:sz w:val="22"/>
        </w:rPr>
        <w:t>Exhibit 2.1</w:t>
      </w:r>
      <w:r>
        <w:br w:type="page"/>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PLAN OF CONVERSION</w:t>
      </w:r>
    </w:p>
    <w:p>
      <w:pPr>
        <w:pStyle w:val="TextBody"/>
        <w:bidi w:val="0"/>
        <w:spacing w:before="0" w:after="160"/>
        <w:jc w:val="left"/>
        <w:rPr>
          <w:rFonts w:ascii="Times New Roman" w:hAnsi="Times New Roman"/>
          <w:sz w:val="20"/>
        </w:rPr>
      </w:pPr>
      <w:r>
        <w:rPr>
          <w:rFonts w:ascii="Times New Roman" w:hAnsi="Times New Roman"/>
          <w:color w:val="000000"/>
          <w:sz w:val="24"/>
        </w:rPr>
        <w:t>This Plan of Conversion (this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is adopted as of July 16, 2026 and sets forth certain terms of the conversion of Damora Therapeutics, Inc., a Delaware corporation (the “</w:t>
      </w:r>
      <w:r>
        <w:rPr>
          <w:rFonts w:ascii="Times New Roman" w:hAnsi="Times New Roman"/>
          <w:b/>
          <w:color w:val="000000"/>
          <w:sz w:val="24"/>
        </w:rPr>
        <w:t>Delaware Corporation</w:t>
      </w:r>
      <w:r>
        <w:rPr>
          <w:rFonts w:ascii="Times New Roman" w:hAnsi="Times New Roman"/>
          <w:color w:val="000000"/>
          <w:sz w:val="20"/>
        </w:rPr>
        <w:t>”</w:t>
      </w:r>
      <w:r>
        <w:rPr>
          <w:rFonts w:ascii="Times New Roman" w:hAnsi="Times New Roman"/>
          <w:color w:val="000000"/>
          <w:sz w:val="24"/>
        </w:rPr>
        <w:t>), to a Cayman Islands exempted company (the “</w:t>
      </w:r>
      <w:r>
        <w:rPr>
          <w:rFonts w:ascii="Times New Roman" w:hAnsi="Times New Roman"/>
          <w:b/>
          <w:color w:val="000000"/>
          <w:sz w:val="24"/>
        </w:rPr>
        <w:t>Cayman Company</w:t>
      </w:r>
      <w:r>
        <w:rPr>
          <w:rFonts w:ascii="Times New Roman" w:hAnsi="Times New Roman"/>
          <w:color w:val="000000"/>
          <w:sz w:val="20"/>
        </w:rPr>
        <w:t>”</w:t>
      </w:r>
      <w:r>
        <w:rPr>
          <w:rFonts w:ascii="Times New Roman" w:hAnsi="Times New Roman"/>
          <w:color w:val="000000"/>
          <w:sz w:val="24"/>
        </w:rPr>
        <w:t>), pursuant to the terms of the General Corporation Law of the State of Delaware (as amended,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 and Part XII of the Companies Act of the Cayman Islands (as amended, the “</w:t>
      </w:r>
      <w:r>
        <w:rPr>
          <w:rFonts w:ascii="Times New Roman" w:hAnsi="Times New Roman"/>
          <w:b/>
          <w:color w:val="000000"/>
          <w:sz w:val="24"/>
        </w:rPr>
        <w:t>Companies Act</w:t>
      </w:r>
      <w:r>
        <w:rPr>
          <w:rFonts w:ascii="Times New Roman" w:hAnsi="Times New Roman"/>
          <w:color w:val="000000"/>
          <w:sz w:val="20"/>
        </w:rPr>
        <w:t>”</w:t>
      </w:r>
      <w:r>
        <w:rPr>
          <w:rFonts w:ascii="Times New Roman" w:hAnsi="Times New Roman"/>
          <w:color w:val="000000"/>
          <w:sz w:val="24"/>
        </w:rPr>
        <w:t>).</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 The Delaware Corporation was incorporated on October 16, 2019.</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B. Upon the terms and subject to the conditions set forth in this Plan, and in accordance with Section 266 of the DGCL and Part XII of the Companies Act, the Delaware Corporation will be converted to a Cayman Company.</w:t>
      </w:r>
    </w:p>
    <w:p>
      <w:pPr>
        <w:pStyle w:val="TextBody"/>
        <w:bidi w:val="0"/>
        <w:spacing w:before="0" w:after="160"/>
        <w:jc w:val="left"/>
        <w:rPr>
          <w:rFonts w:ascii="Times New Roman" w:hAnsi="Times New Roman"/>
          <w:sz w:val="20"/>
        </w:rPr>
      </w:pPr>
      <w:r>
        <w:rPr>
          <w:rFonts w:ascii="Times New Roman" w:hAnsi="Times New Roman"/>
          <w:color w:val="000000"/>
          <w:sz w:val="24"/>
        </w:rPr>
        <w:t>C. The Board of Directors of the Delaware Corporation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has unanimously (i) determined that the Conversion (as defined below) is advisable and in the best interests of the Delaware Corporation and its stockholders and recommended the approval of the Conversion by the stockholders of the Delaware Corporation and (ii) approved and adopted this Plan, the Conversion and the other documents and transactions contemplated by this Plan, including the Cayman Articles, the Cayman Series A Certificate of Designation, the Cayman Series B Certificate of Designation, the Cayman Series C Certificate of Designation, and the Delaware Certificate of Conversion (as each is defined below).</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D. The stockholders of the Delaware Corporation have approved and adopted this Plan, the Conversion and the other documents and transactions contemplated by this Plan, including the Cayman Articles, the Cayman Series A Certificate of Designation, the Cayman Series B Certificate of Designation, the Cayman Series C Certificate of Designation, and the Delaware Certificate of Conversion.</w:t>
      </w:r>
    </w:p>
    <w:p>
      <w:pPr>
        <w:pStyle w:val="TextBody"/>
        <w:bidi w:val="0"/>
        <w:spacing w:before="0" w:after="160"/>
        <w:jc w:val="left"/>
        <w:rPr>
          <w:rFonts w:ascii="Times New Roman" w:hAnsi="Times New Roman"/>
          <w:sz w:val="20"/>
        </w:rPr>
      </w:pPr>
      <w:r>
        <w:rPr>
          <w:rFonts w:ascii="Times New Roman" w:hAnsi="Times New Roman"/>
          <w:color w:val="000000"/>
          <w:sz w:val="24"/>
        </w:rPr>
        <w:t>E. In connection with the Conversion, on the Effective Date (as defined below), each share of Common Stock, par value $0.00001 per share (the “</w:t>
      </w:r>
      <w:r>
        <w:rPr>
          <w:rFonts w:ascii="Times New Roman" w:hAnsi="Times New Roman"/>
          <w:b/>
          <w:color w:val="000000"/>
          <w:sz w:val="24"/>
        </w:rPr>
        <w:t>Delaware Common Stock</w:t>
      </w:r>
      <w:r>
        <w:rPr>
          <w:rFonts w:ascii="Times New Roman" w:hAnsi="Times New Roman"/>
          <w:color w:val="000000"/>
          <w:sz w:val="20"/>
        </w:rPr>
        <w:t>”</w:t>
      </w:r>
      <w:r>
        <w:rPr>
          <w:rFonts w:ascii="Times New Roman" w:hAnsi="Times New Roman"/>
          <w:color w:val="000000"/>
          <w:sz w:val="24"/>
        </w:rPr>
        <w:t>), Series A Preferred Stock, par value $0.00001 per share (the “</w:t>
      </w:r>
      <w:r>
        <w:rPr>
          <w:rFonts w:ascii="Times New Roman" w:hAnsi="Times New Roman"/>
          <w:b/>
          <w:color w:val="000000"/>
          <w:sz w:val="24"/>
        </w:rPr>
        <w:t>Delaware Series A Preferred Stock</w:t>
      </w:r>
      <w:r>
        <w:rPr>
          <w:rFonts w:ascii="Times New Roman" w:hAnsi="Times New Roman"/>
          <w:color w:val="000000"/>
          <w:sz w:val="20"/>
        </w:rPr>
        <w:t>”</w:t>
      </w:r>
      <w:r>
        <w:rPr>
          <w:rFonts w:ascii="Times New Roman" w:hAnsi="Times New Roman"/>
          <w:color w:val="000000"/>
          <w:sz w:val="24"/>
        </w:rPr>
        <w:t>), Series B Preferred Stock, par value $0.00001 per share (the “</w:t>
      </w:r>
      <w:r>
        <w:rPr>
          <w:rFonts w:ascii="Times New Roman" w:hAnsi="Times New Roman"/>
          <w:b/>
          <w:color w:val="000000"/>
          <w:sz w:val="24"/>
        </w:rPr>
        <w:t>Delaware Series B Preferred Stock</w:t>
      </w:r>
      <w:r>
        <w:rPr>
          <w:rFonts w:ascii="Times New Roman" w:hAnsi="Times New Roman"/>
          <w:color w:val="000000"/>
          <w:sz w:val="20"/>
        </w:rPr>
        <w:t>”</w:t>
      </w:r>
      <w:r>
        <w:rPr>
          <w:rFonts w:ascii="Times New Roman" w:hAnsi="Times New Roman"/>
          <w:color w:val="000000"/>
          <w:sz w:val="24"/>
        </w:rPr>
        <w:t>), and Series C Preferred Stock, par value $0.00001 per share (the “</w:t>
      </w:r>
      <w:r>
        <w:rPr>
          <w:rFonts w:ascii="Times New Roman" w:hAnsi="Times New Roman"/>
          <w:b/>
          <w:color w:val="000000"/>
          <w:sz w:val="24"/>
        </w:rPr>
        <w:t>Delaware Series C Preferred Stock</w:t>
      </w:r>
      <w:r>
        <w:rPr>
          <w:rFonts w:ascii="Times New Roman" w:hAnsi="Times New Roman"/>
          <w:color w:val="000000"/>
          <w:sz w:val="20"/>
        </w:rPr>
        <w:t>”</w:t>
      </w:r>
      <w:r>
        <w:rPr>
          <w:rFonts w:ascii="Times New Roman" w:hAnsi="Times New Roman"/>
          <w:color w:val="000000"/>
          <w:sz w:val="24"/>
        </w:rPr>
        <w:t>), of the Delaware Corporation issued and outstanding (or held in treasury) immediately prior to the Effective Date shall be converted into one Ordinary Share, par value $0.00001 per share (the “</w:t>
      </w:r>
      <w:r>
        <w:rPr>
          <w:rFonts w:ascii="Times New Roman" w:hAnsi="Times New Roman"/>
          <w:b/>
          <w:color w:val="000000"/>
          <w:sz w:val="24"/>
        </w:rPr>
        <w:t>Cayman Ordinary Shares</w:t>
      </w:r>
      <w:r>
        <w:rPr>
          <w:rFonts w:ascii="Times New Roman" w:hAnsi="Times New Roman"/>
          <w:color w:val="000000"/>
          <w:sz w:val="20"/>
        </w:rPr>
        <w:t>”</w:t>
      </w:r>
      <w:r>
        <w:rPr>
          <w:rFonts w:ascii="Times New Roman" w:hAnsi="Times New Roman"/>
          <w:color w:val="000000"/>
          <w:sz w:val="24"/>
        </w:rPr>
        <w:t>), one Series A Preference Share, par value $0.00001 per share (the “</w:t>
      </w:r>
      <w:r>
        <w:rPr>
          <w:rFonts w:ascii="Times New Roman" w:hAnsi="Times New Roman"/>
          <w:b/>
          <w:color w:val="000000"/>
          <w:sz w:val="24"/>
        </w:rPr>
        <w:t>Cayman Series A Preferred Shares</w:t>
      </w:r>
      <w:r>
        <w:rPr>
          <w:rFonts w:ascii="Times New Roman" w:hAnsi="Times New Roman"/>
          <w:color w:val="000000"/>
          <w:sz w:val="20"/>
        </w:rPr>
        <w:t>”</w:t>
      </w:r>
      <w:r>
        <w:rPr>
          <w:rFonts w:ascii="Times New Roman" w:hAnsi="Times New Roman"/>
          <w:color w:val="000000"/>
          <w:sz w:val="24"/>
        </w:rPr>
        <w:t>), one Series B Preference Share, par value $0.00001 per share (the “</w:t>
      </w:r>
      <w:r>
        <w:rPr>
          <w:rFonts w:ascii="Times New Roman" w:hAnsi="Times New Roman"/>
          <w:b/>
          <w:color w:val="000000"/>
          <w:sz w:val="24"/>
        </w:rPr>
        <w:t>Cayman Series B Preferred Shares</w:t>
      </w:r>
      <w:r>
        <w:rPr>
          <w:rFonts w:ascii="Times New Roman" w:hAnsi="Times New Roman"/>
          <w:color w:val="000000"/>
          <w:sz w:val="20"/>
        </w:rPr>
        <w:t>”</w:t>
      </w:r>
      <w:r>
        <w:rPr>
          <w:rFonts w:ascii="Times New Roman" w:hAnsi="Times New Roman"/>
          <w:color w:val="000000"/>
          <w:sz w:val="24"/>
        </w:rPr>
        <w:t>), and one Series C Preference Share, par value $0.00001 per share (the “</w:t>
      </w:r>
      <w:r>
        <w:rPr>
          <w:rFonts w:ascii="Times New Roman" w:hAnsi="Times New Roman"/>
          <w:b/>
          <w:color w:val="000000"/>
          <w:sz w:val="24"/>
        </w:rPr>
        <w:t>Cayman Series C Preferred Shares</w:t>
      </w:r>
      <w:r>
        <w:rPr>
          <w:rFonts w:ascii="Times New Roman" w:hAnsi="Times New Roman"/>
          <w:color w:val="000000"/>
          <w:sz w:val="20"/>
        </w:rPr>
        <w:t>”</w:t>
      </w:r>
      <w:r>
        <w:rPr>
          <w:rFonts w:ascii="Times New Roman" w:hAnsi="Times New Roman"/>
          <w:color w:val="000000"/>
          <w:sz w:val="24"/>
        </w:rPr>
        <w:t>), respectively, of the Cayman Company.</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 The mode of carrying out the Conversion into effect shall be as described in this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THE CONVERSION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Conversion</w:t>
      </w:r>
      <w:r>
        <w:rPr>
          <w:rFonts w:ascii="Times New Roman" w:hAnsi="Times New Roman"/>
          <w:color w:val="000000"/>
          <w:sz w:val="24"/>
        </w:rPr>
        <w:t>. On the Effective Date, the Delaware Corporation will be converted to the Cayman Company by way of continuation of the Company from a corporation organized under the laws of the State of Delaware to an exempted company incorporated under the laws of the Cayman Islands, pursuant to, and in accordance with, Section 266 of the DGCL and Part XII of the Companies Act (the “</w:t>
      </w:r>
      <w:r>
        <w:rPr>
          <w:rFonts w:ascii="Times New Roman" w:hAnsi="Times New Roman"/>
          <w:b/>
          <w:color w:val="000000"/>
          <w:sz w:val="24"/>
        </w:rPr>
        <w:t>Conversion</w:t>
      </w:r>
      <w:r>
        <w:rPr>
          <w:rFonts w:ascii="Times New Roman" w:hAnsi="Times New Roman"/>
          <w:color w:val="000000"/>
          <w:sz w:val="20"/>
        </w:rPr>
        <w:t>”</w:t>
      </w:r>
      <w:r>
        <w:rPr>
          <w:rFonts w:ascii="Times New Roman" w:hAnsi="Times New Roman"/>
          <w:color w:val="000000"/>
          <w:sz w:val="24"/>
        </w:rPr>
        <w:t>). The Board and the stockholders of the Delaware Corporation have approved and adopted this Plan, the Conversion and the other documents and transactions contemplated by this Plan, including the Cayman Articles, the Cayman Series A Certificate of Designation, the Cayman Series B Certificate of Designation, the Cayman Series C Certificate of Designation and the Delaware Certificate of Conversion.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Certificate of Conversion</w:t>
      </w:r>
      <w:r>
        <w:rPr>
          <w:rFonts w:ascii="Times New Roman" w:hAnsi="Times New Roman"/>
          <w:color w:val="000000"/>
          <w:sz w:val="24"/>
        </w:rPr>
        <w:t xml:space="preserve">. The Delaware Corporation shall file a certificate of conversion in the form attached hereto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Delaware Certificate of Conversion</w:t>
      </w:r>
      <w:r>
        <w:rPr>
          <w:rFonts w:ascii="Times New Roman" w:hAnsi="Times New Roman"/>
          <w:color w:val="000000"/>
          <w:sz w:val="20"/>
        </w:rPr>
        <w:t>”</w:t>
      </w:r>
      <w:r>
        <w:rPr>
          <w:rFonts w:ascii="Times New Roman" w:hAnsi="Times New Roman"/>
          <w:color w:val="000000"/>
          <w:sz w:val="24"/>
        </w:rPr>
        <w:t>) with the Secretary of State of the State of Delaware (the “</w:t>
      </w:r>
      <w:r>
        <w:rPr>
          <w:rFonts w:ascii="Times New Roman" w:hAnsi="Times New Roman"/>
          <w:b/>
          <w:color w:val="000000"/>
          <w:sz w:val="24"/>
        </w:rPr>
        <w:t>Delaware Secretary of State</w:t>
      </w:r>
      <w:r>
        <w:rPr>
          <w:rFonts w:ascii="Times New Roman" w:hAnsi="Times New Roman"/>
          <w:color w:val="000000"/>
          <w:sz w:val="20"/>
        </w:rPr>
        <w:t>”</w:t>
      </w:r>
      <w:r>
        <w:rPr>
          <w:rFonts w:ascii="Times New Roman" w:hAnsi="Times New Roman"/>
          <w:color w:val="000000"/>
          <w:sz w:val="24"/>
        </w:rPr>
        <w:t xml:space="preserve">) and shall file the memorandum and articles of association in the form attached hereto as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Cayman Articles</w:t>
      </w:r>
      <w:r>
        <w:rPr>
          <w:rFonts w:ascii="Times New Roman" w:hAnsi="Times New Roman"/>
          <w:color w:val="000000"/>
          <w:sz w:val="20"/>
        </w:rPr>
        <w:t>”</w:t>
      </w:r>
      <w:r>
        <w:rPr>
          <w:rFonts w:ascii="Times New Roman" w:hAnsi="Times New Roman"/>
          <w:color w:val="000000"/>
          <w:sz w:val="24"/>
        </w:rPr>
        <w:t>) and any and all documents required to be filed with the Cayman Islands Registrar of Companies in connection with the Conversion and the Delaware Corporation or the Cayman Company, as applicable, shall make all other filings or recordings required by the DGCL or the Companies Act in connection with the Conversion.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rPr>
        <w:t>Effective Date</w:t>
      </w:r>
      <w:r>
        <w:rPr>
          <w:rFonts w:ascii="Times New Roman" w:hAnsi="Times New Roman"/>
          <w:color w:val="000000"/>
          <w:sz w:val="24"/>
        </w:rPr>
        <w:t>. The Conversion will become effective upon the filing of the Delaware Certificate of Conversion with the Delaware Secretary of State and the issuance of a certificate of continuation by the Cayman Islands Registrar of Companies (the “</w:t>
      </w:r>
      <w:r>
        <w:rPr>
          <w:rFonts w:ascii="Times New Roman" w:hAnsi="Times New Roman"/>
          <w:b/>
          <w:color w:val="000000"/>
          <w:sz w:val="24"/>
        </w:rPr>
        <w:t>Cayman</w:t>
      </w:r>
      <w:r>
        <w:rPr>
          <w:rFonts w:ascii="Times New Roman" w:hAnsi="Times New Roman"/>
          <w:color w:val="000000"/>
          <w:sz w:val="20"/>
        </w:rPr>
        <w:t xml:space="preserve"> </w:t>
      </w:r>
      <w:r>
        <w:rPr>
          <w:rFonts w:ascii="Times New Roman" w:hAnsi="Times New Roman"/>
          <w:b/>
          <w:color w:val="000000"/>
          <w:sz w:val="24"/>
        </w:rPr>
        <w:t>Certificate of Continuation</w:t>
      </w:r>
      <w:r>
        <w:rPr>
          <w:rFonts w:ascii="Times New Roman" w:hAnsi="Times New Roman"/>
          <w:color w:val="000000"/>
          <w:sz w:val="20"/>
        </w:rPr>
        <w:t>”</w:t>
      </w:r>
      <w:r>
        <w:rPr>
          <w:rFonts w:ascii="Times New Roman" w:hAnsi="Times New Roman"/>
          <w:color w:val="000000"/>
          <w:sz w:val="24"/>
        </w:rPr>
        <w:t>) or at such later date and/or time as specified in the Delaware Certificate of Conversion and the Cayman Certificate of Continuation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ORGANIZATION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Cayman Governing Documents</w:t>
      </w:r>
      <w:r>
        <w:rPr>
          <w:rFonts w:ascii="Times New Roman" w:hAnsi="Times New Roman"/>
          <w:color w:val="000000"/>
          <w:sz w:val="24"/>
        </w:rPr>
        <w:t xml:space="preserve">. On the Effective Date, the Cayman Articles, including the Certificate of Designation of Series A Preferred Shares attached hereto as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Cayman Series A Certificate of Designation</w:t>
      </w:r>
      <w:r>
        <w:rPr>
          <w:rFonts w:ascii="Times New Roman" w:hAnsi="Times New Roman"/>
          <w:color w:val="000000"/>
          <w:sz w:val="20"/>
        </w:rPr>
        <w:t>”</w:t>
      </w:r>
      <w:r>
        <w:rPr>
          <w:rFonts w:ascii="Times New Roman" w:hAnsi="Times New Roman"/>
          <w:color w:val="000000"/>
          <w:sz w:val="24"/>
        </w:rPr>
        <w:t xml:space="preserve">), the Certificate of Designation of Series B Preferred Shares attached hereto as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Cayman Series B Certificate of Designation</w:t>
      </w:r>
      <w:r>
        <w:rPr>
          <w:rFonts w:ascii="Times New Roman" w:hAnsi="Times New Roman"/>
          <w:color w:val="000000"/>
          <w:sz w:val="20"/>
        </w:rPr>
        <w:t>”</w:t>
      </w:r>
      <w:r>
        <w:rPr>
          <w:rFonts w:ascii="Times New Roman" w:hAnsi="Times New Roman"/>
          <w:color w:val="000000"/>
          <w:sz w:val="24"/>
        </w:rPr>
        <w:t xml:space="preserve">), the Certificate of Designation of Series C Preferred Shares attached hereto as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Cayman Series C Certificate of Designation</w:t>
      </w:r>
      <w:r>
        <w:rPr>
          <w:rFonts w:ascii="Times New Roman" w:hAnsi="Times New Roman"/>
          <w:color w:val="000000"/>
          <w:sz w:val="24"/>
        </w:rPr>
        <w:t>,” and together with the Cayman Articles, the Cayman Series A Certificate of Designation, and the Cayman Series B Certificate of Designation, the “</w:t>
      </w:r>
      <w:r>
        <w:rPr>
          <w:rFonts w:ascii="Times New Roman" w:hAnsi="Times New Roman"/>
          <w:b/>
          <w:color w:val="000000"/>
          <w:sz w:val="24"/>
        </w:rPr>
        <w:t>Cayman Governing Documents</w:t>
      </w:r>
      <w:r>
        <w:rPr>
          <w:rFonts w:ascii="Times New Roman" w:hAnsi="Times New Roman"/>
          <w:color w:val="000000"/>
          <w:sz w:val="20"/>
        </w:rPr>
        <w:t>”</w:t>
      </w:r>
      <w:r>
        <w:rPr>
          <w:rFonts w:ascii="Times New Roman" w:hAnsi="Times New Roman"/>
          <w:color w:val="000000"/>
          <w:sz w:val="24"/>
        </w:rPr>
        <w:t>), shall govern the Cayman Company until amended and/or restated in accordance with the Cayman Governing Documents and applicable law.</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Directors and Officers</w:t>
      </w:r>
      <w:r>
        <w:rPr>
          <w:rFonts w:ascii="Times New Roman" w:hAnsi="Times New Roman"/>
          <w:color w:val="000000"/>
          <w:sz w:val="24"/>
        </w:rPr>
        <w:t>. From and after the Effective Date, by virtue of the Conversion and without any further action on the part of the Delaware Corporation or its stockholders, the members of the Board and the officers of the Delaware Corporation holding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their respective offices in the Delaware Corporation existing immediately prior to the Effective Date shall continue in their respective offices as members of the Board and officers of the Cayman Company.</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EFFECT OF THE CONVERSION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Effect of Conversion</w:t>
      </w:r>
      <w:r>
        <w:rPr>
          <w:rFonts w:ascii="Times New Roman" w:hAnsi="Times New Roman"/>
          <w:color w:val="000000"/>
          <w:sz w:val="24"/>
        </w:rPr>
        <w:t>. On the Effective Date, the effect of the Conversion will be as provided by this Plan and by the applicable provisions of the DGCL and the Companies Act. Without limitation of the foregoing, for all purposes of the laws of the State of Delaware and the Cayman Islands, the Cayman Company will continue as a body corporate for all purposes, as if incorporated and registered as an exempted company under and subject to the Companies Act and all of the rights, privileges, and powers of the Delaware Corporation, and all property, real, personal, and mixed, and all debts due to the Delaware Corporation, as well as all other things and causes of action belonging to the Delaware Corporation, shall remain vested in the Cayman Company and shall be the property of the Cayman Company, and all debts, liabilities, and duties of the Delaware Corporation shall remain attached to the Cayman Company, and may be enforced against the Cayman Company to the same extent as if said debts, liabilities, and duties had originally been incurred or contracted by the Cayman Company.</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3.2 </w:t>
      </w:r>
      <w:r>
        <w:rPr>
          <w:rFonts w:ascii="Times New Roman" w:hAnsi="Times New Roman"/>
          <w:b/>
          <w:color w:val="000000"/>
          <w:sz w:val="24"/>
        </w:rPr>
        <w:t>Conversion of Shares</w:t>
      </w:r>
      <w:r>
        <w:rPr>
          <w:rFonts w:ascii="Times New Roman" w:hAnsi="Times New Roman"/>
          <w:color w:val="000000"/>
          <w:sz w:val="24"/>
        </w:rPr>
        <w:t>. On the Effective Date, by virtue of the Conversion and without any further action by the Delaware Corporation or the stockholders, (i) each share of Delaware Common Stock issued and outstanding immediately before the Effective Date shall be converted into one Cayman Ordinary Share, and all options, warrants or other entitlement to receive a share of Delaware Common Stock shall automatically be converted into an option, warrant or other entitlement to receive a Cayman Ordinary Share, (ii) each share of Delaware Series A Preferred Stock issued and outstanding immediately before the Effective Date shall be converted into one Cayman Series A Preferred Share, and all options, warrants or other entitlement to receive a share of Delaware Series A Preferred Stock shall automatically be converted into an option, warrant or other entitlement to receive a Cayman Series A Preferred Share, (iii) each share of Delaware Series B Preferred Stock issued and outstanding immediately before the Effective Date shall be converted into one Cayman Series B Preferred Share, and all options, warrants or other entitlement to receive a share of Delaware Series B Preferred Stock shall automatically be converted into an option, warrant or other entitlement to receive a Cayman Series B Preferred Share, and (iv) each share of Delaware Series C Preferred Stock issued and outstanding immediately before the Effective Date shall be converted into one Cayman Series C Preferred Share, and all options, warrants or other entitlement to receive a share of Delaware Series C Preferred Stock shall automatically be converted into an option, warrant or other entitlement to receive a Cayman Series C Preferred Share.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MISCELLANEOUS</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Abandonment or Amendment</w:t>
      </w:r>
      <w:r>
        <w:rPr>
          <w:rFonts w:ascii="Times New Roman" w:hAnsi="Times New Roman"/>
          <w:color w:val="000000"/>
          <w:sz w:val="24"/>
        </w:rPr>
        <w:t>. At any time prior to the filing of the Delaware Certificate of Conversion with the Delaware Secretary of State, the Delaware Corporation may abandon the proposed Conversion and terminate this Plan to the extent permitted by law or may amend this Plan.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Captions</w:t>
      </w:r>
      <w:r>
        <w:rPr>
          <w:rFonts w:ascii="Times New Roman" w:hAnsi="Times New Roman"/>
          <w:color w:val="000000"/>
          <w:sz w:val="24"/>
        </w:rPr>
        <w:t>. The captions in this Plan are for convenience only and shall not be considered a part, or to affect the construction or interpretation, of any provision of this Plan.</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Tax Reporting</w:t>
      </w:r>
      <w:r>
        <w:rPr>
          <w:rFonts w:ascii="Times New Roman" w:hAnsi="Times New Roman"/>
          <w:color w:val="000000"/>
          <w:sz w:val="24"/>
        </w:rPr>
        <w:t>. The Conversion is intended to be a “reorganization” for purposes of Section 368(a) of the Internal Revenue Code of 1986, as amended (the “</w:t>
      </w:r>
      <w:r>
        <w:rPr>
          <w:rFonts w:ascii="Times New Roman" w:hAnsi="Times New Roman"/>
          <w:b/>
          <w:color w:val="000000"/>
          <w:sz w:val="24"/>
        </w:rPr>
        <w:t>Code</w:t>
      </w:r>
      <w:r>
        <w:rPr>
          <w:rFonts w:ascii="Times New Roman" w:hAnsi="Times New Roman"/>
          <w:color w:val="000000"/>
          <w:sz w:val="20"/>
        </w:rPr>
        <w:t>”</w:t>
      </w:r>
      <w:r>
        <w:rPr>
          <w:rFonts w:ascii="Times New Roman" w:hAnsi="Times New Roman"/>
          <w:color w:val="000000"/>
          <w:sz w:val="24"/>
        </w:rPr>
        <w:t>), and this Plan of Conversion is hereby adopted as a “plan of reorganization” for purposes of the Section 368(a)(1)(F) of the Code.</w:t>
      </w:r>
    </w:p>
    <w:p>
      <w:pPr>
        <w:pStyle w:val="TextBody"/>
        <w:bidi w:val="0"/>
        <w:spacing w:before="0" w:after="160"/>
        <w:jc w:val="left"/>
        <w:rPr>
          <w:rFonts w:ascii="Times New Roman" w:hAnsi="Times New Roman"/>
          <w:sz w:val="20"/>
        </w:rPr>
      </w:pPr>
      <w:r>
        <w:rPr>
          <w:rFonts w:ascii="Times New Roman" w:hAnsi="Times New Roman"/>
          <w:color w:val="000000"/>
          <w:sz w:val="24"/>
        </w:rPr>
        <w:t xml:space="preserve">4.4 </w:t>
      </w:r>
      <w:r>
        <w:rPr>
          <w:rFonts w:ascii="Times New Roman" w:hAnsi="Times New Roman"/>
          <w:b/>
          <w:color w:val="000000"/>
          <w:sz w:val="24"/>
        </w:rPr>
        <w:t>Governing Law</w:t>
      </w:r>
      <w:r>
        <w:rPr>
          <w:rFonts w:ascii="Times New Roman" w:hAnsi="Times New Roman"/>
          <w:color w:val="000000"/>
          <w:sz w:val="24"/>
        </w:rPr>
        <w:t>. This Plan shall be governed by, and construed and interpreted in accordance with, the laws of the State of Delaware.</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WITNESS WHEREOF, this Plan has been executed on behalf of the Delaware Corporation by its officer thereunto duly authorized, all as of the date set forth above.</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DAMORA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 Garrett Winslow </w:t>
      </w:r>
    </w:p>
    <w:p>
      <w:pPr>
        <w:pStyle w:val="TextBody"/>
        <w:bidi w:val="0"/>
        <w:jc w:val="left"/>
        <w:rPr>
          <w:rFonts w:ascii="Times New Roman" w:hAnsi="Times New Roman"/>
          <w:color w:val="000000"/>
          <w:sz w:val="24"/>
        </w:rPr>
      </w:pPr>
      <w:r>
        <w:rPr>
          <w:rFonts w:ascii="Times New Roman" w:hAnsi="Times New Roman"/>
          <w:color w:val="000000"/>
          <w:sz w:val="24"/>
        </w:rPr>
        <w:t>Name: Garrett Winslow</w:t>
        <w:br/>
        <w:t>Title: General Counsel and Corporate Secretary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DELAWARE CERTIFICATE OF CONVERSION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0" w:after="160"/>
        <w:jc w:val="center"/>
        <w:rPr>
          <w:rFonts w:ascii="Times New Roman" w:hAnsi="Times New Roman"/>
          <w:sz w:val="20"/>
        </w:rPr>
      </w:pPr>
      <w:r>
        <w:rPr>
          <w:rFonts w:ascii="Times New Roman" w:hAnsi="Times New Roman"/>
          <w:color w:val="000000"/>
          <w:sz w:val="24"/>
        </w:rPr>
        <w:t>CAYMAN ISLANDS MEMORANDUM AND ARTICLES OF ASSOCIATION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CAYMAN ISLANDS SERIES A CERTIFICATE OF DESIGNATION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CAYMAN ISLANDS SERIES B CERTIFICATE OF DESIGNATION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CAYMAN ISLANDS SERIES C CERTIFICATE OF DESIGNATION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dmra-ex3_1.htm"/>
      <w:bookmarkStart w:id="5" w:name="ksdmraex3_1"/>
      <w:bookmarkEnd w:id="4"/>
      <w:bookmarkEnd w:id="5"/>
      <w:r>
        <w:rPr>
          <w:rFonts w:ascii="Times New Roman" w:hAnsi="Times New Roman"/>
          <w:b/>
          <w:color w:val="000000"/>
          <w:sz w:val="24"/>
        </w:rPr>
        <w:t>Exhibit 3.1</w:t>
      </w:r>
      <w:r>
        <w:br w:type="page"/>
      </w:r>
    </w:p>
    <w:p>
      <w:pPr>
        <w:pStyle w:val="TextBody"/>
        <w:bidi w:val="0"/>
        <w:jc w:val="left"/>
        <w:rPr/>
      </w:pPr>
      <w:r>
        <w:rPr/>
        <w:t> </w:t>
      </w:r>
    </w:p>
    <w:tbl>
      <w:tblPr>
        <w:tblW w:w="6541" w:type="dxa"/>
        <w:jc w:val="left"/>
        <w:tblInd w:w="0" w:type="dxa"/>
        <w:tblLayout w:type="fixed"/>
        <w:tblCellMar>
          <w:top w:w="28" w:type="dxa"/>
          <w:left w:w="28" w:type="dxa"/>
          <w:bottom w:w="28" w:type="dxa"/>
          <w:right w:w="28" w:type="dxa"/>
        </w:tblCellMar>
      </w:tblPr>
      <w:tblGrid>
        <w:gridCol w:w="6541"/>
      </w:tblGrid>
      <w:tr>
        <w:trPr/>
        <w:tc>
          <w:tcPr>
            <w:tcW w:w="6541" w:type="dxa"/>
            <w:tcBorders/>
            <w:vAlign w:val="center"/>
          </w:tcPr>
          <w:p>
            <w:pPr>
              <w:pStyle w:val="TableContents"/>
              <w:bidi w:val="0"/>
              <w:spacing w:before="0" w:after="283"/>
              <w:jc w:val="left"/>
              <w:rPr>
                <w:sz w:val="4"/>
                <w:szCs w:val="4"/>
              </w:rPr>
            </w:pPr>
            <w:r>
              <w:rPr>
                <w:sz w:val="4"/>
                <w:szCs w:val="4"/>
              </w:rPr>
            </w:r>
          </w:p>
        </w:tc>
      </w:tr>
      <w:tr>
        <w:trPr/>
        <w:tc>
          <w:tcPr>
            <w:tcW w:w="65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aps/>
                <w:color w:val="000000"/>
                <w:sz w:val="20"/>
              </w:rPr>
            </w:pPr>
            <w:r>
              <w:rPr>
                <w:rFonts w:ascii="Times New Roman" w:hAnsi="Times New Roman"/>
                <w:b/>
                <w:caps/>
                <w:color w:val="000000"/>
                <w:sz w:val="20"/>
              </w:rPr>
              <w:t>THE COMPANIES ACT (AS AMENDED)</w:t>
            </w:r>
          </w:p>
          <w:p>
            <w:pPr>
              <w:pStyle w:val="TableContents"/>
              <w:bidi w:val="0"/>
              <w:spacing w:before="0" w:after="240"/>
              <w:jc w:val="left"/>
              <w:rPr>
                <w:rFonts w:ascii="Times New Roman" w:hAnsi="Times New Roman"/>
                <w:b/>
                <w:caps/>
                <w:color w:val="000000"/>
                <w:sz w:val="20"/>
              </w:rPr>
            </w:pPr>
            <w:r>
              <w:rPr>
                <w:rFonts w:ascii="Times New Roman" w:hAnsi="Times New Roman"/>
                <w:b/>
                <w:caps/>
                <w:color w:val="000000"/>
                <w:sz w:val="20"/>
              </w:rPr>
              <w:t>COMPANY LIMITED BY SHARES</w:t>
            </w:r>
          </w:p>
          <w:p>
            <w:pPr>
              <w:pStyle w:val="TableContents"/>
              <w:bidi w:val="0"/>
              <w:spacing w:before="0" w:after="240"/>
              <w:jc w:val="left"/>
              <w:rPr>
                <w:rFonts w:ascii="Times New Roman" w:hAnsi="Times New Roman"/>
                <w:b/>
                <w:caps/>
                <w:color w:val="000000"/>
                <w:sz w:val="20"/>
              </w:rPr>
            </w:pPr>
            <w:r>
              <w:rPr>
                <w:rFonts w:ascii="Times New Roman" w:hAnsi="Times New Roman"/>
                <w:b/>
                <w:caps/>
                <w:color w:val="000000"/>
                <w:sz w:val="20"/>
              </w:rPr>
              <w:t>Memorandum OF association</w:t>
            </w:r>
          </w:p>
          <w:p>
            <w:pPr>
              <w:pStyle w:val="TableContents"/>
              <w:bidi w:val="0"/>
              <w:spacing w:before="0" w:after="240"/>
              <w:jc w:val="left"/>
              <w:rPr>
                <w:rFonts w:ascii="Times New Roman" w:hAnsi="Times New Roman"/>
                <w:b/>
                <w:caps/>
                <w:color w:val="000000"/>
                <w:sz w:val="20"/>
              </w:rPr>
            </w:pPr>
            <w:r>
              <w:rPr>
                <w:rFonts w:ascii="Times New Roman" w:hAnsi="Times New Roman"/>
                <w:b/>
                <w:caps/>
                <w:color w:val="000000"/>
                <w:sz w:val="20"/>
              </w:rPr>
              <w:t>of</w:t>
            </w:r>
          </w:p>
          <w:p>
            <w:pPr>
              <w:pStyle w:val="TableContents"/>
              <w:bidi w:val="0"/>
              <w:spacing w:before="0" w:after="240"/>
              <w:jc w:val="left"/>
              <w:rPr>
                <w:rFonts w:ascii="Times New Roman" w:hAnsi="Times New Roman"/>
                <w:b/>
                <w:caps/>
                <w:color w:val="000000"/>
                <w:sz w:val="28"/>
              </w:rPr>
            </w:pPr>
            <w:r>
              <w:rPr>
                <w:rFonts w:ascii="Times New Roman" w:hAnsi="Times New Roman"/>
                <w:b/>
                <w:caps/>
                <w:color w:val="000000"/>
                <w:sz w:val="28"/>
              </w:rPr>
              <w:t>Damora Therapeutics, Inc.</w:t>
            </w:r>
          </w:p>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(ADOPTED BY SPECIAL RESOLUTION PASSED ON 9 FEBRUARY 2026</w:t>
            </w:r>
          </w:p>
          <w:p>
            <w:pPr>
              <w:pStyle w:val="TableContents"/>
              <w:bidi w:val="0"/>
              <w:jc w:val="center"/>
              <w:rPr>
                <w:rFonts w:ascii="Times New Roman" w:hAnsi="Times New Roman"/>
                <w:b/>
                <w:color w:val="000000"/>
                <w:sz w:val="20"/>
              </w:rPr>
            </w:pPr>
            <w:r>
              <w:rPr>
                <w:rFonts w:ascii="Times New Roman" w:hAnsi="Times New Roman"/>
                <w:b/>
                <w:color w:val="000000"/>
                <w:sz w:val="20"/>
              </w:rPr>
              <w:t>AND EFFECTIVE AS OF 16 JULY 2026)</w:t>
            </w:r>
          </w:p>
          <w:p>
            <w:pPr>
              <w:pStyle w:val="TableContents"/>
              <w:bidi w:val="0"/>
              <w:spacing w:before="0" w:after="240"/>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COMPANIES ACT (AS AMENDED)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COMPANY LIMITED BY SHARES</w:t>
      </w:r>
    </w:p>
    <w:p>
      <w:pPr>
        <w:pStyle w:val="TextBody"/>
        <w:bidi w:val="0"/>
        <w:spacing w:before="240" w:after="283"/>
        <w:jc w:val="center"/>
        <w:rPr>
          <w:rFonts w:ascii="Times New Roman" w:hAnsi="Times New Roman"/>
          <w:sz w:val="20"/>
        </w:rPr>
      </w:pPr>
      <w:r>
        <w:rPr>
          <w:rFonts w:ascii="Times New Roman" w:hAnsi="Times New Roman"/>
          <w:b/>
          <w:color w:val="000000"/>
          <w:sz w:val="20"/>
        </w:rPr>
        <w:t>MEMORANDUM OF ASSOCIATION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DAMORA THERAPEUTICS,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(ADOPTED BY SPECIAL RESOLUTION PASSED ON 9 FEBRUARY 2026</w:t>
      </w:r>
    </w:p>
    <w:p>
      <w:pPr>
        <w:pStyle w:val="TextBody"/>
        <w:bidi w:val="0"/>
        <w:jc w:val="center"/>
        <w:rPr>
          <w:rFonts w:ascii="Times New Roman" w:hAnsi="Times New Roman"/>
          <w:b/>
          <w:color w:val="000000"/>
          <w:sz w:val="20"/>
        </w:rPr>
      </w:pPr>
      <w:r>
        <w:rPr>
          <w:rFonts w:ascii="Times New Roman" w:hAnsi="Times New Roman"/>
          <w:b/>
          <w:color w:val="000000"/>
          <w:sz w:val="20"/>
        </w:rPr>
        <w:t>AND EFFECTIVE AS OF 16 JULY 2026)</w:t>
      </w:r>
    </w:p>
    <w:p>
      <w:pPr>
        <w:pStyle w:val="TextBody"/>
        <w:bidi w:val="0"/>
        <w:jc w:val="center"/>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rPr>
        <w:t>The name of the Company is Damora Therapeutics, Inc. (the “</w:t>
      </w:r>
      <w:r>
        <w:rPr>
          <w:rFonts w:ascii="Times New Roman" w:hAnsi="Times New Roman"/>
          <w:b/>
          <w:i/>
          <w:color w:val="000000"/>
          <w:sz w:val="20"/>
        </w:rPr>
        <w:t>Company</w:t>
      </w:r>
      <w:r>
        <w:rPr>
          <w:color w:val="000000"/>
        </w:rPr>
        <w:t>”</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registered office of the Company will be situated at the offices of Walkers Corporate Limited, 190 Elgin Avenue, George Town, Grand Cayman KY1-9008, Cayman Islands or at such other location as the Directors may from time to time determine.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pPr>
      <w:r>
        <w:rPr>
          <w:rFonts w:ascii="Times New Roman" w:hAnsi="Times New Roman"/>
          <w:color w:val="000000"/>
          <w:sz w:val="20"/>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hAnsi="Times New Roman"/>
          <w:b/>
          <w:i/>
          <w:color w:val="000000"/>
          <w:sz w:val="20"/>
        </w:rPr>
        <w:t>Companies Act</w:t>
      </w:r>
      <w:r>
        <w:rPr>
          <w:color w:val="000000"/>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Company shall have and be capable of exercising all the functions of a natural person of full capacity irrespective of any question of corporate benefit as provided by Section 27(2) of the Companies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The liability of the shareholders of the Company is limited to the amount, if any, unpaid on the shares respectively held by them.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The authorised share capital of the Company is US$5,100 divided into 500,000,000 ordinary shares with a nominal or par value of US$0.00001, and 10,000,000 preferred shares with a nominal or par value of US$0.00001 provided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may exercise the power contained in Section 206 of the Companies Act to deregister in the Cayman Islands and be registered by way of continuation in any jurisdiction outside the Cayman Islands.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COMPANIES ACT (AS AMENDED)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COMPANY LIMITED BY SHARES</w:t>
      </w:r>
    </w:p>
    <w:p>
      <w:pPr>
        <w:pStyle w:val="TextBody"/>
        <w:bidi w:val="0"/>
        <w:spacing w:before="240" w:after="283"/>
        <w:jc w:val="center"/>
        <w:rPr>
          <w:rFonts w:ascii="Times New Roman" w:hAnsi="Times New Roman"/>
          <w:sz w:val="20"/>
        </w:rPr>
      </w:pPr>
      <w:r>
        <w:rPr>
          <w:rFonts w:ascii="Times New Roman" w:hAnsi="Times New Roman"/>
          <w:b/>
          <w:color w:val="000000"/>
          <w:sz w:val="20"/>
        </w:rPr>
        <w:t>ARTICLES OF ASSOCIATION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DAMORA THERAPEUTICS, INC.</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(ADOPTED BY SPECIAL RESOLUTION PASSED ON 9 FEBRUARY 2026</w:t>
      </w:r>
    </w:p>
    <w:p>
      <w:pPr>
        <w:pStyle w:val="TextBody"/>
        <w:bidi w:val="0"/>
        <w:jc w:val="center"/>
        <w:rPr>
          <w:rFonts w:ascii="Times New Roman" w:hAnsi="Times New Roman"/>
          <w:b/>
          <w:color w:val="000000"/>
          <w:sz w:val="20"/>
        </w:rPr>
      </w:pPr>
      <w:r>
        <w:rPr>
          <w:rFonts w:ascii="Times New Roman" w:hAnsi="Times New Roman"/>
          <w:b/>
          <w:color w:val="000000"/>
          <w:sz w:val="20"/>
        </w:rPr>
        <w:t>AND EFFECTIVE AS OF 16 JULY 2026)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THE COMPANIES ACT (AS AMENDED)</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COMPANY LIMITED BY SHARES</w:t>
      </w:r>
    </w:p>
    <w:p>
      <w:pPr>
        <w:pStyle w:val="TextBody"/>
        <w:bidi w:val="0"/>
        <w:spacing w:before="240" w:after="283"/>
        <w:jc w:val="center"/>
        <w:rPr>
          <w:rFonts w:ascii="Times New Roman" w:hAnsi="Times New Roman"/>
          <w:sz w:val="20"/>
        </w:rPr>
      </w:pPr>
      <w:r>
        <w:rPr>
          <w:rFonts w:ascii="Times New Roman" w:hAnsi="Times New Roman"/>
          <w:b/>
          <w:color w:val="000000"/>
          <w:sz w:val="20"/>
        </w:rPr>
        <w:t>ARTICLES OF ASSOCIATION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DAMORA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(ADOPTED BY SPECIAL RESOLUTION PASSED ON 9 FEBRUARY 2026</w:t>
      </w:r>
    </w:p>
    <w:p>
      <w:pPr>
        <w:pStyle w:val="TextBody"/>
        <w:bidi w:val="0"/>
        <w:jc w:val="center"/>
        <w:rPr>
          <w:rFonts w:ascii="Times New Roman" w:hAnsi="Times New Roman"/>
          <w:b/>
          <w:color w:val="000000"/>
          <w:sz w:val="20"/>
        </w:rPr>
      </w:pPr>
      <w:r>
        <w:rPr>
          <w:rFonts w:ascii="Times New Roman" w:hAnsi="Times New Roman"/>
          <w:b/>
          <w:color w:val="000000"/>
          <w:sz w:val="20"/>
        </w:rPr>
        <w:t>AND EFFECTIVE AS OF 16 JULY 2026)</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TABLE A</w:t>
      </w:r>
    </w:p>
    <w:p>
      <w:pPr>
        <w:pStyle w:val="TextBody"/>
        <w:bidi w:val="0"/>
        <w:spacing w:before="0" w:after="240"/>
        <w:jc w:val="both"/>
        <w:rPr>
          <w:rFonts w:ascii="Times New Roman" w:hAnsi="Times New Roman"/>
          <w:sz w:val="20"/>
        </w:rPr>
      </w:pPr>
      <w:r>
        <w:rPr>
          <w:rFonts w:ascii="Times New Roman" w:hAnsi="Times New Roman"/>
          <w:color w:val="000000"/>
          <w:sz w:val="20"/>
        </w:rPr>
        <w:t>The Regulations contained or incorporated in Table ‘A’ in the First Schedule of the Companies Act shall not apply to Damora Therapeutics, Inc. (the “</w:t>
      </w:r>
      <w:r>
        <w:rPr>
          <w:rFonts w:ascii="Times New Roman" w:hAnsi="Times New Roman"/>
          <w:b/>
          <w:color w:val="000000"/>
          <w:sz w:val="20"/>
        </w:rPr>
        <w:t>Company</w:t>
      </w:r>
      <w:r>
        <w:rPr>
          <w:rFonts w:ascii="Times New Roman" w:hAnsi="Times New Roman"/>
          <w:color w:val="000000"/>
          <w:sz w:val="20"/>
        </w:rPr>
        <w:t>”) and the following Articles shall comprise the Articles of Association of the Company.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these Articles the following defined terms will have the meanings ascribed to them, if not inconsistent with the subject or context:</w:t>
      </w:r>
    </w:p>
    <w:p>
      <w:pPr>
        <w:pStyle w:val="TextBody"/>
        <w:bidi w:val="0"/>
        <w:spacing w:before="0" w:after="240"/>
        <w:jc w:val="both"/>
        <w:rPr/>
      </w:pPr>
      <w:r>
        <w:rPr>
          <w:color w:val="000000"/>
        </w:rPr>
        <w:t>“</w:t>
      </w:r>
      <w:r>
        <w:rPr>
          <w:rFonts w:ascii="Times New Roman" w:hAnsi="Times New Roman"/>
          <w:b/>
          <w:color w:val="000000"/>
          <w:sz w:val="20"/>
        </w:rPr>
        <w:t>Articles</w:t>
      </w:r>
      <w:r>
        <w:rPr>
          <w:rFonts w:ascii="Times New Roman" w:hAnsi="Times New Roman"/>
          <w:color w:val="000000"/>
          <w:sz w:val="20"/>
        </w:rPr>
        <w:t>” means these articles of association of the Company, as amended or substituted from time to time.</w:t>
      </w:r>
    </w:p>
    <w:p>
      <w:pPr>
        <w:pStyle w:val="TextBody"/>
        <w:bidi w:val="0"/>
        <w:spacing w:before="0" w:after="240"/>
        <w:jc w:val="both"/>
        <w:rPr/>
      </w:pPr>
      <w:r>
        <w:rPr>
          <w:color w:val="000000"/>
        </w:rPr>
        <w:t>“</w:t>
      </w:r>
      <w:r>
        <w:rPr>
          <w:rFonts w:ascii="Times New Roman" w:hAnsi="Times New Roman"/>
          <w:b/>
          <w:color w:val="000000"/>
          <w:sz w:val="20"/>
        </w:rPr>
        <w:t>Audit Committee</w:t>
      </w:r>
      <w:r>
        <w:rPr>
          <w:rFonts w:ascii="Times New Roman" w:hAnsi="Times New Roman"/>
          <w:color w:val="000000"/>
          <w:sz w:val="20"/>
        </w:rPr>
        <w:t>” means the audit committee of the Company formed pursuant to Article 132 hereof, or any successor audit committee.</w:t>
      </w:r>
    </w:p>
    <w:p>
      <w:pPr>
        <w:pStyle w:val="TextBody"/>
        <w:bidi w:val="0"/>
        <w:spacing w:before="0" w:after="240"/>
        <w:jc w:val="both"/>
        <w:rPr/>
      </w:pPr>
      <w:r>
        <w:rPr>
          <w:color w:val="000000"/>
        </w:rPr>
        <w:t>“</w:t>
      </w:r>
      <w:r>
        <w:rPr>
          <w:rFonts w:ascii="Times New Roman" w:hAnsi="Times New Roman"/>
          <w:b/>
          <w:color w:val="000000"/>
          <w:sz w:val="20"/>
        </w:rPr>
        <w:t>Branch Register</w:t>
      </w:r>
      <w:r>
        <w:rPr>
          <w:rFonts w:ascii="Times New Roman" w:hAnsi="Times New Roman"/>
          <w:color w:val="000000"/>
          <w:sz w:val="20"/>
        </w:rPr>
        <w:t>” means any branch Register of such category or categories of Shareholders as the Company may from time to time determine.</w:t>
      </w:r>
    </w:p>
    <w:p>
      <w:pPr>
        <w:pStyle w:val="TextBody"/>
        <w:bidi w:val="0"/>
        <w:spacing w:before="0" w:after="24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any day other than a Saturday, a Sunday or a U.S. Federal Holiday or a day on which banking institutions or trust companies are authorised or obligated by law to close in the United States.</w:t>
      </w:r>
    </w:p>
    <w:p>
      <w:pPr>
        <w:pStyle w:val="TextBody"/>
        <w:bidi w:val="0"/>
        <w:spacing w:before="0" w:after="240"/>
        <w:jc w:val="both"/>
        <w:rPr/>
      </w:pPr>
      <w:r>
        <w:rPr>
          <w:color w:val="000000"/>
        </w:rPr>
        <w:t>“</w:t>
      </w:r>
      <w:r>
        <w:rPr>
          <w:rFonts w:ascii="Times New Roman" w:hAnsi="Times New Roman"/>
          <w:b/>
          <w:color w:val="000000"/>
          <w:sz w:val="20"/>
        </w:rPr>
        <w:t>Certificate of Designation</w:t>
      </w:r>
      <w:r>
        <w:rPr>
          <w:rFonts w:ascii="Times New Roman" w:hAnsi="Times New Roman"/>
          <w:color w:val="000000"/>
          <w:sz w:val="20"/>
        </w:rPr>
        <w:t>” means a certificate of designation of preferences, rights and limitations with respect to any Class of Preferred Shares (as may be amended from time to time).</w:t>
      </w:r>
    </w:p>
    <w:p>
      <w:pPr>
        <w:pStyle w:val="TextBody"/>
        <w:bidi w:val="0"/>
        <w:spacing w:before="0" w:after="240"/>
        <w:jc w:val="both"/>
        <w:rPr/>
      </w:pPr>
      <w:r>
        <w:rPr>
          <w:color w:val="000000"/>
        </w:rPr>
        <w:t>“</w:t>
      </w:r>
      <w:r>
        <w:rPr>
          <w:rFonts w:ascii="Times New Roman" w:hAnsi="Times New Roman"/>
          <w:b/>
          <w:color w:val="000000"/>
          <w:sz w:val="20"/>
        </w:rPr>
        <w:t>Class</w:t>
      </w:r>
      <w:r>
        <w:rPr>
          <w:rFonts w:ascii="Times New Roman" w:hAnsi="Times New Roman"/>
          <w:color w:val="000000"/>
          <w:sz w:val="20"/>
        </w:rPr>
        <w:t>” or “</w:t>
      </w:r>
      <w:r>
        <w:rPr>
          <w:rFonts w:ascii="Times New Roman" w:hAnsi="Times New Roman"/>
          <w:b/>
          <w:color w:val="000000"/>
          <w:sz w:val="20"/>
        </w:rPr>
        <w:t>Classes</w:t>
      </w:r>
      <w:r>
        <w:rPr>
          <w:rFonts w:ascii="Times New Roman" w:hAnsi="Times New Roman"/>
          <w:color w:val="000000"/>
          <w:sz w:val="20"/>
        </w:rPr>
        <w:t>” means any class or classes of Shares as may from time to time be issued by the Company.</w:t>
      </w:r>
    </w:p>
    <w:p>
      <w:pPr>
        <w:pStyle w:val="TextBody"/>
        <w:bidi w:val="0"/>
        <w:spacing w:before="0" w:after="240"/>
        <w:jc w:val="both"/>
        <w:rPr/>
      </w:pPr>
      <w:r>
        <w:rPr>
          <w:color w:val="000000"/>
        </w:rPr>
        <w:t>“</w:t>
      </w:r>
      <w:r>
        <w:rPr>
          <w:rFonts w:ascii="Times New Roman" w:hAnsi="Times New Roman"/>
          <w:b/>
          <w:color w:val="000000"/>
          <w:sz w:val="20"/>
        </w:rPr>
        <w:t>Companies Act</w:t>
      </w:r>
      <w:r>
        <w:rPr>
          <w:rFonts w:ascii="Times New Roman" w:hAnsi="Times New Roman"/>
          <w:color w:val="000000"/>
          <w:sz w:val="20"/>
        </w:rPr>
        <w:t>” means the Companies Act (as amended) of the Cayman Islands.</w:t>
      </w:r>
    </w:p>
    <w:p>
      <w:pPr>
        <w:pStyle w:val="TextBody"/>
        <w:bidi w:val="0"/>
        <w:spacing w:before="0" w:after="240"/>
        <w:jc w:val="both"/>
        <w:rPr/>
      </w:pPr>
      <w:r>
        <w:rPr>
          <w:color w:val="000000"/>
        </w:rPr>
        <w:t>“</w:t>
      </w:r>
      <w:r>
        <w:rPr>
          <w:rFonts w:ascii="Times New Roman" w:hAnsi="Times New Roman"/>
          <w:b/>
          <w:color w:val="000000"/>
          <w:sz w:val="20"/>
        </w:rPr>
        <w:t>Designated Stock Exchange</w:t>
      </w:r>
      <w:r>
        <w:rPr>
          <w:rFonts w:ascii="Times New Roman" w:hAnsi="Times New Roman"/>
          <w:color w:val="000000"/>
          <w:sz w:val="20"/>
        </w:rPr>
        <w:t>” means any national securities exchange or automated quotation system on which the Company’s securities are listed for trading, including but not limited to The Nasdaq Stock Market LLC, The NYSE MKT LLC, The New York Stock Exchange LLC or any OTC market.</w:t>
      </w:r>
    </w:p>
    <w:p>
      <w:pPr>
        <w:pStyle w:val="TextBody"/>
        <w:bidi w:val="0"/>
        <w:spacing w:before="0" w:after="240"/>
        <w:jc w:val="both"/>
        <w:rPr/>
      </w:pPr>
      <w:r>
        <w:rPr>
          <w:color w:val="000000"/>
        </w:rPr>
        <w:t>“</w:t>
      </w:r>
      <w:r>
        <w:rPr>
          <w:rFonts w:ascii="Times New Roman" w:hAnsi="Times New Roman"/>
          <w:b/>
          <w:color w:val="000000"/>
          <w:sz w:val="20"/>
        </w:rPr>
        <w:t>Directors</w:t>
      </w:r>
      <w:r>
        <w:rPr>
          <w:rFonts w:ascii="Times New Roman" w:hAnsi="Times New Roman"/>
          <w:color w:val="000000"/>
          <w:sz w:val="20"/>
        </w:rPr>
        <w:t>” means the directors of the Company for the time being, or as the case may be, the directors assembled as a board or as a committee thereof.</w:t>
      </w:r>
    </w:p>
    <w:p>
      <w:pPr>
        <w:pStyle w:val="TextBody"/>
        <w:bidi w:val="0"/>
        <w:spacing w:before="0" w:after="240"/>
        <w:jc w:val="both"/>
        <w:rPr/>
      </w:pPr>
      <w:r>
        <w:rPr>
          <w:color w:val="000000"/>
        </w:rPr>
        <w:t>“</w:t>
      </w:r>
      <w:r>
        <w:rPr>
          <w:rFonts w:ascii="Times New Roman" w:hAnsi="Times New Roman"/>
          <w:b/>
          <w:color w:val="000000"/>
          <w:sz w:val="20"/>
        </w:rPr>
        <w:t>Electronic Facility</w:t>
      </w:r>
      <w:r>
        <w:rPr>
          <w:rFonts w:ascii="Times New Roman" w:hAnsi="Times New Roman"/>
          <w:color w:val="000000"/>
          <w:sz w:val="20"/>
        </w:rPr>
        <w:t xml:space="preserve">” means without limitation, website addresses and conference call systems, and any device, system, procedure, method or other facility whatsoever providing an electronic means of venue for a general meeting of the Company. </w:t>
      </w:r>
    </w:p>
    <w:p>
      <w:pPr>
        <w:pStyle w:val="TextBody"/>
        <w:bidi w:val="0"/>
        <w:spacing w:before="0" w:after="240"/>
        <w:jc w:val="both"/>
        <w:rPr/>
      </w:pPr>
      <w:r>
        <w:rPr>
          <w:color w:val="000000"/>
        </w:rPr>
        <w:t>“</w:t>
      </w:r>
      <w:r>
        <w:rPr>
          <w:rFonts w:ascii="Times New Roman" w:hAnsi="Times New Roman"/>
          <w:b/>
          <w:color w:val="000000"/>
          <w:sz w:val="20"/>
        </w:rPr>
        <w:t>Electronic Transactions Act</w:t>
      </w:r>
      <w:r>
        <w:rPr>
          <w:rFonts w:ascii="Times New Roman" w:hAnsi="Times New Roman"/>
          <w:color w:val="000000"/>
          <w:sz w:val="20"/>
        </w:rPr>
        <w:t xml:space="preserve">” means the Electronic Transactions Act (as amended) of the Cayman Islands.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Exchange Act</w:t>
      </w:r>
      <w:r>
        <w:rPr>
          <w:rFonts w:ascii="Times New Roman" w:hAnsi="Times New Roman"/>
          <w:color w:val="000000"/>
          <w:sz w:val="20"/>
        </w:rPr>
        <w:t xml:space="preserve">” means the U.S. Securities Exchange Act of 1934, as amended, or any similar U.S. federal statute and the rules and regulations of the SEC thereunder, all as the same shall be in effect at the time. </w:t>
      </w:r>
    </w:p>
    <w:p>
      <w:pPr>
        <w:pStyle w:val="TextBody"/>
        <w:bidi w:val="0"/>
        <w:spacing w:before="0" w:after="240"/>
        <w:jc w:val="both"/>
        <w:rPr/>
      </w:pPr>
      <w:r>
        <w:rPr>
          <w:color w:val="000000"/>
        </w:rPr>
        <w:t>“</w:t>
      </w:r>
      <w:r>
        <w:rPr>
          <w:rFonts w:ascii="Times New Roman" w:hAnsi="Times New Roman"/>
          <w:b/>
          <w:color w:val="000000"/>
          <w:sz w:val="20"/>
        </w:rPr>
        <w:t>Initial Public Offering</w:t>
      </w:r>
      <w:r>
        <w:rPr>
          <w:rFonts w:ascii="Times New Roman" w:hAnsi="Times New Roman"/>
          <w:color w:val="000000"/>
          <w:sz w:val="20"/>
        </w:rPr>
        <w:t>” means the Company’s initial public offering of securities.</w:t>
      </w:r>
    </w:p>
    <w:p>
      <w:pPr>
        <w:pStyle w:val="TextBody"/>
        <w:bidi w:val="0"/>
        <w:spacing w:before="0" w:after="240"/>
        <w:jc w:val="both"/>
        <w:rPr/>
      </w:pPr>
      <w:r>
        <w:rPr>
          <w:color w:val="000000"/>
        </w:rPr>
        <w:t>“</w:t>
      </w:r>
      <w:r>
        <w:rPr>
          <w:rFonts w:ascii="Times New Roman" w:hAnsi="Times New Roman"/>
          <w:b/>
          <w:color w:val="000000"/>
          <w:sz w:val="20"/>
        </w:rPr>
        <w:t>Material Ownership Interests</w:t>
      </w:r>
      <w:r>
        <w:rPr>
          <w:rFonts w:ascii="Times New Roman" w:hAnsi="Times New Roman"/>
          <w:color w:val="000000"/>
          <w:sz w:val="20"/>
        </w:rPr>
        <w:t>” has the meaning given to it in Article 10(c).</w:t>
      </w:r>
    </w:p>
    <w:p>
      <w:pPr>
        <w:pStyle w:val="TextBody"/>
        <w:bidi w:val="0"/>
        <w:spacing w:before="0" w:after="240"/>
        <w:jc w:val="both"/>
        <w:rPr/>
      </w:pPr>
      <w:r>
        <w:rPr>
          <w:color w:val="000000"/>
        </w:rPr>
        <w:t>“</w:t>
      </w:r>
      <w:r>
        <w:rPr>
          <w:rFonts w:ascii="Times New Roman" w:hAnsi="Times New Roman"/>
          <w:b/>
          <w:color w:val="000000"/>
          <w:sz w:val="20"/>
        </w:rPr>
        <w:t>Memorandum of Association</w:t>
      </w:r>
      <w:r>
        <w:rPr>
          <w:rFonts w:ascii="Times New Roman" w:hAnsi="Times New Roman"/>
          <w:color w:val="000000"/>
          <w:sz w:val="20"/>
        </w:rPr>
        <w:t>” means the memorandum of association of the Company, as amended or substituted from time to time.</w:t>
      </w:r>
    </w:p>
    <w:p>
      <w:pPr>
        <w:pStyle w:val="TextBody"/>
        <w:bidi w:val="0"/>
        <w:spacing w:before="0" w:after="240"/>
        <w:jc w:val="both"/>
        <w:rPr/>
      </w:pPr>
      <w:r>
        <w:rPr>
          <w:color w:val="000000"/>
        </w:rPr>
        <w:t>“</w:t>
      </w:r>
      <w:r>
        <w:rPr>
          <w:rFonts w:ascii="Times New Roman" w:hAnsi="Times New Roman"/>
          <w:b/>
          <w:color w:val="000000"/>
          <w:sz w:val="20"/>
        </w:rPr>
        <w:t>Office</w:t>
      </w:r>
      <w:r>
        <w:rPr>
          <w:rFonts w:ascii="Times New Roman" w:hAnsi="Times New Roman"/>
          <w:color w:val="000000"/>
          <w:sz w:val="20"/>
        </w:rPr>
        <w:t>” means the registered office of the Company as required by the Companies Act.</w:t>
      </w:r>
    </w:p>
    <w:p>
      <w:pPr>
        <w:pStyle w:val="TextBody"/>
        <w:bidi w:val="0"/>
        <w:spacing w:before="0" w:after="240"/>
        <w:jc w:val="both"/>
        <w:rPr/>
      </w:pPr>
      <w:r>
        <w:rPr>
          <w:color w:val="000000"/>
        </w:rPr>
        <w:t>“</w:t>
      </w:r>
      <w:r>
        <w:rPr>
          <w:rFonts w:ascii="Times New Roman" w:hAnsi="Times New Roman"/>
          <w:b/>
          <w:color w:val="000000"/>
          <w:sz w:val="20"/>
        </w:rPr>
        <w:t>Officers</w:t>
      </w:r>
      <w:r>
        <w:rPr>
          <w:rFonts w:ascii="Times New Roman" w:hAnsi="Times New Roman"/>
          <w:color w:val="000000"/>
          <w:sz w:val="20"/>
        </w:rPr>
        <w:t>” means the officers for the time being and from time to time of the Company.</w:t>
      </w:r>
    </w:p>
    <w:p>
      <w:pPr>
        <w:pStyle w:val="TextBody"/>
        <w:bidi w:val="0"/>
        <w:spacing w:before="0" w:after="120"/>
        <w:jc w:val="left"/>
        <w:rPr/>
      </w:pPr>
      <w:r>
        <w:rPr>
          <w:color w:val="000000"/>
        </w:rPr>
        <w:t>“</w:t>
      </w:r>
      <w:r>
        <w:rPr>
          <w:rFonts w:ascii="Times New Roman" w:hAnsi="Times New Roman"/>
          <w:b/>
          <w:color w:val="000000"/>
          <w:sz w:val="20"/>
        </w:rPr>
        <w:t>Ordinary Resolution</w:t>
      </w:r>
      <w:r>
        <w:rPr>
          <w:rFonts w:ascii="Times New Roman" w:hAnsi="Times New Roman"/>
          <w:color w:val="000000"/>
          <w:sz w:val="20"/>
        </w:rPr>
        <w:t>” means a resolution: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p>
      <w:pPr>
        <w:pStyle w:val="TextBody"/>
        <w:bidi w:val="0"/>
        <w:spacing w:before="0" w:after="240"/>
        <w:jc w:val="both"/>
        <w:rPr/>
      </w:pPr>
      <w:r>
        <w:rPr>
          <w:color w:val="000000"/>
        </w:rPr>
        <w:t>“</w:t>
      </w:r>
      <w:r>
        <w:rPr>
          <w:rFonts w:ascii="Times New Roman" w:hAnsi="Times New Roman"/>
          <w:b/>
          <w:color w:val="000000"/>
          <w:sz w:val="20"/>
        </w:rPr>
        <w:t>Ordinary Shares</w:t>
      </w:r>
      <w:r>
        <w:rPr>
          <w:rFonts w:ascii="Times New Roman" w:hAnsi="Times New Roman"/>
          <w:color w:val="000000"/>
          <w:sz w:val="20"/>
        </w:rPr>
        <w:t xml:space="preserve">” means the ordinary Shares in the capital of the Company of $0.00001 nominal or par value designated as Ordinary Shares, and having the rights provided for in these Articles. </w:t>
      </w:r>
    </w:p>
    <w:p>
      <w:pPr>
        <w:pStyle w:val="TextBody"/>
        <w:bidi w:val="0"/>
        <w:spacing w:before="0" w:after="240"/>
        <w:jc w:val="both"/>
        <w:rPr/>
      </w:pPr>
      <w:r>
        <w:rPr>
          <w:color w:val="000000"/>
        </w:rPr>
        <w:t>“</w:t>
      </w:r>
      <w:r>
        <w:rPr>
          <w:rFonts w:ascii="Times New Roman" w:hAnsi="Times New Roman"/>
          <w:b/>
          <w:color w:val="000000"/>
          <w:sz w:val="20"/>
        </w:rPr>
        <w:t>paid up</w:t>
      </w:r>
      <w:r>
        <w:rPr>
          <w:rFonts w:ascii="Times New Roman" w:hAnsi="Times New Roman"/>
          <w:color w:val="000000"/>
          <w:sz w:val="20"/>
        </w:rPr>
        <w:t>” means paid up as to the par value in respect of the issue of any Shares and includes credited as paid up.</w:t>
      </w:r>
    </w:p>
    <w:p>
      <w:pPr>
        <w:pStyle w:val="TextBody"/>
        <w:bidi w:val="0"/>
        <w:spacing w:before="0" w:after="240"/>
        <w:jc w:val="both"/>
        <w:rPr/>
      </w:pPr>
      <w:r>
        <w:rPr>
          <w:color w:val="000000"/>
        </w:rPr>
        <w:t>“</w:t>
      </w:r>
      <w:r>
        <w:rPr>
          <w:rFonts w:ascii="Times New Roman" w:hAnsi="Times New Roman"/>
          <w:b/>
          <w:color w:val="000000"/>
          <w:sz w:val="20"/>
        </w:rPr>
        <w:t>Person</w:t>
      </w:r>
      <w:r>
        <w:rPr>
          <w:rFonts w:ascii="Times New Roman" w:hAnsi="Times New Roman"/>
          <w:color w:val="000000"/>
          <w:sz w:val="20"/>
        </w:rPr>
        <w:t>” means any natural person, firm, company, joint venture, partnership, company,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w:t>
      </w:r>
    </w:p>
    <w:p>
      <w:pPr>
        <w:pStyle w:val="TextBody"/>
        <w:bidi w:val="0"/>
        <w:spacing w:before="0" w:after="240"/>
        <w:jc w:val="both"/>
        <w:rPr/>
      </w:pPr>
      <w:r>
        <w:rPr>
          <w:color w:val="000000"/>
        </w:rPr>
        <w:t>“</w:t>
      </w:r>
      <w:r>
        <w:rPr>
          <w:rFonts w:ascii="Times New Roman" w:hAnsi="Times New Roman"/>
          <w:b/>
          <w:color w:val="000000"/>
          <w:sz w:val="20"/>
        </w:rPr>
        <w:t>Preferred Shares</w:t>
      </w:r>
      <w:r>
        <w:rPr>
          <w:rFonts w:ascii="Times New Roman" w:hAnsi="Times New Roman"/>
          <w:color w:val="000000"/>
          <w:sz w:val="20"/>
        </w:rPr>
        <w:t>” means the Preferred Shares in the capital of the Company of $0.00001 nominal or par value designated as Preferred Shares or such other Series of Preferred Shares, and having the rights provided for in these Articles.</w:t>
      </w:r>
    </w:p>
    <w:p>
      <w:pPr>
        <w:pStyle w:val="TextBody"/>
        <w:bidi w:val="0"/>
        <w:spacing w:before="0" w:after="240"/>
        <w:jc w:val="both"/>
        <w:rPr/>
      </w:pPr>
      <w:r>
        <w:rPr>
          <w:color w:val="000000"/>
        </w:rPr>
        <w:t>“</w:t>
      </w:r>
      <w:r>
        <w:rPr>
          <w:rFonts w:ascii="Times New Roman" w:hAnsi="Times New Roman"/>
          <w:b/>
          <w:color w:val="000000"/>
          <w:sz w:val="20"/>
        </w:rPr>
        <w:t>Proposing Person</w:t>
      </w:r>
      <w:r>
        <w:rPr>
          <w:rFonts w:ascii="Times New Roman" w:hAnsi="Times New Roman"/>
          <w:color w:val="000000"/>
          <w:sz w:val="20"/>
        </w:rPr>
        <w:t xml:space="preserve">” has the meaning given to it in Article 10. </w:t>
      </w:r>
    </w:p>
    <w:p>
      <w:pPr>
        <w:pStyle w:val="TextBody"/>
        <w:bidi w:val="0"/>
        <w:spacing w:before="0" w:after="240"/>
        <w:jc w:val="both"/>
        <w:rPr/>
      </w:pPr>
      <w:r>
        <w:rPr>
          <w:color w:val="000000"/>
        </w:rPr>
        <w:t>“</w:t>
      </w:r>
      <w:r>
        <w:rPr>
          <w:rFonts w:ascii="Times New Roman" w:hAnsi="Times New Roman"/>
          <w:b/>
          <w:color w:val="000000"/>
          <w:sz w:val="20"/>
        </w:rPr>
        <w:t>Principal Register</w:t>
      </w:r>
      <w:r>
        <w:rPr>
          <w:rFonts w:ascii="Times New Roman" w:hAnsi="Times New Roman"/>
          <w:color w:val="000000"/>
          <w:sz w:val="20"/>
        </w:rPr>
        <w:t>” means where the Company has established one or more Branch Registers pursuant to the Companies Act and these Articles, means the Register maintained by the Company pursuant to the Companies Act and these Articles that is not designated by the Directors as a Branch Register.</w:t>
      </w:r>
    </w:p>
    <w:p>
      <w:pPr>
        <w:pStyle w:val="TextBody"/>
        <w:bidi w:val="0"/>
        <w:spacing w:before="0" w:after="240"/>
        <w:jc w:val="both"/>
        <w:rPr/>
      </w:pPr>
      <w:r>
        <w:rPr>
          <w:color w:val="000000"/>
        </w:rPr>
        <w:t>“</w:t>
      </w:r>
      <w:r>
        <w:rPr>
          <w:rFonts w:ascii="Times New Roman" w:hAnsi="Times New Roman"/>
          <w:b/>
          <w:color w:val="000000"/>
          <w:sz w:val="20"/>
        </w:rPr>
        <w:t>Register</w:t>
      </w:r>
      <w:r>
        <w:rPr>
          <w:rFonts w:ascii="Times New Roman" w:hAnsi="Times New Roman"/>
          <w:color w:val="000000"/>
          <w:sz w:val="20"/>
        </w:rPr>
        <w:t>” means the register of members of the Company required to be kept pursuant to the Companies Act and includes any Branch Register(s) established by the Company in accordance with the Companies Act.</w:t>
      </w:r>
    </w:p>
    <w:p>
      <w:pPr>
        <w:pStyle w:val="TextBody"/>
        <w:bidi w:val="0"/>
        <w:spacing w:before="0" w:after="240"/>
        <w:jc w:val="both"/>
        <w:rPr/>
      </w:pPr>
      <w:r>
        <w:rPr>
          <w:color w:val="000000"/>
        </w:rPr>
        <w:t>“</w:t>
      </w:r>
      <w:r>
        <w:rPr>
          <w:rFonts w:ascii="Times New Roman" w:hAnsi="Times New Roman"/>
          <w:b/>
          <w:color w:val="000000"/>
          <w:sz w:val="20"/>
        </w:rPr>
        <w:t>Seal</w:t>
      </w:r>
      <w:r>
        <w:rPr>
          <w:rFonts w:ascii="Times New Roman" w:hAnsi="Times New Roman"/>
          <w:color w:val="000000"/>
          <w:sz w:val="20"/>
        </w:rPr>
        <w:t>” means the common seal of the Company (if adopted) including any facsimile thereof.</w:t>
      </w:r>
    </w:p>
    <w:p>
      <w:pPr>
        <w:pStyle w:val="TextBody"/>
        <w:bidi w:val="0"/>
        <w:spacing w:before="0" w:after="240"/>
        <w:jc w:val="both"/>
        <w:rPr/>
      </w:pPr>
      <w:r>
        <w:rPr>
          <w:color w:val="000000"/>
        </w:rPr>
        <w:t>“</w:t>
      </w:r>
      <w:r>
        <w:rPr>
          <w:rFonts w:ascii="Times New Roman" w:hAnsi="Times New Roman"/>
          <w:b/>
          <w:color w:val="000000"/>
          <w:sz w:val="20"/>
        </w:rPr>
        <w:t>SEC</w:t>
      </w:r>
      <w:r>
        <w:rPr>
          <w:rFonts w:ascii="Times New Roman" w:hAnsi="Times New Roman"/>
          <w:color w:val="000000"/>
          <w:sz w:val="20"/>
        </w:rPr>
        <w:t>” means the U.S. Securities and Exchange Commission.</w:t>
      </w:r>
    </w:p>
    <w:p>
      <w:pPr>
        <w:pStyle w:val="TextBody"/>
        <w:bidi w:val="0"/>
        <w:spacing w:before="0" w:after="240"/>
        <w:jc w:val="both"/>
        <w:rPr/>
      </w:pPr>
      <w:r>
        <w:rPr>
          <w:color w:val="000000"/>
        </w:rPr>
        <w:t>“</w:t>
      </w:r>
      <w:r>
        <w:rPr>
          <w:rFonts w:ascii="Times New Roman" w:hAnsi="Times New Roman"/>
          <w:b/>
          <w:color w:val="000000"/>
          <w:sz w:val="20"/>
        </w:rPr>
        <w:t>Secretary</w:t>
      </w:r>
      <w:r>
        <w:rPr>
          <w:rFonts w:ascii="Times New Roman" w:hAnsi="Times New Roman"/>
          <w:color w:val="000000"/>
          <w:sz w:val="20"/>
        </w:rPr>
        <w:t>” means any Person appointed by the Directors to perform any of the duties of the secretary of the Company.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0"/>
        </w:rPr>
        <w:t>Securities Act</w:t>
      </w:r>
      <w:r>
        <w:rPr>
          <w:rFonts w:ascii="Times New Roman" w:hAnsi="Times New Roman"/>
          <w:color w:val="000000"/>
          <w:sz w:val="20"/>
        </w:rPr>
        <w:t>” means the U.S. Securities Act of 1933, as amended, or any similar U.S. federal statute and the rules and regulations of the SEC thereunder, all as the same shall be in effect at the time.</w:t>
      </w:r>
    </w:p>
    <w:p>
      <w:pPr>
        <w:pStyle w:val="TextBody"/>
        <w:bidi w:val="0"/>
        <w:spacing w:before="0" w:after="240"/>
        <w:jc w:val="both"/>
        <w:rPr/>
      </w:pPr>
      <w:r>
        <w:rPr>
          <w:color w:val="000000"/>
        </w:rPr>
        <w:t>“</w:t>
      </w:r>
      <w:r>
        <w:rPr>
          <w:rFonts w:ascii="Times New Roman" w:hAnsi="Times New Roman"/>
          <w:b/>
          <w:color w:val="000000"/>
          <w:sz w:val="20"/>
        </w:rPr>
        <w:t>Series</w:t>
      </w:r>
      <w:r>
        <w:rPr>
          <w:rFonts w:ascii="Times New Roman" w:hAnsi="Times New Roman"/>
          <w:color w:val="000000"/>
          <w:sz w:val="20"/>
        </w:rPr>
        <w:t>” means a series of a Class as may from time to time be issued by the Company.</w:t>
      </w:r>
    </w:p>
    <w:p>
      <w:pPr>
        <w:pStyle w:val="TextBody"/>
        <w:bidi w:val="0"/>
        <w:spacing w:before="0" w:after="240"/>
        <w:jc w:val="both"/>
        <w:rPr/>
      </w:pPr>
      <w:r>
        <w:rPr>
          <w:color w:val="000000"/>
        </w:rPr>
        <w:t>“</w:t>
      </w:r>
      <w:r>
        <w:rPr>
          <w:rFonts w:ascii="Times New Roman" w:hAnsi="Times New Roman"/>
          <w:b/>
          <w:color w:val="000000"/>
          <w:sz w:val="20"/>
        </w:rPr>
        <w:t>Share</w:t>
      </w:r>
      <w:r>
        <w:rPr>
          <w:rFonts w:ascii="Times New Roman" w:hAnsi="Times New Roman"/>
          <w:color w:val="000000"/>
          <w:sz w:val="20"/>
        </w:rPr>
        <w:t>” means a share in the capital of the Company. All references to “Shares” herein shall be deemed to be Shares of any or all Classes as the context may require. For the avoidance of doubt in these Articles the expression “Share” shall include a fraction of a Share.</w:t>
      </w:r>
    </w:p>
    <w:p>
      <w:pPr>
        <w:pStyle w:val="TextBody"/>
        <w:bidi w:val="0"/>
        <w:spacing w:before="0" w:after="240"/>
        <w:jc w:val="both"/>
        <w:rPr/>
      </w:pPr>
      <w:r>
        <w:rPr>
          <w:color w:val="000000"/>
        </w:rPr>
        <w:t>“</w:t>
      </w:r>
      <w:r>
        <w:rPr>
          <w:rFonts w:ascii="Times New Roman" w:hAnsi="Times New Roman"/>
          <w:b/>
          <w:color w:val="000000"/>
          <w:sz w:val="20"/>
        </w:rPr>
        <w:t>Shareholder</w:t>
      </w:r>
      <w:r>
        <w:rPr>
          <w:rFonts w:ascii="Times New Roman" w:hAnsi="Times New Roman"/>
          <w:color w:val="000000"/>
          <w:sz w:val="20"/>
        </w:rPr>
        <w:t>” means a Person who is registered as the holder of Shares in the Register and includes each subscriber to the Memorandum of Association pending entry in the Register of such subscriber.</w:t>
      </w:r>
    </w:p>
    <w:p>
      <w:pPr>
        <w:pStyle w:val="TextBody"/>
        <w:bidi w:val="0"/>
        <w:spacing w:before="0" w:after="240"/>
        <w:jc w:val="both"/>
        <w:rPr/>
      </w:pPr>
      <w:r>
        <w:rPr>
          <w:color w:val="000000"/>
        </w:rPr>
        <w:t>“</w:t>
      </w:r>
      <w:r>
        <w:rPr>
          <w:rFonts w:ascii="Times New Roman" w:hAnsi="Times New Roman"/>
          <w:b/>
          <w:color w:val="000000"/>
          <w:sz w:val="20"/>
        </w:rPr>
        <w:t>Share Premium Account</w:t>
      </w:r>
      <w:r>
        <w:rPr>
          <w:rFonts w:ascii="Times New Roman" w:hAnsi="Times New Roman"/>
          <w:color w:val="000000"/>
          <w:sz w:val="20"/>
        </w:rPr>
        <w:t>” means the share premium account established in accordance with these Articles and the Companies Act.</w:t>
      </w:r>
    </w:p>
    <w:p>
      <w:pPr>
        <w:pStyle w:val="TextBody"/>
        <w:bidi w:val="0"/>
        <w:spacing w:before="0" w:after="240"/>
        <w:jc w:val="both"/>
        <w:rPr/>
      </w:pPr>
      <w:r>
        <w:rPr>
          <w:color w:val="000000"/>
        </w:rPr>
        <w:t>“</w:t>
      </w:r>
      <w:r>
        <w:rPr>
          <w:rFonts w:ascii="Times New Roman" w:hAnsi="Times New Roman"/>
          <w:b/>
          <w:color w:val="000000"/>
          <w:sz w:val="20"/>
        </w:rPr>
        <w:t>Solicitation Statement</w:t>
      </w:r>
      <w:r>
        <w:rPr>
          <w:rFonts w:ascii="Times New Roman" w:hAnsi="Times New Roman"/>
          <w:color w:val="000000"/>
          <w:sz w:val="20"/>
        </w:rPr>
        <w:t>” has the meaning given to it in Article 10(e).</w:t>
      </w:r>
    </w:p>
    <w:p>
      <w:pPr>
        <w:pStyle w:val="TextBody"/>
        <w:bidi w:val="0"/>
        <w:spacing w:before="0" w:after="240"/>
        <w:jc w:val="both"/>
        <w:rPr/>
      </w:pPr>
      <w:r>
        <w:rPr>
          <w:color w:val="000000"/>
        </w:rPr>
        <w:t>“</w:t>
      </w:r>
      <w:r>
        <w:rPr>
          <w:rFonts w:ascii="Times New Roman" w:hAnsi="Times New Roman"/>
          <w:b/>
          <w:color w:val="000000"/>
          <w:sz w:val="20"/>
        </w:rPr>
        <w:t>signed</w:t>
      </w:r>
      <w:r>
        <w:rPr>
          <w:rFonts w:ascii="Times New Roman" w:hAnsi="Times New Roman"/>
          <w:color w:val="000000"/>
          <w:sz w:val="20"/>
        </w:rPr>
        <w:t>” or “</w:t>
      </w:r>
      <w:r>
        <w:rPr>
          <w:rFonts w:ascii="Times New Roman" w:hAnsi="Times New Roman"/>
          <w:b/>
          <w:color w:val="000000"/>
          <w:sz w:val="20"/>
        </w:rPr>
        <w:t>executed</w:t>
      </w:r>
      <w:r>
        <w:rPr>
          <w:rFonts w:ascii="Times New Roman" w:hAnsi="Times New Roman"/>
          <w:color w:val="000000"/>
          <w:sz w:val="20"/>
        </w:rPr>
        <w:t xml:space="preserve">” means bearing a signature or representation of a signature affixed by mechanical means. </w:t>
      </w:r>
    </w:p>
    <w:p>
      <w:pPr>
        <w:pStyle w:val="TextBody"/>
        <w:bidi w:val="0"/>
        <w:spacing w:before="0" w:after="240"/>
        <w:jc w:val="both"/>
        <w:rPr/>
      </w:pPr>
      <w:r>
        <w:rPr>
          <w:color w:val="000000"/>
        </w:rPr>
        <w:t>“</w:t>
      </w:r>
      <w:r>
        <w:rPr>
          <w:rFonts w:ascii="Times New Roman" w:hAnsi="Times New Roman"/>
          <w:b/>
          <w:color w:val="000000"/>
          <w:sz w:val="20"/>
        </w:rPr>
        <w:t>Special Resolution</w:t>
      </w:r>
      <w:r>
        <w:rPr>
          <w:rFonts w:ascii="Times New Roman" w:hAnsi="Times New Roman"/>
          <w:color w:val="000000"/>
          <w:sz w:val="20"/>
        </w:rPr>
        <w:t>” means a special resolution of the Company passed in accordance with the Companies Act, being a resolution: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pStyle w:val="TextBody"/>
        <w:bidi w:val="0"/>
        <w:spacing w:before="0" w:after="240"/>
        <w:jc w:val="both"/>
        <w:rPr/>
      </w:pPr>
      <w:r>
        <w:rPr>
          <w:color w:val="000000"/>
        </w:rPr>
        <w:t>“</w:t>
      </w:r>
      <w:r>
        <w:rPr>
          <w:rFonts w:ascii="Times New Roman" w:hAnsi="Times New Roman"/>
          <w:b/>
          <w:color w:val="000000"/>
          <w:sz w:val="20"/>
        </w:rPr>
        <w:t>Synthetic Equity Interest</w:t>
      </w:r>
      <w:r>
        <w:rPr>
          <w:rFonts w:ascii="Times New Roman" w:hAnsi="Times New Roman"/>
          <w:color w:val="000000"/>
          <w:sz w:val="20"/>
        </w:rPr>
        <w:t xml:space="preserve">” has the meaning given to it in Article 10. </w:t>
      </w:r>
    </w:p>
    <w:p>
      <w:pPr>
        <w:pStyle w:val="TextBody"/>
        <w:bidi w:val="0"/>
        <w:spacing w:before="0" w:after="240"/>
        <w:jc w:val="both"/>
        <w:rPr/>
      </w:pPr>
      <w:r>
        <w:rPr>
          <w:color w:val="000000"/>
        </w:rPr>
        <w:t>“</w:t>
      </w:r>
      <w:r>
        <w:rPr>
          <w:rFonts w:ascii="Times New Roman" w:hAnsi="Times New Roman"/>
          <w:b/>
          <w:color w:val="000000"/>
          <w:sz w:val="20"/>
        </w:rPr>
        <w:t>Timely Notice</w:t>
      </w:r>
      <w:r>
        <w:rPr>
          <w:rFonts w:ascii="Times New Roman" w:hAnsi="Times New Roman"/>
          <w:color w:val="000000"/>
          <w:sz w:val="20"/>
        </w:rPr>
        <w:t xml:space="preserve">” has the meaning given to it in Article 10. </w:t>
      </w:r>
    </w:p>
    <w:p>
      <w:pPr>
        <w:pStyle w:val="TextBody"/>
        <w:bidi w:val="0"/>
        <w:spacing w:before="0" w:after="240"/>
        <w:jc w:val="both"/>
        <w:rPr/>
      </w:pPr>
      <w:r>
        <w:rPr>
          <w:color w:val="000000"/>
        </w:rPr>
        <w:t>“</w:t>
      </w:r>
      <w:r>
        <w:rPr>
          <w:rFonts w:ascii="Times New Roman" w:hAnsi="Times New Roman"/>
          <w:b/>
          <w:color w:val="000000"/>
          <w:sz w:val="20"/>
        </w:rPr>
        <w:t>Treasury Shares</w:t>
      </w:r>
      <w:r>
        <w:rPr>
          <w:rFonts w:ascii="Times New Roman" w:hAnsi="Times New Roman"/>
          <w:color w:val="000000"/>
          <w:sz w:val="20"/>
        </w:rPr>
        <w:t>” means Shares that were previously issued but were purchased, redeemed, surrendered or otherwise acquired by the Company and not cancelled.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these Articles, save where the context requires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words importing the singular number shall include the plural number and vice versa;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words importing the masculine gender only shall include the feminine gender and any Person as the context may require;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 “may” shall be construed as permissive and the word “shall” shall be construed as imperative;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references to provisions of any law or regulation shall be construed as references to those provisions as amended, modified, re-enacted or replaced;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phrase introduced by the terms “including”, “include”, “in particular” or any similar expression shall be construed as illustrative and shall not limit the sense of the words preceding those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reference to a dollar or dollars or US$ (or $) and to a cent or cents is reference to dollars and cents of the United States of America;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reference to a statutory enactment shall include reference to any amendment or re-enactment thereof for the time being in force;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reference to any determination by the Directors shall be construed as a determination by the Directors in their sole and absolute discretion and shall be applicable either generally or in any particular case;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requirements as to execution or signature under the Articles including the execution of the Articles themselves can be satisfied in the form of an electronic signature as defined in the Electronic Transactions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preceding Articles, any words defined in the Companies Act shall, if not inconsistent with the subject or context, bear the same meaning in these Articles.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Preliminary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business of the Company may be commenced at any time after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Office shall be at such address in the Cayman Islands as the Directors may from time to time determine.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also have and maintain an office or principal place of business at such place as may be fixed by the Directors, and may also have offices at such other places, as the Directors may from time to time determine or the business of the Company may require.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Act; provided that a duplicate of such Branch Register(s) shall be maintained with the Principal Register in accordance with the Companies Act and the rules or requirements of any Designated Stock Exchange.</w:t>
      </w:r>
    </w:p>
    <w:p>
      <w:pPr>
        <w:pStyle w:val="TextBody"/>
        <w:bidi w:val="0"/>
        <w:jc w:val="center"/>
        <w:rPr>
          <w:rFonts w:ascii="Times New Roman" w:hAnsi="Times New Roman"/>
          <w:b/>
          <w:color w:val="000000"/>
          <w:sz w:val="20"/>
        </w:rPr>
      </w:pPr>
      <w:r>
        <w:rPr>
          <w:rFonts w:ascii="Times New Roman" w:hAnsi="Times New Roman"/>
          <w:b/>
          <w:color w:val="000000"/>
          <w:sz w:val="20"/>
        </w:rPr>
        <w:t>SHAREHOLDERS</w:t>
      </w:r>
    </w:p>
    <w:p>
      <w:pPr>
        <w:pStyle w:val="TextBody"/>
        <w:bidi w:val="0"/>
        <w:spacing w:before="240" w:after="283"/>
        <w:jc w:val="center"/>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Annual General Meetings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so long as the Company’s Shares are traded on a Designated Stock Exchange, the Company shall in each year hold a general meeting as its annual general meeting at such time and place (including any Electronic Facility) as may be determined by the Directors in accordance with the rules of the Designated Stock Exchange, unless such Designated Stock Exchange does not require the holding of an annual general meeting. If no annual general meeting has been held for a period of thirteen (13) months after the Company's last annual general meeting, a general meeting in lieu thereof may be held, and such general meeting shall have, for the purposes of these Articles or otherwise, all the force and effect of an annual general meeting in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0"/>
        </w:rPr>
        <w:t>accordance with applicable law. In such scenario, any and all references hereafter in these Articles to any annual general meeting(s) also shall be deemed to refer to any general meeting(s) in lieu thereof.</w:t>
      </w:r>
      <w:r>
        <w:rPr>
          <w:color w:val="000000"/>
        </w:rPr>
        <w:t xml:space="preserve">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Notice of Shareholder Business and Nominations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Nominations of persons for election to the board of Directors and the proposal of other business to be considered by the Shareholders may be brought before an annual general meeting (i) by or at the direction of the board of Directors or (ii) by any Shareholder who was a shareholder of record at the time of giving of notice provided for in this Article, who is entitled to vote at the meeting, who is present (in person or by proxy) at the meeting and who complies with the notice procedures set forth in Article 10 as to such nomination or business. For the avoidance of doubt, the foregoing clause (ii) shall be the exclusive means for a Shareholder to bring nominations or business properly before an annual general meeting, and such Shareholder must also comply with the notice and other procedures set forth in Articles 9-16 to bring such nominations or business properly before an annual general meeting.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pPr>
      <w:r>
        <w:rPr>
          <w:rFonts w:ascii="Times New Roman" w:hAnsi="Times New Roman"/>
          <w:color w:val="000000"/>
          <w:sz w:val="20"/>
        </w:rPr>
        <w:t xml:space="preserve">For nominations or other business to be properly brought before an annual general meeting by a Shareholder pursuant to clause (ii) of Article 9, the Shareholder must (i) have given Timely Notice (as defined below) thereof in writing to the Secretary or Directors of the Company, (ii) have provided any updates or supplements to such notice at the times and in the forms required by this Article 10 and (iii) together with the beneficial owner(s), if any, on whose behalf the nomination or business proposal is made, have acted in accordance with the representations set forth in the Solicitation Statement (as defined below) required by this Article 10. To be timely, a Shareholder's written notice shall be received by the Secretary or Directors at the principal executive offices of the Company not later than the close of business on the ninetieth (90th) day nor earlier than the close of business on the one hundred twentieth (120th) day prior to the one-year anniversary of the preceding year’s annual general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the annual general meeting is first convened more than thirty (30) days before or more than sixty (60) days after such anniversary date, or if no annual general meeting were held in the preceding year, notice by the Shareholder to be timely must be received by the Secretary or Directors of the Company not later than the close of business on the later of the ninetieth (90th) day prior to the scheduled date of such annual general meeting or the tenth (10th) day following the day on which public announcement of the date of such meeting is first made (such notice within such time periods shall be referred to as “</w:t>
      </w:r>
      <w:r>
        <w:rPr>
          <w:rFonts w:ascii="Times New Roman" w:hAnsi="Times New Roman"/>
          <w:b/>
          <w:color w:val="000000"/>
          <w:sz w:val="20"/>
        </w:rPr>
        <w:t>Timely Notice</w:t>
      </w:r>
      <w:r>
        <w:rPr>
          <w:color w:val="000000"/>
        </w:rPr>
        <w:t>”</w:t>
      </w:r>
      <w:r>
        <w:rPr>
          <w:rFonts w:ascii="Times New Roman" w:hAnsi="Times New Roman"/>
          <w:color w:val="000000"/>
          <w:sz w:val="20"/>
        </w:rPr>
        <w:t>). Notwithstanding anything to the contrary provided herein, for the first annual general meeting following the initial public offering of Ordinary Shares of the Company, a Shareholder's notice shall be timely if received by the Secretary or Directors at the principal executive offices of the Company not later than the close of business on the later of the ninetieth (90th) day prior to the scheduled date of such annual general meeting or the tenth (10th) day following the day on which public announcement of the date of such annual general meeting is first made or sent by the Company. Such Shareholder's Timely Notice shall set forth: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to each person whom the Shareholder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Shareholder and each nominee and any other person or persons (naming such person or persons) pursuant to which the nominations are to be made by the Shareholder or concerning the nominee’s potential service on the board of Directors, (vi) a written statement executed by the nominee acknowledging that as a director of the Company, the nominee will owe fiduciary duties to the Company, and (vii) all information relating to such person that is required to be disclosed in solicitations of proxies for election of directors in an election contest, or is otherwise required, in each case pursuant to Regulation 14A under the Exchange Act (including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person’s written consent to being named in the proxy statement as a nominee and to serving as a director if elected);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to any other business that the Shareholder proposes to bring before the meeting, a brief description of the business desired to be brought before the meeting, the text, if any, of any resolutions or amendments to the Articles proposed for adoption, the reasons for conducting such business at the meeting, and any material interest in such business of each Proposing Person (as defined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rPr>
        <w:t>(i) the name and address of the Shareholder giving the notice, as they appear on the Company's books, and the names and addresses of the other Proposing Persons (if any) and (ii) as to each Proposing Person, the following information: (a) the Class or Series and number of all Shares of the Company which are, directly or indirectly, owned beneficially or of record by such Proposing Person or any of its affiliates or associates (as such terms are defined in Rule 12b-2 promulgated under the Exchange Act), including any Shares of any Class or Series of the Company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the Company, (d) any rights to dividends or other distributions on the Shares of any Class or Series of the Company, directly or indirectly, owned beneficially by such Proposing Person that are separated or separable from the underlying Shares of the Company, and (e) any performance-related fees (other than an asset based fee) that such Proposing Person, directly or indirectly, is entitled to based on any increase or decrease in the value of Shares of the Company or any Synthetic Equity Interests (the disclosures to be made pursuant to the foregoing clauses (a) through (e) are referred to, collectively, as “</w:t>
      </w:r>
      <w:r>
        <w:rPr>
          <w:rFonts w:ascii="Times New Roman" w:hAnsi="Times New Roman"/>
          <w:b/>
          <w:color w:val="000000"/>
          <w:sz w:val="20"/>
        </w:rPr>
        <w:t>Material Ownership Interests</w:t>
      </w:r>
      <w:r>
        <w:rPr>
          <w:color w:val="000000"/>
        </w:rPr>
        <w:t>”</w:t>
      </w:r>
      <w:r>
        <w:rPr>
          <w:rFonts w:ascii="Times New Roman" w:hAnsi="Times New Roman"/>
          <w:color w:val="000000"/>
          <w:sz w:val="20"/>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Shareholders (which description shall identify the name of each other person who is party to such an agreement, arrangement or understanding), and (ii) identification of the names and addresses of other Shareholders (including beneficial owners) known by any of the Proposing Persons to support such nominations or other business proposal(s), and to the extent known, the class and number of all shares of the Company owned beneficially or of record by such other Shareholder(s) or other beneficial owner(s);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rPr>
        <w:t>a statement whether or not the Shareholder giving the notice and/or the other Proposing Person(s), if any, will deliver a proxy statement and form of proxy to holders of, in the case of a business proposal, at least the percentage of voting power of all of the shares of Company required under applicable law to approve the proposal or, in the case of a nomination or nominations, at least the percentage of voting power of all of the Shares of the Company reasonably believed by such Proposing Person to be sufficient to elect the nominee or nominees proposed to be nominated by such Shareholder (such statement, the “</w:t>
      </w:r>
      <w:r>
        <w:rPr>
          <w:rFonts w:ascii="Times New Roman" w:hAnsi="Times New Roman"/>
          <w:b/>
          <w:color w:val="000000"/>
          <w:sz w:val="20"/>
        </w:rPr>
        <w:t>Solicitation Statement</w:t>
      </w:r>
      <w:r>
        <w:rPr>
          <w:color w:val="000000"/>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For purposes of this Article 10, the term “</w:t>
      </w:r>
      <w:r>
        <w:rPr>
          <w:rFonts w:ascii="Times New Roman" w:hAnsi="Times New Roman"/>
          <w:b/>
          <w:color w:val="000000"/>
          <w:sz w:val="20"/>
        </w:rPr>
        <w:t>Proposing Person</w:t>
      </w:r>
      <w:r>
        <w:rPr>
          <w:rFonts w:ascii="Times New Roman" w:hAnsi="Times New Roman"/>
          <w:color w:val="000000"/>
          <w:sz w:val="20"/>
        </w:rPr>
        <w:t xml:space="preserve">” shall mean the following persons: (i) the Shareholder of record providing the notice of nominations or business proposed to be brought before a Shareholders' meeting, and (ii) the beneficial owner(s), if different, on whose behalf the nominations or business proposed to be brought before a Shareholders' meeting is made. </w:t>
      </w:r>
    </w:p>
    <w:p>
      <w:pPr>
        <w:pStyle w:val="TextBody"/>
        <w:bidi w:val="0"/>
        <w:spacing w:before="0" w:after="240"/>
        <w:jc w:val="both"/>
        <w:rPr>
          <w:rFonts w:ascii="Times New Roman" w:hAnsi="Times New Roman"/>
          <w:sz w:val="20"/>
        </w:rPr>
      </w:pPr>
      <w:r>
        <w:rPr>
          <w:rFonts w:ascii="Times New Roman" w:hAnsi="Times New Roman"/>
          <w:color w:val="000000"/>
          <w:sz w:val="20"/>
        </w:rPr>
        <w:t>For purposes of Article 10(c), the term “</w:t>
      </w:r>
      <w:r>
        <w:rPr>
          <w:rFonts w:ascii="Times New Roman" w:hAnsi="Times New Roman"/>
          <w:b/>
          <w:color w:val="000000"/>
          <w:sz w:val="20"/>
        </w:rPr>
        <w:t>Synthetic Equity Interest</w:t>
      </w:r>
      <w:r>
        <w:rPr>
          <w:rFonts w:ascii="Times New Roman" w:hAnsi="Times New Roman"/>
          <w:color w:val="000000"/>
          <w:sz w:val="20"/>
        </w:rPr>
        <w:t xml:space="preserve">” shall mean any transaction, agreement or arrangement (or series of transactions, agreements or arrangements), including, without limitation, any derivative, swap, hedge, repurchase or so-called “share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the Company, or (d) increase or decrease the voting power of any person or entity with respect to any Shares of any Class or Series of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Shareholder providing Timely Notice of nominations or business proposed to be brought before an annual general meeting shall further update and supplement such notice, if necessary, so that the information (including, without limitation, the Material Ownership Interests information) provided or required to be provided in such notice pursuant to these Articles shall be true and correct as of the record date for such annual general meeting and as of the date that is ten (10) business days prior to such annual general meeting, and such update and supplement shall be received by the Secretary or the Directors at the principal executive offices of the Company not later than the close of business on the fifth (5th) business day after the record date for such annual general meeting (in the case of the update and supplement required to be made as of the record date), and not later than the close of business on the eighth (8th) business day prior to the date of the annual general meeting (in the case of the update and supplement required to be made as of ten (10) business days prior to such annual general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the second sentence of Article 10 to the contrary, in the event that the number of directors to be elected to the board of Directors of the Company is increased and there is no public announcement naming all of the nominees for director or specifying the size of the increased board of Directors made by the Company at least ten (10) days before the last day a Shareholder may deliver a notice of nomination in accordance with the second sentence of Article 10, a Shareholder's notice required by these Articles shall also be considered timely, but only with respect to nominees for any new positions created by such increase, if it shall be received by the Secretary or Directors of the Company not later than the close of business on the tenth (10th) day following the day on which such public announcement is first made by the Company.</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Only such persons who are nominated in accordance with the provisions of these Articles shall be eligible for election and to serve as Directors and only such business shall be conducted at an annual general meeting as shall have been brought before the meeting in accordance with the provisions of these Articles. The board of Directors or a designated committee thereof shall have the power to determine whether a nomination or any business proposed to be brought before the meeting was made in accordance with the provisions of these Articles. If neither the board of Directors nor such designated committee makes a determination as to whether any Shareholder proposal or nomination was made in accordance with the provisions of these Articles, the presiding officer or chairman of the annual general meeting shall have the power and duty to determine whether the Shareholder proposal or nomination was made in accordance with the provisions of these Articles. If the board of Directors or a designated committee thereof or the presiding officer or chairman, as applicable, determines that any Shareholder proposal or nomination was not made in accordance with the provisions of these Articles, such proposal or nomination shall be disregarded and shall not be presented for action at the annual general meeting.</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Nothing in Articles 9-15 shall obligate the Company or the board of Directors to include in any proxy statement or other shareholder communication distributed on behalf of the Company or the board of Directors information with respect to any nominee for director or any other matter of business submitted by a Shareholder.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provisions in Articles 9-15, if the nominating or proposing Shareholder (or a qualified representative of the Shareholder) does not appear at the annual general meeting to present a nomination or any business, such nomination or business shall be disregarded, notwithstanding that proxies in respect of such vote may have been received by the Company. For purposes of in Articles 9-15, to be considered a qualified representative of the proposing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to the presiding officer or chairman at the meeting of Shareholders.</w:t>
      </w:r>
    </w:p>
    <w:p>
      <w:pPr>
        <w:pStyle w:val="TextBody"/>
        <w:bidi w:val="0"/>
        <w:spacing w:before="0" w:after="240"/>
        <w:jc w:val="both"/>
        <w:rPr>
          <w:rFonts w:ascii="Times New Roman" w:hAnsi="Times New Roman"/>
          <w:sz w:val="20"/>
        </w:rPr>
      </w:pPr>
      <w:r>
        <w:rPr>
          <w:rFonts w:ascii="Times New Roman" w:hAnsi="Times New Roman"/>
          <w:color w:val="000000"/>
          <w:sz w:val="20"/>
        </w:rPr>
        <w:t>For purposes of these Articles, “</w:t>
      </w:r>
      <w:r>
        <w:rPr>
          <w:rFonts w:ascii="Times New Roman" w:hAnsi="Times New Roman"/>
          <w:b/>
          <w:color w:val="000000"/>
          <w:sz w:val="20"/>
        </w:rPr>
        <w:t>public announcement</w:t>
      </w:r>
      <w:r>
        <w:rPr>
          <w:rFonts w:ascii="Times New Roman" w:hAnsi="Times New Roman"/>
          <w:color w:val="000000"/>
          <w:sz w:val="20"/>
        </w:rPr>
        <w:t>” shall mean disclosure in a press release reported by the Dow Jones News Service, Associated Press or comparable national news service or in a document publicly furnished or filed by the Company with the Securities and Exchange Commission pursuant to Section 13, 14 or 15(d) of the Exchange Act.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General Meetings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rights, if any, of the holders of any series of Preferred Shares and any Certificate of Designation, general meetings of Shareholders may be called only by the board of Directors acting pursuant to a resolution approved by the affirmative vote of a simple majority of the voting power of the Directors present at a meeting of the Directors, or in accordance with the terms set out in Article 53 of these Articles. Only those matters set forth in the notice of the general meeting may be considered or acted upon at a general meeting of Shareholders. Nominations of persons for election to the board of Directors of the Company and Shareholder proposals of other business shall not be brought before a general meeting of Shareholders unless such general meeting is held in lieu of an annual general meeting of Shareholders in accordance with Article 8, in which case such general meeting in lieu thereof shall be deemed an annual general meeting for purposes of these Articles and the terms of Articles 9-15 shall govern such general meeting.</w:t>
      </w:r>
    </w:p>
    <w:p>
      <w:pPr>
        <w:pStyle w:val="TextBody"/>
        <w:bidi w:val="0"/>
        <w:spacing w:before="0" w:after="240"/>
        <w:jc w:val="both"/>
        <w:rPr>
          <w:rFonts w:ascii="Times New Roman" w:hAnsi="Times New Roman"/>
          <w:sz w:val="20"/>
        </w:rPr>
      </w:pPr>
      <w:r>
        <w:rPr>
          <w:rFonts w:ascii="Times New Roman" w:hAnsi="Times New Roman"/>
          <w:b/>
          <w:i/>
          <w:color w:val="000000"/>
          <w:sz w:val="20"/>
        </w:rPr>
        <w:t>Notice of Meetings; Adjournments; Postponements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notice of each annual general meeting stating the time, date and place (including any Electronic Facility) of such annual general meeting and the means of remote communication, if any, by which Shareholders and proxyholders may be deemed to be present in person and vote at such meeting, shall be given not less than ten (10) days nor more than sixty (60) days before the annual general meeting, to each Shareholder entitled to vote thereat as of the relevant record date for such meeting by delivering such notice to such Shareholder in accordance with Articles 122-126.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Notice of all general meetings of Shareholders shall be given in the same manner as provided for annual general meetings, except that the notice of all general meetings shall state the purpose or purposes for which the meeting has been called.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Notice of an annual general meeting or general meeting of Shareholders need not be given to a Shareholder if a waiver of notice is executed, or waiver of notice by electronic transmission is provided, before or after such meeting by such Shareholder or if such Shareholder attends such meeting, unless such attendance is for the express purpose of objecting at the beginning of the meeting to the transaction of any business because the meeting was not lawfully called or convened.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of Directors may postpone, cancel and reschedule any previously scheduled annual general meeting or general meeting of Shareholders and any record date with respect thereto for any reason or for no reason at any time prior to the time for holding such meeting or, if the meeting is adjourned, the time for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holding such adjourned meeting, regardless of whether any notice or public disclosure with respect to any such meeting has been sent or made pursuant to Articles 9-15 or otherwise. The Directors shall make a public announcement of any cancellation or postponement or otherwise provide notice to Shareholders of any cancellation or postponement. A postponement may be for a stated period of any length or indefinitely as the Directors may determine. In no event shall the public announcement of an adjournment, cancellation, postponement or rescheduling of any previously scheduled meeting of Shareholders commence a new time period for the giving of a Shareholder's notice under these Articles.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When any meeting is convened, the presiding officer or chairman may adjourn the meeting if (i) no quorum is present for the transaction of business, (ii) the board of Directors determines that adjournment is necessary or appropriate to enable the Shareholders to consider fully information which the board of Directors determines has not been made sufficiently or timely available to Shareholders, or (iii) the board of Directors determines that adjournment is otherwise in the best interests of the Company. When any annual general meeting or general meeting of Shareholders is adjourned to another time, date or place (including any Electronic Facility), notice need not be given of the adjourned meeting other than an announcement at the meeting at which the adjournment is taken of the time, date and place (including any Electronic Facility), if any, to which the meeting is adjourned and the means of remote communications, if any, by which Shareholders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Shareholders and proxyholders may be deemed to be present in person and vote at such adjourned meeting shall be given to each Shareholder of record entitled to vote thereat and each Shareholder who, under these Articles, is entitled to such notice.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Directors shall determine the date, time and place (including any Electronic Facility), if any, of such general meeting. After determination of the date, time and place (including any Electronic Facility), if any, of the meeting, the Directors or Secretary shall cause a notice of general meeting to be given to the Shareholders entitled to vote as of the record date of such meeting, in accordance with Articles 17-21. No business may be transacted at such general meeting otherwise than specified in the notice of general meeting or pursuant to and in accordance with Articles 9-16 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accidental omission to give notice of a meeting to or the non-receipt of a notice of a meeting by any Shareholder shall not invalidate the proceedings at any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written waiver of any notice, signed by a Shareholder,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Quorum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otherwise required in any Certificate of Designation (as the case may be) or these Articles,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in Articles 17-21. At such adjourned meeting at which a quorum is present, any business may be transacted which might have been transacted at the original meeting. The Shareholders present at a duly constituted meeting may continue to transact business until adjournment, notwithstanding the withdrawal of enough Shareholders to leave less than a quorum.</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Voting and Proxies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otherwise provided in these Articles and subject to any rights and restrictions for the time being attached to any Share, every holder of an Ordinary Share present in person and every Person representing a Shareholder by proxy shall, at a general meeting of the Company, have one vote for each Ordinary Share of which he or she or the Person represented by proxy is the holder;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otherwise provided for in a Certificate of Designation or as otherwise provided in these Articles and subject to any rights and restrictions for the time being attached to any Share, a holder of a Preferred Share shall have no voting rights.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purpose of determining those Shareholders entitled to vote at any meeting of the Shareholders, except as otherwise provided by law, only persons in whose names are recorded on the Register on the record date, as provided in Article 39, shall be entitled to vote at any meeting of Shareholders. Every person entitled to vote shall have the right to do so either in person, by remote communication, if applicable, or by an agent or agents authorized by a duly appointed proxy. An agent so appointed need not be a Shareholder.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 poll, votes may be given either personally or by proxy.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instrument appointing a proxy shall be either: (i) in writing under the hand of the appointor or of his or her duly authorized attorney or, if the appointor is a corporation, either under Seal or under the hand of an Officer or attorney duly authorized; or (ii) given in such other manner as described in any form of proxy provided by the Company. A proxy need not be a Shareholder.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instrument appointing a proxy may be in any usual or common form or such other form as the Directors may approve.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instrument appointing a proxy shall be deposited at the Office or at such other place as is specified for that purpose in the notice convening the meeting no later than the time specified in the notice convening the general meeting or, if no such time is specified, no later than the time for holding the meeting or, if the meeting is adjourned, the time for holding such adjourned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Shares held in the name of two or more persons shall be valid if executed by or on behalf of any one of them unless at or prior to the exercise of the proxy the Company receives a specific written notice to the contrary from any one of them.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resolution put to the vote of the meeting shall be decided on a poll in such manner as the chairman directs and the result of the poll shall be deemed to be the resolution of the meeting.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Action at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When a quorum is present at any meeting of Shareholders, any matter before any such meeting (other than an election of a director or directors) shall be decided by a simple majority of the votes properly cast for and against such matter, except where otherwise required under these Articles (including, without limitation, Articles 92, 127, 136 and 138), any Certificate of Designation or by applicable law. </w:t>
      </w:r>
    </w:p>
    <w:p>
      <w:pPr>
        <w:pStyle w:val="TextBody"/>
        <w:bidi w:val="0"/>
        <w:spacing w:before="0" w:after="240"/>
        <w:jc w:val="both"/>
        <w:rPr>
          <w:rFonts w:ascii="Times New Roman" w:hAnsi="Times New Roman"/>
          <w:sz w:val="20"/>
        </w:rPr>
      </w:pPr>
      <w:r>
        <w:rPr>
          <w:rFonts w:ascii="Times New Roman" w:hAnsi="Times New Roman"/>
          <w:b/>
          <w:i/>
          <w:color w:val="000000"/>
          <w:sz w:val="20"/>
        </w:rPr>
        <w:t>Presiding Officer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of Directors shall designate a representative to preside over all annual general meetings or general meetings of Shareholders,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 unable to so preside or is absent, then the president shall preside over such meetings. The presiding officer at any annual general meeting or general meeting of Shareholders shall have the power, among other things, to adjourn such meeting at any time and from time to time, subject to Articles 17-25. The order of business and all other matters of procedure at any meeting of the Shareholders shall be determined by the presiding officer.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Inspector of Elections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in advance of any meeting of Shareholders, appoint one or more inspectors to act at the meeting and make a written report thereof. The Company may designate one or more persons as alternate inspectors to replace any inspector who fails to act. If no inspector or alternate is able to act at a meeting of Shareholders, the presiding officer or chairman shall appoint one or more inspectors to act at the meeting. Any inspector may, but need not, be an officer, employee or agent of the Company. Each inspector, before entering upon the discharge of his or her duties, shall take and sign an oath faithfully to execute the duties of inspector with strict impartiality and according to the best of his or her ability. The inspectors shall perform such duties as are required by applicable law, including the counting of all votes and ballots. The inspectors may appoint or retain other persons or entities to assist the inspectors in the performance of the duties of the inspectors. The presiding officer or chairman may review all determinations made by the inspectors, and in so doing the presiding officer or chairman shall be entitled to exercise his or her sole judgment and discretion and he or she shall not be bound by any determinations made by the inspectors. All determinations by the inspectors and, if applicable, the presiding officer or chairman, shall be subject to further review by any court of competent jurisdiction.</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Corporations Acting by Representatives at Meetings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corporation which is a Shareholder or a Director may by resolution of its directors or other governing body authorize such Person as it thinks fit to act as its representative at any meeting of the Company or of any meeting of holders of any Class of Shareholder or of the Directors or of a committee of Directors, and the Person so authorized shall be entitled to exercise the same powers on behalf of the corporation which he or she represents as that corporation could exercise if it were an individual Shareholder or Director.</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Clearing Houses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clearing house (or its nominee) is a Shareholder of the Company it may authorize (including through an omnibus proxy form) such person or persons as it thinks fit to act as its representative or representatives at any meeting of the Company or at any meeting of any Class of Shareholder of the Company. A person so authorized pursuant to this Article 38 shall be entitled to exercise the same powers on behalf of the clearing house (or its nominee) which he or she represents as that clearing house (or its nominee) could exercise if it were an individual Shareholder holding the number and Class of Shares specified in such authorization.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Record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order that the Company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unless otherwise agreed by the Directors, and which record date: (a) in the case of determination of Shareholders entitled to vote at any meeting of Shareholders, shall, unless otherwise required by applicable law, not be more than sixty (60) nor less than ten (10) days before the date of such meeting and (b) in the case of any other action, shall not be more than sixty (60) days prior to such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40"/>
        <w:jc w:val="center"/>
        <w:rPr>
          <w:rFonts w:ascii="Times New Roman" w:hAnsi="Times New Roman"/>
          <w:sz w:val="20"/>
        </w:rPr>
      </w:pPr>
      <w:r>
        <w:rPr>
          <w:rFonts w:ascii="Times New Roman" w:hAnsi="Times New Roman"/>
          <w:b/>
          <w:color w:val="000000"/>
          <w:sz w:val="20"/>
        </w:rPr>
        <w:t>DIRECTORS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Powers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powers of the Company shall be exercised, its business conducted, and its property controlled, by the board of Directors.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Number of Directors; Term of Office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rights of the holders of any Series of Preferred Shares specified by these Articles or any Certificate of Designation, the number of directors that shall constitute the board of Directors shall be fixed exclusively by resolutions adopted by a simple majority of the voting power of the authorized number of Directors then in office or in accordance with terms set out in Article 53 of these Articles. Directors need not be Shareholders. If for any reason, the Directors shall not have been elected at an annual general meeting in accordance with these Articles, they may be elected as soon thereafter as convenient at a general meeting of the Shareholders called for that purpose in the manner provided in these Articles.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rights of the holders of any series of Preferred Shares to elect additional directors specified by these Articles or any Certificate of Designation, for so long as the Company’s Shares are traded on a Designated Stock Exchange, the Directors (other than those who may be elected by the holders of any Series of Preferred Shares) shall be divided into three classes designated as Class I, Class II and Class III, respectively. The Directors are authorized to assign Directors already in office to such classes in accordance with a resolution or resolutions adopted by the board of Directors. At the first annual general meeting of Shareholders following the closing of the Initial Public Offering, the term of office of the Class I directors shall expire and Class I directors shall be elected for a full term of three years. At the second annual general meeting of Shareholders following the closing of the Initial Public Offering, the term of office of the Class II directors shall expire and Class II directors shall be elected for a full term of three years. At the third annual general meeting of Shareholders following the closing of the Initial Public Offering,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class whose terms expire at such annual general meeting. Notwithstanding the foregoing provisions of this Article 42, each Director shall serve until his or her successor is duly elected and qualified or until his or her earlier death, resignation or removal. No decrease in the number of directors constituting the board of Directors shall shorten the term of any incumbent director. Any election of directors by Shareholders shall be determined by a plurality of the votes properly cast on the election of directors.</w:t>
      </w:r>
    </w:p>
    <w:p>
      <w:pPr>
        <w:pStyle w:val="TextBody"/>
        <w:bidi w:val="0"/>
        <w:spacing w:before="0" w:after="240"/>
        <w:jc w:val="both"/>
        <w:rPr>
          <w:rFonts w:ascii="Times New Roman" w:hAnsi="Times New Roman"/>
          <w:sz w:val="20"/>
        </w:rPr>
      </w:pPr>
      <w:r>
        <w:rPr>
          <w:rFonts w:ascii="Times New Roman" w:hAnsi="Times New Roman"/>
          <w:b/>
          <w:i/>
          <w:color w:val="000000"/>
          <w:sz w:val="20"/>
        </w:rPr>
        <w:t>Qualification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 Director need be a Shareholder of the Company.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Vacancies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44.</w:t>
      </w:r>
    </w:p>
    <w:p>
      <w:pPr>
        <w:pStyle w:val="TextBody"/>
        <w:bidi w:val="0"/>
        <w:spacing w:before="0" w:after="240"/>
        <w:jc w:val="both"/>
        <w:rPr/>
      </w:pPr>
      <w:r>
        <w:rPr>
          <w:rFonts w:ascii="Times New Roman" w:hAnsi="Times New Roman"/>
          <w:color w:val="000000"/>
          <w:sz w:val="20"/>
        </w:rPr>
        <w:t xml:space="preserve">Subject to the rights, if any, of the holders of any series of Preferred Shares to elect Directors and to fill vacancies in the board of Directors relating thereto in these Articles or any Certificate of Designation,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simple majority of the voting power of the Directors then in office, or in accordance with the terms set out in Article 53 of these Articles, or by a sole remaining director, and not by the Shareholders.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Preferred Shares to elect Directors, when the number of Directors is increased or decreased, the board of Directors shall, subject to Articles 41 and 42, determine the class or classes to which the increased or decreased number of Directors shall be apportioned;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Removal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the rights and restrictions of holders of any series of Preferred Shares to remove Directors specified by these Articles or any Certificate of Designation, neither the board of Directors nor any individual Director may be removed without cause.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46.</w:t>
      </w:r>
    </w:p>
    <w:p>
      <w:pPr>
        <w:pStyle w:val="TextBody"/>
        <w:bidi w:val="0"/>
        <w:spacing w:before="0" w:after="240"/>
        <w:jc w:val="both"/>
        <w:rPr/>
      </w:pPr>
      <w:r>
        <w:rPr>
          <w:rFonts w:ascii="Times New Roman" w:hAnsi="Times New Roman"/>
          <w:color w:val="000000"/>
          <w:sz w:val="20"/>
        </w:rPr>
        <w:t>Subject to the rights and restrictions of holders of any series of Preferred Shares to remove Directors specified by these Articles or any Certificate of Designation, any individual Director or board of Directors may be removed with cause by Special Resolution (the “</w:t>
      </w:r>
      <w:r>
        <w:rPr>
          <w:rFonts w:ascii="Times New Roman" w:hAnsi="Times New Roman"/>
          <w:b/>
          <w:i/>
          <w:color w:val="000000"/>
          <w:sz w:val="20"/>
        </w:rPr>
        <w:t>Requisite Removal with Cause Threshold</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least forty-five (45) days prior to any annual general meeting or general meeting of Shareholders at which it is proposed that any Director be removed from office, written notice of such proposed removal and the alleged grounds thereof shall be sent to the Director whose removal will be considered at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purposes of Articles 45 and 46 and any Certificate of Designation (as the case may be), “cause” for the removal of a Director shall be deemed to exist only if such Director has been found by the affirmative vote of the Requisite Removal with Cause Threshold (provided that written advice of external legal counsel has been provided to the Company in support of such finding), or by a court of competent jurisdiction, to have been guilty of (a) wilful misconduct or fraud in the performance of such director’s duties to the Company or (b) any fraud or dishonesty or having acted in any manner which brings, or is likely to bring, such director or the Company into disrepute or is materially adverse to the Company’s interests.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Resignation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Director may resign at any time by electronic transmission or by giving written notice to the chairman, if one is elected, the chief executive officer, if one is elected, the president or the secretary, or the board of Directors. A resignation shall be effective upon receipt, unless the resignation otherwise provides.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Director Meetings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Meetings of the board of Directors may be held at such time, date and place (including any Electronic Facility) as the board of Directors may from time to time determine and publicize by means of reasonable notice (either orally or in writing, by telephone, including a voice-messaging system or other system designed to record and communicate messages, telegraph or telex, or by electronic mail or other electronic means) given to any director who is not present at the meeting at which any such resolution is adopted. No further notice shall be required for meetings of the Directors. </w:t>
      </w:r>
    </w:p>
    <w:p>
      <w:pPr>
        <w:pStyle w:val="TextBody"/>
        <w:bidi w:val="0"/>
        <w:spacing w:before="0" w:after="240"/>
        <w:jc w:val="both"/>
        <w:rPr>
          <w:rFonts w:ascii="Times New Roman" w:hAnsi="Times New Roman"/>
          <w:sz w:val="20"/>
        </w:rPr>
      </w:pPr>
      <w:r>
        <w:rPr>
          <w:rFonts w:ascii="Times New Roman" w:hAnsi="Times New Roman"/>
          <w:b/>
          <w:i/>
          <w:color w:val="000000"/>
          <w:sz w:val="20"/>
        </w:rPr>
        <w:t>Quorum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At any meeting of the board of Directors, a simple majority of the voting power of the Directors then in office shall constitute a quorum for the transaction of business, but if less than a quorum is present at a meeting, a simple majority of the voting power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Article 50, the total number of Directors includes any unfilled vacancies on the Board of Directors.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Action at Directors' Meeting</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At any meeting of the board of Directors at which a quorum is present, the vote of a simple majority of the voting power of the Directors present shall constitute action by the board of Directors, unless otherwise required under these Articles or any Certificate of Designation (as the case may be).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Waiver of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written waiver of any notice, signed by a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Action By Consent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Manner of Participation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Articles.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Chairman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of Directors may elect a chairman of their meetings and determine the period for which they are to hold office but if no such chairman is elected, or if at any meeting the chairman is not present after the time appointed for holding the meeting, the Directors present may choose one of their number to be chairman of the meeting.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Committees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by vote of a simple majority of the voting power of the Directors then in office or in accordance with the terms set out in Article 53 of these Articles, may elect one or more committees, including, without limitation, a Compensation Committee, a Nomination and Corporate Governance Committee and an Audit Committee (in accordance with Article 132), and may delegate thereto some or all of its powers in accordance with these Articles.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Articles for the board of Directors. All members of such committees shall hold such offices as the board of Directors may determine. The board of Directors may abolish any such committee at any time. Any committee to which the board of Directors delegates any of its powers or duties shall keep records of its meetings and shall report its action to the board of Directors. Subject to any regulations imposed on it by the Directors, a committee appointed by the Directors may elect a chairman of its meetings. If no such chairman is elected, or if at any meeting the chairman is not present after the time appointed for holding the meeting, the committee members present may choose one of their number to be chairman of the meeting.</w:t>
      </w:r>
    </w:p>
    <w:p>
      <w:pPr>
        <w:pStyle w:val="TextBody"/>
        <w:bidi w:val="0"/>
        <w:spacing w:before="0" w:after="240"/>
        <w:jc w:val="both"/>
        <w:rPr>
          <w:rFonts w:ascii="Times New Roman" w:hAnsi="Times New Roman"/>
          <w:sz w:val="20"/>
        </w:rPr>
      </w:pPr>
      <w:r>
        <w:rPr>
          <w:rFonts w:ascii="Times New Roman" w:hAnsi="Times New Roman"/>
          <w:b/>
          <w:i/>
          <w:color w:val="000000"/>
          <w:sz w:val="20"/>
        </w:rPr>
        <w:t>Compensation of Directors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Directors shall receive such compensation for their services as shall be determined by a simple majority of the voting power of the Directors then in office or in accordance with the terms set out in Article 53 of these Articles, or a designated committee thereof.</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Interested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Director who is in any way, whether directly or indirectly, interested in a contract or proposed contract with the Company shall declare the nature of his or her interest at a meeting of the Directors. A general notice given to the Directors by any Director to the effect that he or she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or she may be interested therein and if he or she does so his or her vote shall be counted and he or she may be counted in the quorum at any meeting of the Directors at which any such contract or proposed contract or arrangement shall come before the meeting for consideration.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Director Records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shall cause minutes to be made provided for the purpose of recording: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appointments of Officers made by the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names of the Directors present at each meeting of the Directors and of any committee of the Directors;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resolutions and proceedings at all meetings of the Company, and of the Directors and of committees of Directors.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Authority to Wind Up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shall have the authority to present a winding up petition on behalf of the Company without the sanction of a resolution passed by the Company in a general meeting.</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Alternate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Director may in writing appoint another Person to be his or her alternate and, save to the extent provided otherwise in the form of appointment, such alternate shall have authority to sign written resolutions on behalf of the appointing Director, but shall not be authorized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or her and where he or she is a Director to have a separate vote in addition to his or her own vote. A Director may at any time in writing revoke the appointment of an alternate appointed by him or her.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alternate shall not be an Officer solely as a result of his or her appointment as an alternate other than in respect of such times as the alternate acts as a Director. The remuneration of such alternate shall be payable out of the remuneration of the Director appointing him or her and the proportion thereof shall be agreed between them.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from time to time appoint any Person, whether or not a Director to hold such office in the Company as the Directors may think necessary for the administration of the Company (including, for the avoidance of doubt and without limitation, any chairman (or co-chairman) of the board of Directors, one or more chief executive officers, presiding officer, presidents, a chief financial officer, a secretary, assistant secretary, vice-presidents, assistant vice-presidents, a treasurer, assistant treasurer or any other Officers as may be determined by the Directors),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No Officer need be a Shareholder or a Director. Any Person may occupy more than one office of the Company at any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64.</w:t>
      </w:r>
    </w:p>
    <w:p>
      <w:pPr>
        <w:pStyle w:val="TextBody"/>
        <w:bidi w:val="0"/>
        <w:spacing w:before="0" w:after="240"/>
        <w:jc w:val="both"/>
        <w:rPr/>
      </w:pPr>
      <w:r>
        <w:rPr>
          <w:rFonts w:ascii="Times New Roman" w:hAnsi="Times New Roman"/>
          <w:color w:val="000000"/>
          <w:sz w:val="20"/>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hAnsi="Times New Roman"/>
          <w:b/>
          <w:color w:val="000000"/>
          <w:sz w:val="20"/>
        </w:rPr>
        <w:t>Attorney</w:t>
      </w:r>
      <w:r>
        <w:rPr>
          <w:color w:val="000000"/>
        </w:rPr>
        <w:t xml:space="preserve">” </w:t>
      </w:r>
      <w:r>
        <w:rPr>
          <w:rFonts w:ascii="Times New Roman" w:hAnsi="Times New Roman"/>
          <w:color w:val="000000"/>
          <w:sz w:val="20"/>
        </w:rPr>
        <w:t>or “</w:t>
      </w:r>
      <w:r>
        <w:rPr>
          <w:rFonts w:ascii="Times New Roman" w:hAnsi="Times New Roman"/>
          <w:b/>
          <w:color w:val="000000"/>
          <w:sz w:val="20"/>
        </w:rPr>
        <w:t>Authorised Signatory</w:t>
      </w:r>
      <w:r>
        <w:rPr>
          <w:color w:val="000000"/>
        </w:rPr>
        <w:t>”</w:t>
      </w:r>
      <w:r>
        <w:rPr>
          <w:rFonts w:ascii="Times New Roman" w:hAnsi="Times New Roman"/>
          <w:color w:val="000000"/>
          <w:sz w:val="20"/>
        </w:rPr>
        <w:t>,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w:t>
      </w:r>
    </w:p>
    <w:p>
      <w:pPr>
        <w:pStyle w:val="TextBody"/>
        <w:bidi w:val="0"/>
        <w:spacing w:before="0" w:after="240"/>
        <w:jc w:val="center"/>
        <w:rPr>
          <w:rFonts w:ascii="Times New Roman" w:hAnsi="Times New Roman"/>
          <w:sz w:val="20"/>
        </w:rPr>
      </w:pPr>
      <w:r>
        <w:rPr>
          <w:rFonts w:ascii="Times New Roman" w:hAnsi="Times New Roman"/>
          <w:b/>
          <w:color w:val="000000"/>
          <w:sz w:val="20"/>
        </w:rPr>
        <w:t>SHARES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these Articles and to the rights and restrictions of holders of any series of Preferred Shares specified by these Articles or any Certificate of Designation and, where applicable, the rules of the Designated Stock Exchange and/or any competent regulatory authority, all Shares for the time being unissued shall be under the control of the Directors who may: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issue, allot and dispose of the same to such Persons, in such manner, on such terms and having such rights and being subject to such restrictions as they may from time to time determine;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grant options with respect to such Shares and issue warrants or similar instruments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and, for such purposes, the Directors may reserve an appropriate number of Shares for the time being unissued.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the rights and restrictions of holders of any series of Preferred Shares specified by these Articles or any Certificate of Designation, the Directors, or the Shareholders by Ordinary Resolution, may authorize the division of Shares into any number of Classes and sub-classes and Series and sub-series and the different Classes and sub-classes and Series and sub-series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and Series (if any) may be fixed and determined by the Directors or the Shareholders by Ordinary Resolution.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conversion of Shares may be effected in any manner available under applicable law, including redeeming or repurchasing the relevant Shares and applying the proceeds thereof towards payment for the new Shares. For the purposes of the repurchase or redemption, the Directors may, subject to the Company being able to pay its debts in the ordinary course of business, make payments out of amounts standing to the credit of the Company’s share premium account or out of its capital.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refuse to accept any application for Shares, and may accept any application in whole or in part, for any reason or for no reason. The Company may, insofar as may be permitted by law, pay a commission to any Person in consideration of their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Fractional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Calls on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the terms of the allotment and issue of any Shares, the Directors may from time to time make calls upon the Shareholders in respect of Shares that are not fully paid, and each Shareholder shall (subject to receiving at least 14 days’ notice specifying the time or times of payment) pay to the Company at the time or times so specified the amount unpaid on such Shares. The Directors may at any time declare any Share to be wholly or in part exempt from the provisions of this Article.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joint holders of a Share shall be jointly and severally liable to pay calls in respect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make arrangements on the issue of partly paid Shares for a difference between the Shareholders, or the particular Shares, in the amount of calls to be paid and in the times of 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w:t>
      </w:r>
    </w:p>
    <w:p>
      <w:pPr>
        <w:pStyle w:val="TextBody"/>
        <w:bidi w:val="0"/>
        <w:spacing w:before="0" w:after="240"/>
        <w:jc w:val="both"/>
        <w:rPr>
          <w:rFonts w:ascii="Times New Roman" w:hAnsi="Times New Roman"/>
          <w:sz w:val="20"/>
        </w:rPr>
      </w:pPr>
      <w:r>
        <w:rPr>
          <w:rFonts w:ascii="Times New Roman" w:hAnsi="Times New Roman"/>
          <w:b/>
          <w:i/>
          <w:color w:val="000000"/>
          <w:sz w:val="20"/>
        </w:rPr>
        <w:t>Forfeiture of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Shareholder fails to pay any call or instalment of a call in respect of any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notice shall name a further day (not earlier than the expiration of 14 days from the date of the notice) on or before which the payment required by the notice is to be made, and shall state that in the event of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non-payment at or before the time appointed the Shares in respect of which the call was made will be liable to be forfeited.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forfeited Share may be sold or otherwise disposed of on such terms and in such manner as the Directors think fit, and at any time before a sale or disposition the forfeiture may be cancelled on such terms as the Directors think 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statutory declaration in writing that the declarant is a Director, and that a Share has been duly forfeited on a date stated in the declaration, shall be conclusive evidence of the facts in the declaration as against all Persons claiming to be entitled to the Share.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Transfer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these Articles and the rules or regulations of the Designated Stock Exchange or any relevant rules of the SEC or securities laws (including, but not limited to the Exchange Act), a Shareholder may transfer all or any of his or her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83.</w:t>
      </w:r>
    </w:p>
    <w:p>
      <w:pPr>
        <w:pStyle w:val="TextBody"/>
        <w:bidi w:val="0"/>
        <w:spacing w:before="0" w:after="240"/>
        <w:jc w:val="both"/>
        <w:rPr/>
      </w:pPr>
      <w:r>
        <w:rPr>
          <w:rFonts w:ascii="Times New Roman" w:hAnsi="Times New Roman"/>
          <w:color w:val="000000"/>
          <w:sz w:val="20"/>
        </w:rPr>
        <w:t>The instrument of transfer of any Share shall be in (i) any usual or common form; (ii) such form as is prescribed by the Designated Stock Exchange; or (iii) in any other form the Directors may determine 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terms of issue thereof and the rules or regulations of the Designated Stock Exchange or any relevant rules of the SEC or securities laws (including, but not limited to the Exchange Act), the Directors may determine to decline to register any transfer of Shares without assigning any reason therefor.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registration of transfers may be suspended at such times and for such periods as the Directors may from time to time determine.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instruments of transfer that are registered shall be retained by the Company, but any instrument of transfer that the Directors decline to register shall (except in any case of fraud) be returned to the Person depositing the same.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Transmission of Shares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w:t>
      </w:r>
    </w:p>
    <w:p>
      <w:pPr>
        <w:pStyle w:val="TextBody"/>
        <w:bidi w:val="0"/>
        <w:spacing w:before="0" w:after="240"/>
        <w:jc w:val="both"/>
        <w:rPr>
          <w:rFonts w:ascii="Times New Roman" w:hAnsi="Times New Roman"/>
          <w:sz w:val="20"/>
        </w:rPr>
      </w:pPr>
      <w:r>
        <w:rPr>
          <w:rFonts w:ascii="Times New Roman" w:hAnsi="Times New Roman"/>
          <w:b/>
          <w:i/>
          <w:color w:val="000000"/>
          <w:sz w:val="20"/>
        </w:rPr>
        <w:t>Alteration of Share Capital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rights and restrictions of holders of any series of Preferred Shares specified by these Articles or any Certificate of Designation, the Company may from time to time by Ordinary Resolution increase the share capital by such sum, to be divided into Shares of such Classes and amount, as the resolution shall prescribe.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rights and restrictions of holders of any series of Preferred Shares specified by these Articles or any Certificate of Designation, the Company may by Ordinary Resolution: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consolidate and divide all or any of its share capital into Shares of a larger amount than its existing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convert all or any of its paid up Shares into stock and reconvert that stock into paid up Shares of any denomination;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cancel any Shares that, at the date of the passing of the resolution, have not been taken or agreed to be taken by any Person and diminish the amount of its share capital by the amount of the Shares so cancelled.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by Special Resolution reduce its share capital and any capital redemption reserve in any manner authorized by law.</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Redemption, Purchase and Surrender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Companies Act and the rules of the Designated Stock Exchange, the Company may: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issue Shares on terms that they are to be redeemed or are liable to be redeemed at the option of the Company or the Shareholder on such terms and in such manner as the Directors may determine;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purchase its own Shares (including any redeemable Shares) on such terms and in such manner as the Directors may determine and agree with the Shareholder;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make a payment in respect of the redemption or purchase of its own Shares in any manner authorized by the Companies Act, including out of its capital;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accept the surrender for no consideration of any paid up Share (including any redeemable Share) on such terms and in such manner as the Directors may determine.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Share in respect of which notice of redemption has been given shall not be entitled to participate in the profits of the Company in respect of the period after the date specified as the date of redemption in the notice of redemption.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redemption, purchase or surrender of any Share shall not be deemed to give rise to the redemption, purchase or surrender of any other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when making payments in respect of redemption or purchase of Shares, if authorized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Treasury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that the Company purchases, redeems or acquires (by way of surrender or otherwise) may, at the option of the Company, be cancelled immediately or held as Treasury Shares in accordance with the Companies Act. In the event that the Directors do not specify that the relevant Shares are to be held as Treasury Shares, such Shares shall be cancelled.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dividend may be declared or paid, and no other distribution (whether in cash or otherwise) of the Company’s assets (including any distribution of assets to Shareholders on a winding up) may be declared or paid in respect of a Treasury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be entered in the Register as the holder of the Treasury Shares; provided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not be treated as a member for any purpose and shall not exercise any right in respect of the Treasury Shares, and any purported exercise of such a right shall be void;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Treasury Shares may be disposed of by the Company on such terms and conditions as determined by the Directors.</w:t>
      </w:r>
    </w:p>
    <w:p>
      <w:pPr>
        <w:pStyle w:val="TextBody"/>
        <w:bidi w:val="0"/>
        <w:spacing w:before="0" w:after="240"/>
        <w:jc w:val="both"/>
        <w:rPr>
          <w:rFonts w:ascii="Times New Roman" w:hAnsi="Times New Roman"/>
          <w:sz w:val="20"/>
        </w:rPr>
      </w:pPr>
      <w:r>
        <w:rPr>
          <w:rFonts w:ascii="Times New Roman" w:hAnsi="Times New Roman"/>
          <w:b/>
          <w:i/>
          <w:color w:val="000000"/>
          <w:sz w:val="20"/>
        </w:rPr>
        <w:t>Capitalization of Reserves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Companies Act and these Articles, the Directors may: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resolve to capitalize an amount standing to the credit of reserves (including a Share Premium Account, capital redemption reserve and profit and loss account), whether or not available for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appropriate the sum resolved to be capitalized to the Shareholders in proportion to the nominal amount of Shares (whether or not fully paid) held by them respectively and apply that sum on their behalf in or towards: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paying up the amounts (if any) for the time being unpaid on Shares held by them respectively, or</w:t>
      </w:r>
    </w:p>
    <w:p>
      <w:pPr>
        <w:pStyle w:val="TextBody"/>
        <w:bidi w:val="0"/>
        <w:spacing w:before="0" w:after="240"/>
        <w:jc w:val="both"/>
        <w:rPr>
          <w:rFonts w:ascii="Arial" w:hAnsi="Arial"/>
          <w:color w:val="000000"/>
          <w:sz w:val="20"/>
        </w:rPr>
      </w:pPr>
      <w:r>
        <w:rPr>
          <w:rFonts w:ascii="Arial" w:hAnsi="Arial"/>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paying up in full unissued Shares or debentures of a nominal amount equal to that sum,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101, only be applied in paying up unissued Shares to be allotted to Shareholders credited as fully 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authorize a Person to enter (on behalf of all the Shareholders concerned) into an agreement with the Company providing for either:</w:t>
      </w:r>
    </w:p>
    <w:p>
      <w:pPr>
        <w:pStyle w:val="TextBody"/>
        <w:bidi w:val="0"/>
        <w:spacing w:before="0" w:after="240"/>
        <w:jc w:val="both"/>
        <w:rPr>
          <w:rFonts w:ascii="Arial" w:hAnsi="Arial"/>
          <w:color w:val="000000"/>
          <w:sz w:val="20"/>
        </w:rPr>
      </w:pPr>
      <w:r>
        <w:rPr>
          <w:rFonts w:ascii="Arial" w:hAnsi="Arial"/>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allotment to the Shareholders respectively, credited as fully paid, of Shares or debentures to which they may be entitled on the capitalization, or</w:t>
      </w:r>
    </w:p>
    <w:p>
      <w:pPr>
        <w:pStyle w:val="TextBody"/>
        <w:bidi w:val="0"/>
        <w:spacing w:before="0" w:after="240"/>
        <w:jc w:val="both"/>
        <w:rPr>
          <w:rFonts w:ascii="Arial" w:hAnsi="Arial"/>
          <w:color w:val="000000"/>
          <w:sz w:val="20"/>
        </w:rPr>
      </w:pPr>
      <w:r>
        <w:rPr>
          <w:rFonts w:ascii="Arial" w:hAnsi="Arial"/>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payment by the Company on behalf of the Shareholders (by the application of their respective proportions of the reserves resolved to be capitalized) of the amounts or part of the amounts remaining unpaid on their existing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any such agreement made under this authority being effective and binding on all those Shareholders;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do all acts and things required to give effect to any of the actions contemplated by this Article 101.</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Share Premium Account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shall in accordance with the Companies Act establish a Share Premium Account and shall carry to the credit of such account from time to time a sum equal to the amount or value of the premium paid on the issue of any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shall be debited to any Share Premium Account on the redemption or purchase of a Share the difference between the nominal value of such Share and the redemption or purchase price; provided that at the determination of the Directors such sum may be paid out of the profits of the Company or, if permitted by the Companies Act, out of capital.</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so determined by the Directors, any Person whose name is entered as a member in the Register may receive a certificate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Shareholder’s registered address as appearing in the Register.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Every share certificate of the Company shall bear legends required under the applicable laws, including the Exchange Act.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share certificate shall be damaged or defaced or alleged to have been lost, stolen or destroyed, a new certificate representing the same Shares may be issued to the relevant Shareholder upon request subject to delivery of the old certificate or (if alleged to have been lost, stolen or destroyed) compliance with such conditions as to evidence and indemnity and the payment of out-of-pocket expenses of the Company in connection with the request as the Directors may think 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Shares are held jointly by several persons, any request may be made by any one of the joint holders and if so made shall be binding on all of the joint holders.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Modification of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a simple majority of the issued Shares of the relevant Class, or with the sanction of a resolution passed at a separate meeting of the holders of the Shares of such Class by a simple majority of the votes cast at such a meeting. To every such separate meeting all the provisions of these Articles relating to general meetings of the Company or to the proceedings thereat shall, mutatis mutandis, apply.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rights conferred upon the holders of the Shares of any Class shall not, unless otherwise expressly provided by the terms of issue of the Shares of that Class, be deemed to be materially adversely varied or abrogated by, inter alia, the creation, allotment or issue of Shares ranking pari passu with them, subsequent to them, with preferred rights (including enhanced voting rights) or the redemption or purchase of any Shares of any Class by the Company.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DIVIDENDS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Declaration of Dividends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any rights and restrictions for the time being attached to any Shares, or as otherwise provided for in the Companies Act, these Articles and any Certificate of Designation, the Directors may from time to time declare dividends (including interim dividends) and other distributions on Shares in issue and authorize payment of the same out of the funds of the Company lawfully available therefor. Dividends may be paid in cash, in property, or in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dividend may be paid in any manner as the Directors may determine. If paid by cheque it will be sent through the post to the registered address of the Shareholder or Person entitled thereto, or in the case of joint holders, to any one of such joint holders at his or her registered address or to such Person and such address as the Shareholder or Person entitled, or such joint holders as the case may be, may direct. Every such cheque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shall be made payable to the order of the Person to whom it is sent or to the order of such other Person as the Shareholder or Person entitled, or such joint holders as the case may be, may direct.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several Persons are registered as joint holders of any Share, any of them may give effectual receipts for any dividend or other moneys payable on or in respect of the Share.</w:t>
      </w:r>
    </w:p>
    <w:p>
      <w:pPr>
        <w:pStyle w:val="TextBody"/>
        <w:bidi w:val="0"/>
        <w:spacing w:before="0" w:after="240"/>
        <w:jc w:val="center"/>
        <w:rPr>
          <w:rFonts w:ascii="Times New Roman" w:hAnsi="Times New Roman"/>
          <w:sz w:val="20"/>
        </w:rPr>
      </w:pPr>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Indemnification Of Directors, Officers, Employees and Other Agents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115.</w:t>
      </w:r>
    </w:p>
    <w:p>
      <w:pPr>
        <w:pStyle w:val="TextBody"/>
        <w:bidi w:val="0"/>
        <w:spacing w:before="0" w:after="240"/>
        <w:jc w:val="both"/>
        <w:rPr/>
      </w:pPr>
      <w:r>
        <w:rPr>
          <w:rFonts w:ascii="Times New Roman" w:hAnsi="Times New Roman"/>
          <w:color w:val="000000"/>
          <w:sz w:val="20"/>
        </w:rPr>
        <w:t>To the fullest extent permitted by law, every Director (including, for the purposes of this Article 115, any alternate Director appointed pursuant to the provisions of these Articles), Secretary, assistant Secretary, or other Officer (but not including the Company’s auditors) and the personal representatives of the same (each an “</w:t>
      </w:r>
      <w:r>
        <w:rPr>
          <w:rFonts w:ascii="Times New Roman" w:hAnsi="Times New Roman"/>
          <w:b/>
          <w:i/>
          <w:color w:val="000000"/>
          <w:sz w:val="20"/>
        </w:rPr>
        <w:t>Indemnified Person</w:t>
      </w:r>
      <w:r>
        <w:rPr>
          <w:color w:val="000000"/>
        </w:rPr>
        <w:t>”</w:t>
      </w:r>
      <w:r>
        <w:rPr>
          <w:rFonts w:ascii="Times New Roman" w:hAnsi="Times New Roman"/>
          <w:color w:val="000000"/>
          <w:sz w:val="20"/>
        </w:rPr>
        <w:t xml:space="preserve">)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wilful default or wilful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Each Shareholder agrees to waive any claim or right of action he or she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wilful default or wilful neglect which may attach to such Director or Officer.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Indemnified Person shall be liable: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acts, receipts, neglects, defaults or omissions of any other Director or Officer or agent of the Company;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any loss on account of defect of title to any property of the Company;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account of the insufficiency of any security in or upon which any money of the Company shall be invested;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any loss incurred through any bank, broker or other similar Person;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any loss occasioned by any negligence, default, breach of duty, breach of trust, error of judgement or oversight on such Indemnified Person’s part;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any loss, damage or misfortune whatsoever which may happen in or arise from the execution or discharge of the duties, powers, authorities, or discretions of such Indemnified Person’s office or in relation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same shall happen through such Indemnified Person’s own actual fraud, wilful default or wilful neglect as determined by a court of competent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made only upon receipt of an undertaking by the Indemnified Person to repay all amounts advanced if it should be ultimately determined that the Indemnified Person is not entitled to be indemnified under these Articles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Directors, on behalf of the Company, may purchase and maintain insurance for the benefit of any Director or Officer of the Company against any liability which, by virtue of any rule of law, would otherwise attach to such person in respect of any negligence, default, breach of duty or breach of trust of which such person may be guilty in relation to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p>
      <w:pPr>
        <w:pStyle w:val="TextBody"/>
        <w:bidi w:val="0"/>
        <w:spacing w:before="0" w:after="240"/>
        <w:jc w:val="center"/>
        <w:rPr>
          <w:rFonts w:ascii="Times New Roman" w:hAnsi="Times New Roman"/>
          <w:sz w:val="20"/>
        </w:rPr>
      </w:pPr>
      <w:r>
        <w:rPr>
          <w:rFonts w:ascii="Times New Roman" w:hAnsi="Times New Roman"/>
          <w:b/>
          <w:color w:val="000000"/>
          <w:sz w:val="20"/>
        </w:rPr>
        <w:t>FISCAL YEAR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fiscal year of the Company shall end on 31 December of each year or such other date as the Directors may determine.</w:t>
      </w:r>
    </w:p>
    <w:p>
      <w:pPr>
        <w:pStyle w:val="TextBody"/>
        <w:bidi w:val="0"/>
        <w:jc w:val="center"/>
        <w:rPr>
          <w:rFonts w:ascii="Times New Roman" w:hAnsi="Times New Roman"/>
          <w:sz w:val="20"/>
        </w:rPr>
      </w:pPr>
      <w:r>
        <w:rPr>
          <w:rFonts w:ascii="Times New Roman" w:hAnsi="Times New Roman"/>
          <w:b/>
          <w:color w:val="000000"/>
          <w:sz w:val="20"/>
        </w:rPr>
        <w:t>THE SEAL</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Directors may adopt and alter a Seal. The Seal may be used by causing it or a facsimile thereof to be impressed or affixed or reproduced or otherwise, as may be determined from time to time by the Directors. </w:t>
      </w:r>
    </w:p>
    <w:p>
      <w:pPr>
        <w:pStyle w:val="TextBody"/>
        <w:bidi w:val="0"/>
        <w:spacing w:before="0" w:after="240"/>
        <w:jc w:val="center"/>
        <w:rPr>
          <w:rFonts w:ascii="Times New Roman" w:hAnsi="Times New Roman"/>
          <w:sz w:val="20"/>
        </w:rPr>
      </w:pPr>
      <w:r>
        <w:rPr>
          <w:rFonts w:ascii="Times New Roman" w:hAnsi="Times New Roman"/>
          <w:b/>
          <w:color w:val="000000"/>
          <w:sz w:val="20"/>
        </w:rPr>
        <w:t>NOTICES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document may be served by the Company or by the Person entitled to give notice to any Shareholder either personally, or by sending it by post or courier service in a prepaid letter addressed to such Shareholder at his or her address as appearing in the Register, or by electronic mail, or by facsimile should the Directors deem it appropriate. Notice may also be served by electronic communication in accordance with the rules and regulations of the Designated Stock Exchange, the SEC and/or any other competent regulatory authority or by placing it on the Company’s website. In the case of joint holders of a Share, all notices shall be given to that one of the joint holders whose name stands first in the Register in respect of the joint holding, and notice so given shall be sufficient notice to all the joint 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Shareholder present, either personally or by proxy, at any meeting of the Company shall for all purposes be deemed to have received due notice of such meeting and, where requisite, of the purposes for which such meeting was convened.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other document, if served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post, shall be deemed to have been served five clear days after the time when the letter containing the same is posted;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facsimile, shall be deemed to have been served upon production by the transmitting facsimile machine of a report confirming transmission of the facsimile in full to the facsimile number of the recipient;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courier service, shall be deemed to have been served 48 hours after the time when the letter containing the same is delivered to the courier service;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electronic mail or other electronic communication (such as transmission to any number, address or internet website (including the website of the SEC) or other electronic delivery methods as otherwise decided and approved by the Directors), shall be deemed to have been served immediately upon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0"/>
        </w:rPr>
        <w:t>time of the transmission by electronic mail or approved electronic communication, and it shall not be necessary for the receipt of the e-mail to be acknowledged by the recipient; or</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placing it on the Company’s website; service of the notice shall be deemed to have been effected one hour after the notice or document was placed on the Company’s website.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proving service by post or courier service it shall be sufficient to prove that the letter containing the notice or documents was properly addressed and duly posted or delivered to the courier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document delivered or sent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Notice of every general meeting of the Company shall be given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Shareholders holding Shares with the right to receive notice and who have supplied to the Company an address for the giving of notices to them;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every Person entitled to a Share in consequence of the death or bankruptcy of a Shareholder, who but for his or her death or bankruptcy would be entitled to receive notice of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other Person shall be entitled to receive notices of general meetings.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AMENDMENT OF THE ARTICLES OF ASSOCIATION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Companies Act and the rights attaching to the various Classes, including pursuant to any Certificate of Designation, the Company may at any time and from time to time by Special Resolution alter or amend these Articles in whole or in part.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ACCOUNTS, AUDIT AND ANNUAL RETURN AND DECLARATION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books of account relating to the Company’s affairs shall be kept in such manner as may be determined from time to time by the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books of account shall be kept at the Office, or at such other place or places as the Directors think fit, and shall always be open to the inspection of the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authorized by the Directors or by Ordinary Resolution.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accounts relating to the Company’s affairs shall only be audited if the Directors so determine, in which case the financial year end and the accounting principles will be determined by the Directors. The financial year of the Company is set out in Article 120.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132.</w:t>
      </w:r>
    </w:p>
    <w:p>
      <w:pPr>
        <w:pStyle w:val="TextBody"/>
        <w:bidi w:val="0"/>
        <w:spacing w:before="0" w:after="240"/>
        <w:jc w:val="both"/>
        <w:rPr/>
      </w:pPr>
      <w:r>
        <w:rPr>
          <w:rFonts w:ascii="Times New Roman" w:hAnsi="Times New Roman"/>
          <w:color w:val="000000"/>
          <w:sz w:val="20"/>
        </w:rPr>
        <w:t>Without prejudice to the freedom of the Directors to establish any other committee, if the Shares are listed or quoted on the Designated Stock Exchange, and if required by the Designated Stock Exchange, the Directors shall establish and maintain an audit committee (the “</w:t>
      </w:r>
      <w:r>
        <w:rPr>
          <w:rFonts w:ascii="Times New Roman" w:hAnsi="Times New Roman"/>
          <w:b/>
          <w:i/>
          <w:color w:val="000000"/>
          <w:sz w:val="20"/>
        </w:rPr>
        <w:t>Audit Committee</w:t>
      </w:r>
      <w:r>
        <w:rPr>
          <w:color w:val="000000"/>
        </w:rPr>
        <w:t>”</w:t>
      </w:r>
      <w:r>
        <w:rPr>
          <w:rFonts w:ascii="Times New Roman" w:hAnsi="Times New Roman"/>
          <w:color w:val="000000"/>
          <w:sz w:val="20"/>
        </w:rPr>
        <w:t xml:space="preserve">) as a committee of the board of Directors and shall adopt a formal written Audit Committee charter and review and assess the adequacy of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formal written charter on an annual basis. The composition and responsibilities of the Audit Committee shall comply with the rules and regulations of the SEC and the Designated Stock Exchange.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Directors in each year shall prepare, or cause to be prepared, an annual return and declaration setting forth the particulars required by the Companies Act and deliver a copy thereof to the Registrar of Companies in the Cayman Islands.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Winding Up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Company shall be wound up the liquidator shall apply the assets of the Company in such manner and order as he or she thinks fit in satisfaction of creditors’ claims.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shall be wound up, the liquidator may, with the sanction of an Ordinary Resolution divide amongst the Shareholders in specie or kind the whole or any part of the assets of the Company (whether they shall consist of property of the same kind or not) and may, for such purpose set such value as he or she deems fair upon any property to be divided as aforesaid and may determine how such division shall be carried out as between the Shareholders or different Classes, including, by reference to the rights and restrictions attached to such Shares under these Articles or any Certificate of Designation.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Registration By Way Of Continuation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136,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Mergers and Consolidation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merge or consolidate in accordance with the Companies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required by the Companies Act, the Company may by Special Resolution resolve to merge or consolidate the Company.</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Exclusive Jurisdiction and Forum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Unless the Company consents in writing to the selection of an alternative forum, the courts of the Cayman Islands shall have exclusive jurisdiction over any claim or dispute arising out of or in connection with the Memorandum of Association, the Articles or otherwise related in any way to each Shareholder’s shareholding in the Company, including but not limited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derivative action or proceeding brought on behalf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action asserting a claim of breach of any fiduciary or other duty owed by any current or former Director, Officer or other employee of the Company to the Company or the Shareholders;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action asserting a claim arising pursuant to any provision of the Companies Act, the Memorandum of Association or the Articles;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action asserting a claim against the Company concerning its internal affairs.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Article 142 below, each Shareholder irrevocably submits to the exclusive jurisdiction of the courts of the Cayman Islands over all such claims or disputes.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Without prejudice to any other rights or remedies that the Company may have, each Shareholder acknowledges that damages alone would not be an adequate remedy for any breach of the exclusive jurisdiction and forum provisions set out above and that accordingly the Company shall be entitled, without proof of special damages, to the remedies of injunction, specific performance or other equitable relief for any threatened or actual breach of those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Articles 139, 140 and 141 shall not apply to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6" w:name="dmra-ex3_2.htm"/>
      <w:bookmarkStart w:id="7" w:name="ksdmraex3_2"/>
      <w:bookmarkEnd w:id="6"/>
      <w:bookmarkEnd w:id="7"/>
      <w:r>
        <w:rPr>
          <w:rFonts w:ascii="Times New Roman" w:hAnsi="Times New Roman"/>
          <w:b/>
          <w:color w:val="000000"/>
          <w:sz w:val="24"/>
        </w:rPr>
        <w:t>Exhibit 3.2</w:t>
      </w:r>
      <w:r>
        <w:br w:type="page"/>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Damora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CERTIFICATE OF DESIGNATION OF PREFERENCES,</w:t>
        <w:br/>
        <w:t>RIGHTS AND LIMITATIONS</w:t>
        <w:br/>
        <w:t>OF</w:t>
        <w:br/>
        <w:t>SERIES A NON-VOTING CONVERTIBLE PREFERRED SHARES</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memorandum and articles of association of the Company, adopted by special resolution passed on 9 February 2026 and effective as of 16 July 2026 (as amended from time to time, the “</w:t>
      </w:r>
      <w:r>
        <w:rPr>
          <w:rFonts w:ascii="Times New Roman" w:hAnsi="Times New Roman"/>
          <w:b/>
          <w:i/>
          <w:color w:val="000000"/>
          <w:sz w:val="24"/>
        </w:rPr>
        <w:t>Articles</w:t>
      </w:r>
      <w:r>
        <w:rPr>
          <w:rFonts w:ascii="Times New Roman" w:hAnsi="Times New Roman"/>
          <w:color w:val="000000"/>
          <w:sz w:val="20"/>
        </w:rPr>
        <w:t>”</w:t>
      </w:r>
      <w:r>
        <w:rPr>
          <w:rFonts w:ascii="Times New Roman" w:hAnsi="Times New Roman"/>
          <w:color w:val="000000"/>
          <w:sz w:val="24"/>
        </w:rPr>
        <w:t>). Capitalised terms not otherwise defined herein shall have the meanings assigned thereto in the Articles.</w:t>
      </w:r>
    </w:p>
    <w:p>
      <w:pPr>
        <w:pStyle w:val="TextBody"/>
        <w:bidi w:val="0"/>
        <w:spacing w:before="0" w:after="240"/>
        <w:jc w:val="both"/>
        <w:rPr>
          <w:rFonts w:ascii="Times New Roman" w:hAnsi="Times New Roman"/>
          <w:sz w:val="20"/>
        </w:rPr>
      </w:pPr>
      <w:r>
        <w:rPr>
          <w:rFonts w:ascii="Times New Roman" w:hAnsi="Times New Roman"/>
          <w:b/>
          <w:color w:val="000000"/>
          <w:sz w:val="24"/>
        </w:rPr>
        <w:t>Damora Therapeutics, Inc.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 exempted company incorporated in the Cayman Islands with limited liability, DOES HEREBY CERTIFY:</w:t>
      </w:r>
    </w:p>
    <w:p>
      <w:pPr>
        <w:pStyle w:val="TextBody"/>
        <w:bidi w:val="0"/>
        <w:spacing w:before="0" w:after="240"/>
        <w:jc w:val="both"/>
        <w:rPr>
          <w:rFonts w:ascii="Times New Roman" w:hAnsi="Times New Roman"/>
          <w:sz w:val="20"/>
        </w:rPr>
      </w:pPr>
      <w:r>
        <w:rPr>
          <w:rFonts w:ascii="Times New Roman" w:hAnsi="Times New Roman"/>
          <w:color w:val="000000"/>
          <w:sz w:val="24"/>
        </w:rPr>
        <w:t>That, pursuant to the authority conferred by the Articles, at a duly convened meeting of the board of directors of the Company (the “</w:t>
      </w:r>
      <w:r>
        <w:rPr>
          <w:rFonts w:ascii="Times New Roman" w:hAnsi="Times New Roman"/>
          <w:b/>
          <w:i/>
          <w:color w:val="000000"/>
          <w:sz w:val="24"/>
        </w:rPr>
        <w:t>Board of Directors</w:t>
      </w:r>
      <w:r>
        <w:rPr>
          <w:rFonts w:ascii="Times New Roman" w:hAnsi="Times New Roman"/>
          <w:color w:val="000000"/>
          <w:sz w:val="20"/>
        </w:rPr>
        <w:t>”</w:t>
      </w:r>
      <w:r>
        <w:rPr>
          <w:rFonts w:ascii="Times New Roman" w:hAnsi="Times New Roman"/>
          <w:color w:val="000000"/>
          <w:sz w:val="24"/>
        </w:rPr>
        <w:t>) on 13 December 2025, the Board of Directors adopted the following resolutions, which such resolutions provides for the creation of a series of the Company’s Preferred Shares with a par value of US$0.00001 per share, which is designated as “Series A Non-Voting Convertible Preferred Shares,” with the preferences, rights and limitations set forth therein relating to dividends, conversion, redemption, dissolution and distribution of assets of the Company.</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Articles provide for a class of shares known as Preferred Shares, consisting of 10,000,000 shares with par value of US$0.00001 per share (the “</w:t>
      </w:r>
      <w:r>
        <w:rPr>
          <w:rFonts w:ascii="Times New Roman" w:hAnsi="Times New Roman"/>
          <w:b/>
          <w:i/>
          <w:color w:val="000000"/>
          <w:sz w:val="24"/>
        </w:rPr>
        <w:t>Preferred Shares</w:t>
      </w:r>
      <w:r>
        <w:rPr>
          <w:rFonts w:ascii="Times New Roman" w:hAnsi="Times New Roman"/>
          <w:color w:val="000000"/>
          <w:sz w:val="20"/>
        </w:rPr>
        <w:t>”</w:t>
      </w:r>
      <w:r>
        <w:rPr>
          <w:rFonts w:ascii="Times New Roman" w:hAnsi="Times New Roman"/>
          <w:color w:val="000000"/>
          <w:sz w:val="24"/>
        </w:rPr>
        <w:t>), issuable from time to time in one or more series.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RESOLVED</w:t>
      </w:r>
      <w:r>
        <w:rPr>
          <w:rFonts w:ascii="Times New Roman" w:hAnsi="Times New Roman"/>
          <w:color w:val="000000"/>
          <w:sz w:val="24"/>
        </w:rPr>
        <w:t>: that, pursuant to authority conferred upon the Board of Directors by the Articles, the Board of Directors (i) do hereby create and authorize and provide for the issuance and allotment of a series of Preferred Shares of the Company with a par value of US$0.00001 per share, designated as “Series A Non-Voting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TERMS OF SERIES A NON-VOTING CONVERTIBLE PREFERRED SHARES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For the purposes hereof, the following terms shall have the following meanings:</w:t>
      </w:r>
    </w:p>
    <w:p>
      <w:pPr>
        <w:pStyle w:val="TextBody"/>
        <w:bidi w:val="0"/>
        <w:spacing w:before="0" w:after="240"/>
        <w:jc w:val="both"/>
        <w:rPr/>
      </w:pPr>
      <w:r>
        <w:rPr>
          <w:color w:val="000000"/>
        </w:rPr>
        <w:t>“</w:t>
      </w:r>
      <w:r>
        <w:rPr>
          <w:rFonts w:ascii="Times New Roman" w:hAnsi="Times New Roman"/>
          <w:b/>
          <w:i/>
          <w:color w:val="000000"/>
          <w:sz w:val="24"/>
        </w:rPr>
        <w:t>Asset Purchase Agreement</w:t>
      </w:r>
      <w:r>
        <w:rPr>
          <w:rFonts w:ascii="Times New Roman" w:hAnsi="Times New Roman"/>
          <w:color w:val="000000"/>
          <w:sz w:val="20"/>
        </w:rPr>
        <w:t xml:space="preserve">” </w:t>
      </w:r>
      <w:r>
        <w:rPr>
          <w:rFonts w:ascii="Times New Roman" w:hAnsi="Times New Roman"/>
          <w:color w:val="000000"/>
          <w:sz w:val="24"/>
        </w:rPr>
        <w:t>means the Asset Purchase Agreement, dated as of October 7, 2024, by and between the Company and Bridge Medicines LLC, a Delaware limited liability company (“</w:t>
      </w:r>
      <w:r>
        <w:rPr>
          <w:rFonts w:ascii="Times New Roman" w:hAnsi="Times New Roman"/>
          <w:b/>
          <w:i/>
          <w:color w:val="000000"/>
          <w:sz w:val="24"/>
        </w:rPr>
        <w:t>Bridge Medicines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jc w:val="both"/>
        <w:rPr/>
      </w:pPr>
      <w:r>
        <w:rPr>
          <w:color w:val="000000"/>
        </w:rPr>
        <w:t>“</w:t>
      </w:r>
      <w:r>
        <w:rPr>
          <w:rFonts w:ascii="Times New Roman" w:hAnsi="Times New Roman"/>
          <w:b/>
          <w:i/>
          <w:color w:val="000000"/>
          <w:sz w:val="24"/>
        </w:rPr>
        <w:t>Buy-In</w:t>
      </w:r>
      <w:r>
        <w:rPr>
          <w:rFonts w:ascii="Times New Roman" w:hAnsi="Times New Roman"/>
          <w:color w:val="000000"/>
          <w:sz w:val="2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6.4.3</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Closing Sale Price</w:t>
      </w:r>
      <w:r>
        <w:rPr>
          <w:rFonts w:ascii="Times New Roman" w:hAnsi="Times New Roman"/>
          <w:color w:val="000000"/>
          <w:sz w:val="20"/>
        </w:rPr>
        <w:t xml:space="preserve">” </w:t>
      </w:r>
      <w:r>
        <w:rPr>
          <w:rFonts w:ascii="Times New Roman" w:hAnsi="Times New Roman"/>
          <w:color w:val="000000"/>
          <w:sz w:val="24"/>
        </w:rPr>
        <w:t>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4"/>
        </w:rPr>
        <w:t>Ordinary Shares</w:t>
      </w:r>
      <w:r>
        <w:rPr>
          <w:rFonts w:ascii="Times New Roman" w:hAnsi="Times New Roman"/>
          <w:color w:val="000000"/>
          <w:sz w:val="20"/>
        </w:rPr>
        <w:t xml:space="preserve">” </w:t>
      </w:r>
      <w:r>
        <w:rPr>
          <w:rFonts w:ascii="Times New Roman" w:hAnsi="Times New Roman"/>
          <w:color w:val="000000"/>
          <w:sz w:val="24"/>
        </w:rPr>
        <w:t>means the Company’s ordinary shares, par value $0.00001 per share, and shares of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b/>
          <w:i/>
          <w:color w:val="000000"/>
          <w:sz w:val="24"/>
        </w:rPr>
        <w:t>Conversion Shares</w:t>
      </w:r>
      <w:r>
        <w:rPr>
          <w:rFonts w:ascii="Times New Roman" w:hAnsi="Times New Roman"/>
          <w:color w:val="000000"/>
          <w:sz w:val="20"/>
        </w:rPr>
        <w:t xml:space="preserve">” </w:t>
      </w:r>
      <w:r>
        <w:rPr>
          <w:rFonts w:ascii="Times New Roman" w:hAnsi="Times New Roman"/>
          <w:color w:val="000000"/>
          <w:sz w:val="24"/>
        </w:rPr>
        <w:t>means, collectively, the Ordinary Shares issuable upon conversion of the Series A Non-Voting Preferred Shares in accordance with the terms hereof.</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4"/>
        </w:rPr>
        <w:t>Holder</w:t>
      </w:r>
      <w:r>
        <w:rPr>
          <w:rFonts w:ascii="Times New Roman" w:hAnsi="Times New Roman"/>
          <w:color w:val="000000"/>
          <w:sz w:val="20"/>
        </w:rPr>
        <w:t xml:space="preserve">” </w:t>
      </w:r>
      <w:r>
        <w:rPr>
          <w:rFonts w:ascii="Times New Roman" w:hAnsi="Times New Roman"/>
          <w:color w:val="000000"/>
          <w:sz w:val="24"/>
        </w:rPr>
        <w:t>means a holder of Series A Non-Voting Preferred Shares.</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b/>
          <w:i/>
          <w:color w:val="000000"/>
          <w:sz w:val="24"/>
        </w:rPr>
        <w:t>Standard Settlement Period</w:t>
      </w:r>
      <w:r>
        <w:rPr>
          <w:rFonts w:ascii="Times New Roman" w:hAnsi="Times New Roman"/>
          <w:color w:val="000000"/>
          <w:sz w:val="20"/>
        </w:rPr>
        <w:t xml:space="preserve">” </w:t>
      </w:r>
      <w:r>
        <w:rPr>
          <w:rFonts w:ascii="Times New Roman" w:hAnsi="Times New Roman"/>
          <w:color w:val="000000"/>
          <w:sz w:val="24"/>
        </w:rPr>
        <w:t>means the standard settlement period, expressed in a number of Trading Days, for the Company’s Trading Market or quotation system with respect to the Ordinary Shares that is in effect on the date of delivery of an applicable Notice of Conversion.</w:t>
      </w:r>
    </w:p>
    <w:p>
      <w:pPr>
        <w:pStyle w:val="TextBody"/>
        <w:bidi w:val="0"/>
        <w:spacing w:before="0" w:after="240"/>
        <w:jc w:val="both"/>
        <w:rPr/>
      </w:pPr>
      <w:r>
        <w:rPr>
          <w:color w:val="000000"/>
        </w:rPr>
        <w:t>“</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business.</w:t>
      </w:r>
    </w:p>
    <w:p>
      <w:pPr>
        <w:pStyle w:val="TextBody"/>
        <w:bidi w:val="0"/>
        <w:spacing w:before="0" w:after="240"/>
        <w:jc w:val="both"/>
        <w:rPr/>
      </w:pPr>
      <w:r>
        <w:rPr>
          <w:color w:val="000000"/>
        </w:rPr>
        <w:t>“</w:t>
      </w:r>
      <w:r>
        <w:rPr>
          <w:rFonts w:ascii="Times New Roman" w:hAnsi="Times New Roman"/>
          <w:b/>
          <w:i/>
          <w:color w:val="000000"/>
          <w:sz w:val="24"/>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4"/>
          <w:u w:val="single"/>
        </w:rPr>
        <w:t>Designation, Amount and Par Value</w:t>
      </w:r>
      <w:r>
        <w:rPr>
          <w:rFonts w:ascii="Times New Roman" w:hAnsi="Times New Roman"/>
          <w:color w:val="000000"/>
          <w:sz w:val="24"/>
        </w:rPr>
        <w:t>. The series of Preferred Shares shall be designated as the Company’s Series A Non-Voting Convertible Preferred Shares (the “</w:t>
      </w:r>
      <w:r>
        <w:rPr>
          <w:rFonts w:ascii="Times New Roman" w:hAnsi="Times New Roman"/>
          <w:b/>
          <w:i/>
          <w:color w:val="000000"/>
          <w:sz w:val="24"/>
        </w:rPr>
        <w:t>Series A Non-Voting Preferred Shares</w:t>
      </w:r>
      <w:r>
        <w:rPr>
          <w:color w:val="000000"/>
        </w:rPr>
        <w:t>”</w:t>
      </w:r>
      <w:r>
        <w:rPr>
          <w:rFonts w:ascii="Times New Roman" w:hAnsi="Times New Roman"/>
          <w:color w:val="000000"/>
          <w:sz w:val="24"/>
        </w:rPr>
        <w:t>) and the number of shares so designated shall be 200. Each share of Series A Non-Voting Preferred Shares shall have a par value of $0.00001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4"/>
          <w:u w:val="single"/>
        </w:rPr>
        <w:t>Dividends</w:t>
      </w:r>
      <w:r>
        <w:rPr>
          <w:rFonts w:ascii="Times New Roman" w:hAnsi="Times New Roman"/>
          <w:color w:val="000000"/>
          <w:sz w:val="24"/>
        </w:rPr>
        <w:t xml:space="preserve">. Holders shall be entitled to receive, and the Company shall pay, dividends on the Series A Non-Voting Preferred Shares (on an as-converted-to-Ordinary Shares basis, without regard to the Beneficial Ownership Limitation (as defined below)) equal to and in the same form, and in the same manner, as dividends (other than dividends on Ordinary Shares payable in the form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Ordinary Shares) actually paid on Ordinary Shares when, as and if such dividends (other than dividends payable in the form of Ordinary Shares) are paid on Ordinary Shares. Other than as set forth in the previous sentence, no other dividends shall be paid on Series A Non-Voting Preferred Shares, and the Company shall pay no dividends (other than dividends payable in the form of Ordinary Shares) on Ordinary Shares unless it simultaneously complies with the previous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4"/>
          <w:u w:val="single"/>
        </w:rPr>
        <w:t>Voting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4"/>
        </w:rPr>
        <w:t>Except as otherwise provided herein or as otherwise required by the Articles, the Series A Non-Voting Preferred Shares shall have no voting rights. However, as long as any Series A Non-Voting Preferred Shares are issued and outstanding, the Company shall not, without the affirmative vote or written waiver of the holders of a simple majority of the then issued and outstanding Series A Non-Voting Preferred Shares: (i) alter or change adversely the powers, preferences or rights given to the Series A Non-Voting Preferred Shares or alter or amend this Certificate of Designation of Preferences, Rights and Limitations of Series A Non-Voting Convertible Preferred Shares (the “</w:t>
      </w:r>
      <w:r>
        <w:rPr>
          <w:rFonts w:ascii="Times New Roman" w:hAnsi="Times New Roman"/>
          <w:b/>
          <w:i/>
          <w:color w:val="000000"/>
          <w:sz w:val="24"/>
        </w:rPr>
        <w:t>Certificate of Designation</w:t>
      </w:r>
      <w:r>
        <w:rPr>
          <w:color w:val="000000"/>
        </w:rPr>
        <w:t>”</w:t>
      </w:r>
      <w:r>
        <w:rPr>
          <w:rFonts w:ascii="Times New Roman" w:hAnsi="Times New Roman"/>
          <w:color w:val="000000"/>
          <w:sz w:val="24"/>
        </w:rPr>
        <w:t xml:space="preserve">), amend or repeal any provision of, or add any provision to, the Articles or file any articles of amendment, certificate of designations, preferences, limitations and relative rights of any series of Preferred Shares, if such action would adversely alter or change the preferences, rights, privileges or powers of, or restrictions provided for the benefit of the Series A Non-Voting Preferred Shares, regardless of whether any of the foregoing actions shall be by means of amendment to the Articles or by merger, consolidation, domestication, transfer, continuance, recapitalization, reclassification, waiver, statutory conversion or otherwise, (ii) issue further Series A Non-Voting Preferred Shares or increase or decrease (other than by conversion) the number of authorized Series A Non-Voting Preferred Shares, or (iii) enter into any agreement with respect to any of the foregoing. Holders of Ordinary Shares acquired upon the conversion of Series A Non-Voting Preferred Shares shall be entitled to the same voting rights as each other holder of Ordinary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4"/>
        </w:rPr>
        <w:t xml:space="preserve">Any vote required or permitted under </w:t>
      </w:r>
      <w:r>
        <w:rPr>
          <w:rFonts w:ascii="Times New Roman" w:hAnsi="Times New Roman"/>
          <w:color w:val="000000"/>
          <w:sz w:val="24"/>
          <w:u w:val="single"/>
        </w:rPr>
        <w:t>Section ‎4.1</w:t>
      </w:r>
      <w:r>
        <w:rPr>
          <w:color w:val="000000"/>
        </w:rPr>
        <w:t xml:space="preserve"> </w:t>
      </w:r>
      <w:r>
        <w:rPr>
          <w:rFonts w:ascii="Times New Roman" w:hAnsi="Times New Roman"/>
          <w:color w:val="000000"/>
          <w:sz w:val="24"/>
        </w:rPr>
        <w:t>may be taken at a meeting of the Holders or through the execution of an action by written consent in lieu of such meeting or other written waiver by such shareholders, provided that the consent or waiver is executed by Holders representing a simple majority of the then issued and outstanding Series A Non-Voting Preferred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4"/>
          <w:u w:val="single"/>
        </w:rPr>
        <w:t>Rank; Liquidation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4"/>
        </w:rPr>
        <w:t xml:space="preserve">The Series A Non-Voting Preferred Shares shall rank </w:t>
      </w:r>
      <w:r>
        <w:rPr>
          <w:rFonts w:ascii="Times New Roman" w:hAnsi="Times New Roman"/>
          <w:i/>
          <w:color w:val="000000"/>
          <w:sz w:val="24"/>
        </w:rPr>
        <w:t>pari passu</w:t>
      </w:r>
      <w:r>
        <w:rPr>
          <w:color w:val="000000"/>
        </w:rPr>
        <w:t xml:space="preserve"> </w:t>
      </w:r>
      <w:r>
        <w:rPr>
          <w:rFonts w:ascii="Times New Roman" w:hAnsi="Times New Roman"/>
          <w:color w:val="000000"/>
          <w:sz w:val="24"/>
        </w:rPr>
        <w:t>with the Ordinary Shares, the Company’s Series B Non-Voting Preferred Shares and the Company’s Series C Non-Voting Preferred Shares as to distributions of assets upon liquidation, dissolution or winding up of the Company, whether voluntarily or involuntarily.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4"/>
        </w:rPr>
        <w:t>Upon any liquidation, dissolution or winding-up of the Company, whether voluntary or involuntary (a “</w:t>
      </w:r>
      <w:r>
        <w:rPr>
          <w:rFonts w:ascii="Times New Roman" w:hAnsi="Times New Roman"/>
          <w:b/>
          <w:i/>
          <w:color w:val="000000"/>
          <w:sz w:val="24"/>
        </w:rPr>
        <w:t>Liquidation</w:t>
      </w:r>
      <w:r>
        <w:rPr>
          <w:color w:val="000000"/>
        </w:rPr>
        <w:t>”</w:t>
      </w:r>
      <w:r>
        <w:rPr>
          <w:rFonts w:ascii="Times New Roman" w:hAnsi="Times New Roman"/>
          <w:color w:val="000000"/>
          <w:sz w:val="24"/>
        </w:rPr>
        <w:t xml:space="preserve">), each Holder shall be entitled to receive out of the assets or distributable reserves of the Company the same amount that a holder of Ordinary Shares would receive if the Series A Non-Voting Preferred Shares were fully converted (disregarding for such purpose any Beneficial Ownership Limitations) to Ordinary Shares which amounts shall be paid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with all holders of Ordinary Shares, plus an additional amount equal to any dividends declared on but unpaid to such shares. If, upon any such Liquidation, the assets of the Company shall be insufficient to pay the Holders of the Series A Non-Voting Preferred Shares the amount required under the preceding sentence,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4"/>
          <w:u w:val="single"/>
        </w:rPr>
        <w:t>Conversion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color w:val="000000"/>
          <w:sz w:val="24"/>
          <w:u w:val="single"/>
        </w:rPr>
        <w:t>Conversion at Option of Holder</w:t>
      </w:r>
      <w:r>
        <w:rPr>
          <w:rFonts w:ascii="Times New Roman" w:hAnsi="Times New Roman"/>
          <w:color w:val="000000"/>
          <w:sz w:val="24"/>
        </w:rPr>
        <w:t xml:space="preserve">. Subject to </w:t>
      </w:r>
      <w:r>
        <w:rPr>
          <w:rFonts w:ascii="Times New Roman" w:hAnsi="Times New Roman"/>
          <w:color w:val="000000"/>
          <w:sz w:val="24"/>
          <w:u w:val="single"/>
        </w:rPr>
        <w:t>Section 6.3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6.4.3</w:t>
      </w:r>
      <w:r>
        <w:rPr>
          <w:rFonts w:ascii="Times New Roman" w:hAnsi="Times New Roman"/>
          <w:color w:val="000000"/>
          <w:sz w:val="24"/>
        </w:rPr>
        <w:t>, each Series A Non-Voting Preferred Share then issued and outstanding shall be convertible, at any time and from time to time, at the option of the Holder thereof, into a number of Ordinary Shares equal to the Conversion Ratio, subject to the Beneficial Ownership Limitation (as defined below) (each, an “</w:t>
      </w:r>
      <w:r>
        <w:rPr>
          <w:rFonts w:ascii="Times New Roman" w:hAnsi="Times New Roman"/>
          <w:b/>
          <w:i/>
          <w:color w:val="000000"/>
          <w:sz w:val="24"/>
        </w:rPr>
        <w:t>Optional Conversion</w:t>
      </w:r>
      <w:r>
        <w:rPr>
          <w:color w:val="000000"/>
        </w:rPr>
        <w:t>”</w:t>
      </w:r>
      <w:r>
        <w:rPr>
          <w:rFonts w:ascii="Times New Roman" w:hAnsi="Times New Roman"/>
          <w:color w:val="000000"/>
          <w:sz w:val="24"/>
        </w:rPr>
        <w:t xml:space="preserve">). Holders shall effect conversions by providing the Company with the form of conversion notice attached hereto as </w:t>
      </w:r>
      <w:r>
        <w:rPr>
          <w:rFonts w:ascii="Times New Roman" w:hAnsi="Times New Roman"/>
          <w:b/>
          <w:color w:val="000000"/>
          <w:sz w:val="24"/>
          <w:u w:val="single"/>
        </w:rPr>
        <w:t>Annex A</w:t>
      </w:r>
      <w:r>
        <w:rPr>
          <w:color w:val="000000"/>
        </w:rPr>
        <w:t xml:space="preserve"> </w:t>
      </w:r>
      <w:r>
        <w:rPr>
          <w:rFonts w:ascii="Times New Roman" w:hAnsi="Times New Roman"/>
          <w:color w:val="000000"/>
          <w:sz w:val="24"/>
        </w:rPr>
        <w:t>(a “</w:t>
      </w:r>
      <w:r>
        <w:rPr>
          <w:rFonts w:ascii="Times New Roman" w:hAnsi="Times New Roman"/>
          <w:b/>
          <w:i/>
          <w:color w:val="000000"/>
          <w:sz w:val="24"/>
        </w:rPr>
        <w:t>Notice of Conversion</w:t>
      </w:r>
      <w:r>
        <w:rPr>
          <w:color w:val="000000"/>
        </w:rPr>
        <w:t>”</w:t>
      </w:r>
      <w:r>
        <w:rPr>
          <w:rFonts w:ascii="Times New Roman" w:hAnsi="Times New Roman"/>
          <w:color w:val="000000"/>
          <w:sz w:val="24"/>
        </w:rPr>
        <w:t>), duly completed and executed. Provided the Company’s transfer agent is participating in the Depository Trust Company (“</w:t>
      </w:r>
      <w:r>
        <w:rPr>
          <w:rFonts w:ascii="Times New Roman" w:hAnsi="Times New Roman"/>
          <w:b/>
          <w:i/>
          <w:color w:val="000000"/>
          <w:sz w:val="24"/>
        </w:rPr>
        <w:t>DTC</w:t>
      </w:r>
      <w:r>
        <w:rPr>
          <w:color w:val="000000"/>
        </w:rPr>
        <w:t>”</w:t>
      </w:r>
      <w:r>
        <w:rPr>
          <w:rFonts w:ascii="Times New Roman" w:hAnsi="Times New Roman"/>
          <w:color w:val="000000"/>
          <w:sz w:val="24"/>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color w:val="000000"/>
          <w:sz w:val="24"/>
        </w:rPr>
        <w:t>DWAC Delivery</w:t>
      </w:r>
      <w:r>
        <w:rPr>
          <w:color w:val="000000"/>
        </w:rPr>
        <w:t>”</w:t>
      </w:r>
      <w:r>
        <w:rPr>
          <w:rFonts w:ascii="Times New Roman" w:hAnsi="Times New Roman"/>
          <w:color w:val="000000"/>
          <w:sz w:val="24"/>
        </w:rPr>
        <w:t>). The date on which an Optional Conversion shall be deemed effective (the “</w:t>
      </w:r>
      <w:r>
        <w:rPr>
          <w:rFonts w:ascii="Times New Roman" w:hAnsi="Times New Roman"/>
          <w:b/>
          <w:i/>
          <w:color w:val="000000"/>
          <w:sz w:val="24"/>
        </w:rPr>
        <w:t>Conversion Date</w:t>
      </w:r>
      <w:r>
        <w:rPr>
          <w:color w:val="000000"/>
        </w:rPr>
        <w:t>”</w:t>
      </w:r>
      <w:r>
        <w:rPr>
          <w:rFonts w:ascii="Times New Roman" w:hAnsi="Times New Roman"/>
          <w:color w:val="000000"/>
          <w:sz w:val="24"/>
        </w:rPr>
        <w:t>) shall be the Trading Day that the Notice of Conversion, completed and executed, is sent via email to, and received during regular business hours by, the Company; provided, that the original certificate(s) (if any) representing such Series A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A Non-Voting Preferred Shares being converted, duly endorsed, and the accompanying Notice of Conversion, are received by the Company. The calculations set forth in the Notice of Conversion shall control in the absence of manifest or mathematical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4"/>
          <w:u w:val="single"/>
        </w:rPr>
        <w:t>Conversion Ratio</w:t>
      </w:r>
      <w:r>
        <w:rPr>
          <w:rFonts w:ascii="Times New Roman" w:hAnsi="Times New Roman"/>
          <w:color w:val="000000"/>
          <w:sz w:val="24"/>
        </w:rPr>
        <w:t>. The “</w:t>
      </w:r>
      <w:r>
        <w:rPr>
          <w:rFonts w:ascii="Times New Roman" w:hAnsi="Times New Roman"/>
          <w:b/>
          <w:i/>
          <w:color w:val="000000"/>
          <w:sz w:val="24"/>
        </w:rPr>
        <w:t>Conversion Ratio</w:t>
      </w:r>
      <w:r>
        <w:rPr>
          <w:color w:val="000000"/>
        </w:rPr>
        <w:t xml:space="preserve">” </w:t>
      </w:r>
      <w:r>
        <w:rPr>
          <w:rFonts w:ascii="Times New Roman" w:hAnsi="Times New Roman"/>
          <w:color w:val="000000"/>
          <w:sz w:val="24"/>
        </w:rPr>
        <w:t>for each Series A Non-Voting Preferred Share shall be 1,000 Ordinary Shares issuable upon the conversion (the “</w:t>
      </w:r>
      <w:r>
        <w:rPr>
          <w:rFonts w:ascii="Times New Roman" w:hAnsi="Times New Roman"/>
          <w:b/>
          <w:i/>
          <w:color w:val="000000"/>
          <w:sz w:val="24"/>
        </w:rPr>
        <w:t>Conversion</w:t>
      </w:r>
      <w:r>
        <w:rPr>
          <w:color w:val="000000"/>
        </w:rPr>
        <w:t>”</w:t>
      </w:r>
      <w:r>
        <w:rPr>
          <w:rFonts w:ascii="Times New Roman" w:hAnsi="Times New Roman"/>
          <w:color w:val="000000"/>
          <w:sz w:val="24"/>
        </w:rPr>
        <w:t>) of each Series A Non-Voting Preferred Share (corresponding to a ratio of 1,000:1), subject to adjustment as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4"/>
          <w:u w:val="single"/>
        </w:rPr>
        <w:t>Beneficial Ownership Limitation</w:t>
      </w:r>
      <w:r>
        <w:rPr>
          <w:rFonts w:ascii="Times New Roman" w:hAnsi="Times New Roman"/>
          <w:color w:val="000000"/>
          <w:sz w:val="24"/>
        </w:rPr>
        <w:t xml:space="preserve">. Notwithstanding anything herein to the contrary, the Company shall not effect any conversion of any Series A Non-Voting Preferred Share, and a Holder shall not have the right to convert any portion of the Series A Non-Voting Preferred Share pursuant to </w:t>
      </w:r>
      <w:r>
        <w:rPr>
          <w:rFonts w:ascii="Times New Roman" w:hAnsi="Times New Roman"/>
          <w:color w:val="000000"/>
          <w:sz w:val="24"/>
          <w:u w:val="single"/>
        </w:rPr>
        <w:t>Section ‎6.1</w:t>
      </w:r>
      <w:r>
        <w:rPr>
          <w:rFonts w:ascii="Times New Roman" w:hAnsi="Times New Roman"/>
          <w:color w:val="000000"/>
          <w:sz w:val="24"/>
        </w:rPr>
        <w:t>, to the extent that, after giving effect to such attempted conversion set forth on an applicable Notice of Conversion (as defined in the Certificate of Designation) with respect to the Series A Non-Voting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color w:val="000000"/>
          <w:sz w:val="24"/>
        </w:rPr>
        <w:t>Attribution Parties</w:t>
      </w:r>
      <w:r>
        <w:rPr>
          <w:color w:val="000000"/>
        </w:rPr>
        <w:t>”</w:t>
      </w:r>
      <w:r>
        <w:rPr>
          <w:rFonts w:ascii="Times New Roman" w:hAnsi="Times New Roman"/>
          <w:color w:val="000000"/>
          <w:sz w:val="24"/>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A Non-Voting Preferred Shares subject to the Notice of Conversion with respect to which such determination is being made, but shall exclude the number of Ordinary Shares which are issuable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upon (A) conversion of the remaining, unconverted Series A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color w:val="000000"/>
          <w:sz w:val="24"/>
          <w:u w:val="single"/>
        </w:rPr>
        <w:t>Section ‎6.3</w:t>
      </w:r>
      <w:r>
        <w:rPr>
          <w:rFonts w:ascii="Times New Roman" w:hAnsi="Times New Roman"/>
          <w:color w:val="000000"/>
          <w:sz w:val="24"/>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4"/>
          <w:u w:val="single"/>
        </w:rPr>
        <w:t>Section ‎6.3</w:t>
      </w:r>
      <w:r>
        <w:rPr>
          <w:rFonts w:ascii="Times New Roman" w:hAnsi="Times New Roman"/>
          <w:color w:val="000000"/>
          <w:sz w:val="24"/>
        </w:rPr>
        <w:t>, in determining the number of issued and outstanding Ordinary Shares, a Holder may rely on the number of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then outstanding. Upon the written request of a Holder (which may be by email), the Company shall, within two (2) Trading Days thereof, confirm in writing to such Holder (which may be via email) the number of Ordinary Shares then issued and outstanding. In any case, the number of issued and outstanding Ordinary Shares shall be determined after giving effect to any actual conversion or exercise of securities of the Company, including of Series A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color w:val="000000"/>
          <w:sz w:val="24"/>
        </w:rPr>
        <w:t>Beneficial Ownership Limitation</w:t>
      </w:r>
      <w:r>
        <w:rPr>
          <w:color w:val="000000"/>
        </w:rPr>
        <w:t xml:space="preserve">” </w:t>
      </w:r>
      <w:r>
        <w:rPr>
          <w:rFonts w:ascii="Times New Roman" w:hAnsi="Times New Roman"/>
          <w:color w:val="000000"/>
          <w:sz w:val="24"/>
        </w:rPr>
        <w:t xml:space="preserve">shall initially be 4.9% of the number of Ordinary Shares issued and outstanding immediately after giving effect to the issuance of Ordinary Shares pursuant to such Notice of Conversion to the extent permitted pursuant to this </w:t>
      </w:r>
      <w:r>
        <w:rPr>
          <w:rFonts w:ascii="Times New Roman" w:hAnsi="Times New Roman"/>
          <w:color w:val="000000"/>
          <w:sz w:val="24"/>
          <w:u w:val="single"/>
        </w:rPr>
        <w:t>Section 6.3</w:t>
      </w:r>
      <w:r>
        <w:rPr>
          <w:rFonts w:ascii="Times New Roman" w:hAnsi="Times New Roman"/>
          <w:color w:val="000000"/>
          <w:sz w:val="24"/>
        </w:rPr>
        <w:t xml:space="preserv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 which increase will not be effective until the sixty-first (61st) day after such written notice is delivered to the Company, and (ii) the Holder may reset the Beneficial Ownership Limitation percentage to a lower percentage effective immediately after the delivery of such notice to the Company. Upon such a change by a Holder of the Beneficial Ownership Limitation, not to exceed 19.9%, the Beneficial Ownership Limitation may not be further amended by such Holder without first providing the minimum notice required by this </w:t>
      </w:r>
      <w:r>
        <w:rPr>
          <w:rFonts w:ascii="Times New Roman" w:hAnsi="Times New Roman"/>
          <w:color w:val="000000"/>
          <w:sz w:val="24"/>
          <w:u w:val="single"/>
        </w:rPr>
        <w:t>Section ‎6.3</w:t>
      </w:r>
      <w:r>
        <w:rPr>
          <w:rFonts w:ascii="Times New Roman" w:hAnsi="Times New Roman"/>
          <w:color w:val="000000"/>
          <w:sz w:val="24"/>
        </w:rPr>
        <w:t xml:space="preserve">. Notwithstanding the foregoing,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The provisions of this </w:t>
      </w:r>
      <w:r>
        <w:rPr>
          <w:rFonts w:ascii="Times New Roman" w:hAnsi="Times New Roman"/>
          <w:color w:val="000000"/>
          <w:sz w:val="24"/>
          <w:u w:val="single"/>
        </w:rPr>
        <w:t>Section ‎6.3</w:t>
      </w:r>
      <w:r>
        <w:rPr>
          <w:color w:val="000000"/>
        </w:rPr>
        <w:t xml:space="preserve"> </w:t>
      </w:r>
      <w:r>
        <w:rPr>
          <w:rFonts w:ascii="Times New Roman" w:hAnsi="Times New Roman"/>
          <w:color w:val="000000"/>
          <w:sz w:val="24"/>
        </w:rPr>
        <w:t>shall be construed, corrected and implemented in a manner so as to effectuate the intended Beneficial Ownership Limitation herein contained and the Ordinary Shares underlying the Series A Non-Voting Preferred Shares in excess of the Beneficial Ownership Limitation shall not be deemed to be beneficially owned by the Holder for any purpose including for purposes of Section 13(d) or Rule 16a-1(a)(1) of the Exchange Act.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color w:val="000000"/>
          <w:sz w:val="24"/>
          <w:u w:val="single"/>
        </w:rPr>
        <w:t>Mechanics of Conversion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6.4.1</w:t>
      </w:r>
    </w:p>
    <w:p>
      <w:pPr>
        <w:pStyle w:val="TextBody"/>
        <w:bidi w:val="0"/>
        <w:spacing w:before="0" w:after="240"/>
        <w:jc w:val="both"/>
        <w:rPr/>
      </w:pPr>
      <w:r>
        <w:rPr>
          <w:rFonts w:ascii="Times New Roman" w:hAnsi="Times New Roman"/>
          <w:color w:val="000000"/>
          <w:sz w:val="24"/>
          <w:u w:val="single"/>
        </w:rPr>
        <w:t>Delivery of Certificate or Electronic Issuance</w:t>
      </w:r>
      <w:r>
        <w:rPr>
          <w:rFonts w:ascii="Times New Roman" w:hAnsi="Times New Roman"/>
          <w:color w:val="000000"/>
          <w:sz w:val="24"/>
        </w:rPr>
        <w:t xml:space="preserve">. Upon Conversion not later than the lesser of two (2) Trading Days and the number of Trading Days comprising the Standard Settlement Period after the applicable Conversion Date, or if the Holder requests the issuance of physical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certificate(s), not later than the lesser of two (2) Trading Days and the number of Trading Days comprising the Standard Settlement Period after receipt by the Company of the original certificate(s) representing such Series A Non-Voting Preferred Shares being converted, duly endorsed, and the accompanying Notice of Conversion (the “</w:t>
      </w:r>
      <w:r>
        <w:rPr>
          <w:rFonts w:ascii="Times New Roman" w:hAnsi="Times New Roman"/>
          <w:b/>
          <w:i/>
          <w:color w:val="000000"/>
          <w:sz w:val="24"/>
        </w:rPr>
        <w:t>Share Delivery Date</w:t>
      </w:r>
      <w:r>
        <w:rPr>
          <w:color w:val="000000"/>
        </w:rPr>
        <w:t>”</w:t>
      </w:r>
      <w:r>
        <w:rPr>
          <w:rFonts w:ascii="Times New Roman" w:hAnsi="Times New Roman"/>
          <w:color w:val="000000"/>
          <w:sz w:val="24"/>
        </w:rPr>
        <w:t>), the Company shall either: (a) deliver, or cause to be delivered, to the converting Holder a physical certificate or certificates representing the number of Conversion Shares being acquired upon the conversion of Series A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A Non-Voting Preferred Share certificate delivered to the Company and such Holder shall promptly return to the Company any Ordinary Share certificates or otherwise direct the return of any Ordinary Shares delivered to the Holder through the DWAC system, representing the Series A Non-Voting Preferred Shares unsuccessfully tendered for conversion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6.4.2</w:t>
      </w:r>
    </w:p>
    <w:p>
      <w:pPr>
        <w:pStyle w:val="TextBody"/>
        <w:bidi w:val="0"/>
        <w:spacing w:before="0" w:after="240"/>
        <w:jc w:val="both"/>
        <w:rPr/>
      </w:pPr>
      <w:r>
        <w:rPr>
          <w:rFonts w:ascii="Times New Roman" w:hAnsi="Times New Roman"/>
          <w:color w:val="000000"/>
          <w:sz w:val="24"/>
          <w:u w:val="single"/>
        </w:rPr>
        <w:t>Obligation Absolute</w:t>
      </w:r>
      <w:r>
        <w:rPr>
          <w:rFonts w:ascii="Times New Roman" w:hAnsi="Times New Roman"/>
          <w:color w:val="000000"/>
          <w:sz w:val="24"/>
        </w:rPr>
        <w:t xml:space="preserve">. Subject to </w:t>
      </w:r>
      <w:r>
        <w:rPr>
          <w:rFonts w:ascii="Times New Roman" w:hAnsi="Times New Roman"/>
          <w:color w:val="000000"/>
          <w:sz w:val="24"/>
          <w:u w:val="single"/>
        </w:rPr>
        <w:t>Section ‎6.3</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‎6.4.1</w:t>
      </w:r>
      <w:r>
        <w:rPr>
          <w:rFonts w:ascii="Times New Roman" w:hAnsi="Times New Roman"/>
          <w:color w:val="000000"/>
          <w:sz w:val="24"/>
        </w:rPr>
        <w:t xml:space="preserve">, the Company’s obligation to issue and deliver the Conversion Shares upon conversion of Series A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color w:val="000000"/>
          <w:sz w:val="24"/>
          <w:u w:val="single"/>
        </w:rPr>
        <w:t>Section ‎6.3</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‎6.4.1</w:t>
      </w:r>
      <w:r>
        <w:rPr>
          <w:rFonts w:ascii="Times New Roman" w:hAnsi="Times New Roman"/>
          <w:color w:val="000000"/>
          <w:sz w:val="24"/>
        </w:rPr>
        <w:t xml:space="preserve">, in the event a Holder shall elect to convert any or all of its Series A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A Non-Voting Preferred Shares of such Holder shall have been sought and obtained by the Company, and the Company posts a surety bond for the benefit of such Holder in the amount of 150% of the value of the Conversion Shares into which would be converted Series A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color w:val="000000"/>
          <w:sz w:val="24"/>
          <w:u w:val="single"/>
        </w:rPr>
        <w:t>Section ‎6.3</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‎6.4.1</w:t>
      </w:r>
      <w:r>
        <w:rPr>
          <w:rFonts w:ascii="Times New Roman" w:hAnsi="Times New Roman"/>
          <w:color w:val="000000"/>
          <w:sz w:val="24"/>
        </w:rPr>
        <w:t xml:space="preserve">, issue Conversion Shares upon a properly noticed conversion.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6.4.3</w:t>
      </w:r>
    </w:p>
    <w:p>
      <w:pPr>
        <w:pStyle w:val="TextBody"/>
        <w:bidi w:val="0"/>
        <w:spacing w:before="0" w:after="240"/>
        <w:jc w:val="both"/>
        <w:rPr/>
      </w:pPr>
      <w:r>
        <w:rPr>
          <w:rFonts w:ascii="Times New Roman" w:hAnsi="Times New Roman"/>
          <w:color w:val="000000"/>
          <w:sz w:val="24"/>
          <w:u w:val="single"/>
        </w:rPr>
        <w:t>Cash Settlement</w:t>
      </w:r>
      <w:r>
        <w:rPr>
          <w:rFonts w:ascii="Times New Roman" w:hAnsi="Times New Roman"/>
          <w:color w:val="000000"/>
          <w:sz w:val="24"/>
        </w:rPr>
        <w:t xml:space="preserve">. If, at any time after six months after the initial issuance of the Series A Non-Voting Preferred Shares, the Company fails to deliver to a Holder such certificate or certificates, pursuant to </w:t>
      </w:r>
      <w:r>
        <w:rPr>
          <w:rFonts w:ascii="Times New Roman" w:hAnsi="Times New Roman"/>
          <w:color w:val="000000"/>
          <w:sz w:val="24"/>
          <w:u w:val="single"/>
        </w:rPr>
        <w:t>Section 6.4.1</w:t>
      </w:r>
      <w:r>
        <w:rPr>
          <w:color w:val="000000"/>
        </w:rPr>
        <w:t xml:space="preserve"> </w:t>
      </w:r>
      <w:r>
        <w:rPr>
          <w:rFonts w:ascii="Times New Roman" w:hAnsi="Times New Roman"/>
          <w:color w:val="000000"/>
          <w:sz w:val="24"/>
        </w:rPr>
        <w:t xml:space="preserve">on or prior to the third (3rd) Trading Day after the Share Delivery Date applicable to such conversion other than a failure caused by (i) incorrect or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incomplete information provided by Holder to the Company or (ii) the application of the Beneficial Ownership Limitation, then, unless the Holder has rescinded the applicable Notice of Conversion pursuant to Section 6.4.1, the Company shall, at the request of the Holder, pay an amount equal to the Fair Value (as defined below) of such undelivered shares, with such payment to be made within three Business Days from the date of request by the Holder, whereupon the Company’s obligations to deliver such shares underlying the Notice of Conversion shall be extinguished upon payment in full of the Fair Value of such undelivered shares. For purposes of this Section 6.4.3, the “Fair Value” of shares shall be fixed with reference to the last reported Closing Sale Price on the principal Trading Market on which the Ordinary Shares are listed as of the Trading Day immediately prior to the date on which the Notice of Conversion is delivered to the Company. For the avoidance of doubt, the cash settlement provisions set forth in this Section 6.4.3 shall be available irrespective of the reason for the Company’s failure to timely deliver Conversion Shares (other than a failure caused by (i) incorrect or incomplete information provided by Holder to the Company or (ii) the application of the Beneficial Ownership Limitation), including due to limitations set forth in Section 6.4.6 or due to applicable Trading Market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6.4.4</w:t>
      </w:r>
    </w:p>
    <w:p>
      <w:pPr>
        <w:pStyle w:val="TextBody"/>
        <w:bidi w:val="0"/>
        <w:spacing w:before="0" w:after="240"/>
        <w:jc w:val="both"/>
        <w:rPr/>
      </w:pPr>
      <w:r>
        <w:rPr>
          <w:rFonts w:ascii="Times New Roman" w:hAnsi="Times New Roman"/>
          <w:color w:val="000000"/>
          <w:sz w:val="24"/>
          <w:u w:val="single"/>
        </w:rPr>
        <w:t>Buy-In on Failure to Timely Deliver Certificates</w:t>
      </w:r>
      <w:r>
        <w:rPr>
          <w:rFonts w:ascii="Times New Roman" w:hAnsi="Times New Roman"/>
          <w:color w:val="000000"/>
          <w:sz w:val="24"/>
        </w:rPr>
        <w:t xml:space="preserve">. If the Company fails to deliver to a Holder the applicable certificate or certificates or to effect a DWAC Delivery, as applicable, by the Share Delivery Date pursuant to </w:t>
      </w:r>
      <w:r>
        <w:rPr>
          <w:rFonts w:ascii="Times New Roman" w:hAnsi="Times New Roman"/>
          <w:color w:val="000000"/>
          <w:sz w:val="24"/>
          <w:u w:val="single"/>
        </w:rPr>
        <w:t>Section ‎6.4.1</w:t>
      </w:r>
      <w:r>
        <w:rPr>
          <w:color w:val="000000"/>
        </w:rPr>
        <w:t xml:space="preserve"> </w:t>
      </w:r>
      <w:r>
        <w:rPr>
          <w:rFonts w:ascii="Times New Roman" w:hAnsi="Times New Roman"/>
          <w:color w:val="000000"/>
          <w:sz w:val="24"/>
        </w:rPr>
        <w:t>(other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color w:val="000000"/>
          <w:sz w:val="24"/>
        </w:rPr>
        <w:t>Buy-In</w:t>
      </w:r>
      <w:r>
        <w:rPr>
          <w:color w:val="000000"/>
        </w:rPr>
        <w:t>”</w:t>
      </w:r>
      <w:r>
        <w:rPr>
          <w:rFonts w:ascii="Times New Roman" w:hAnsi="Times New Roman"/>
          <w:color w:val="000000"/>
          <w:sz w:val="24"/>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A Non-Voting Preferred Shares equal to the number of Series A Non-Voting Preferred Shares submitted for conversion or deliver to such Holder the number of Ordinary Shares that would have been issued if the Company had timely complied with its delivery requirements under </w:t>
      </w:r>
      <w:r>
        <w:rPr>
          <w:rFonts w:ascii="Times New Roman" w:hAnsi="Times New Roman"/>
          <w:color w:val="000000"/>
          <w:sz w:val="24"/>
          <w:u w:val="single"/>
        </w:rPr>
        <w:t>Section ‎6.4.1</w:t>
      </w:r>
      <w:r>
        <w:rPr>
          <w:rFonts w:ascii="Times New Roman" w:hAnsi="Times New Roman"/>
          <w:color w:val="000000"/>
          <w:sz w:val="24"/>
        </w:rPr>
        <w:t xml:space="preserve">. For example, if a Holder purchases Ordinary Shares having a total purchase price of $11,000 to cover a Buy-In with respect to an attempted conversion of Series A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the Series A Non-Voting Preferred Shares as required pursuant to the terms hereof or the cash settlement remedy set forth in </w:t>
      </w:r>
      <w:r>
        <w:rPr>
          <w:rFonts w:ascii="Times New Roman" w:hAnsi="Times New Roman"/>
          <w:color w:val="000000"/>
          <w:sz w:val="24"/>
          <w:u w:val="single"/>
        </w:rPr>
        <w:t>Section 6.4.3</w:t>
      </w:r>
      <w:r>
        <w:rPr>
          <w:rFonts w:ascii="Times New Roman" w:hAnsi="Times New Roman"/>
          <w:color w:val="000000"/>
          <w:sz w:val="24"/>
        </w:rPr>
        <w:t xml:space="preserve">; provided, however, that the Holder shall not be entitled to both (i) require the reissuance of the Series A Non-Voting Preferred Shares submitted for conversion for which such conversion was not timely honored and (ii) receive the number of Ordinary Shares that would have been issued if the Company had timely complied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with its delivery requirements under </w:t>
      </w:r>
      <w:r>
        <w:rPr>
          <w:rFonts w:ascii="Times New Roman" w:hAnsi="Times New Roman"/>
          <w:color w:val="000000"/>
          <w:sz w:val="24"/>
          <w:u w:val="single"/>
        </w:rPr>
        <w:t>Section ‎6.4.1</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6.4.5</w:t>
      </w:r>
    </w:p>
    <w:p>
      <w:pPr>
        <w:pStyle w:val="TextBody"/>
        <w:bidi w:val="0"/>
        <w:spacing w:before="0" w:after="240"/>
        <w:jc w:val="both"/>
        <w:rPr/>
      </w:pPr>
      <w:r>
        <w:rPr>
          <w:rFonts w:ascii="Times New Roman" w:hAnsi="Times New Roman"/>
          <w:color w:val="000000"/>
          <w:sz w:val="24"/>
          <w:u w:val="single"/>
        </w:rPr>
        <w:t>Reservation of Shares Issuable Upon Conversion</w:t>
      </w:r>
      <w:r>
        <w:rPr>
          <w:rFonts w:ascii="Times New Roman" w:hAnsi="Times New Roman"/>
          <w:color w:val="000000"/>
          <w:sz w:val="24"/>
        </w:rPr>
        <w:t xml:space="preserve">. The Company covenants that at all times it will reserve and keep available out of its authorized and unissued Ordinary Shares for the sole purpose of issuance upon conversion of the Series A Non-Voting Preferred Shares, free from preemptive rights or any other actual contingent purchase rights of Persons other than the Holders of the Series A Non-Voting Preferred Shares, not less than such aggregate number of Ordinary Shares as shall be issuable (taking into account the adjustments of </w:t>
      </w:r>
      <w:r>
        <w:rPr>
          <w:rFonts w:ascii="Times New Roman" w:hAnsi="Times New Roman"/>
          <w:color w:val="000000"/>
          <w:sz w:val="24"/>
          <w:u w:val="single"/>
        </w:rPr>
        <w:t>Section ‎7</w:t>
      </w:r>
      <w:r>
        <w:rPr>
          <w:rFonts w:ascii="Times New Roman" w:hAnsi="Times New Roman"/>
          <w:color w:val="000000"/>
          <w:sz w:val="24"/>
        </w:rPr>
        <w:t>) upon the conversion of all outstanding Series A Non-Voting Preferred Shares. The Company covenants that all Ordinary Shares that shall be so issuable shall, upon issue, be duly authorized, validly issued, fully paid and non-assessable.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6.4.6</w:t>
      </w:r>
    </w:p>
    <w:p>
      <w:pPr>
        <w:pStyle w:val="TextBody"/>
        <w:bidi w:val="0"/>
        <w:spacing w:before="0" w:after="240"/>
        <w:jc w:val="both"/>
        <w:rPr/>
      </w:pPr>
      <w:r>
        <w:rPr>
          <w:rFonts w:ascii="Times New Roman" w:hAnsi="Times New Roman"/>
          <w:color w:val="000000"/>
          <w:sz w:val="24"/>
          <w:u w:val="single"/>
        </w:rPr>
        <w:t>Fractional Shares</w:t>
      </w:r>
      <w:r>
        <w:rPr>
          <w:rFonts w:ascii="Times New Roman" w:hAnsi="Times New Roman"/>
          <w:color w:val="000000"/>
          <w:sz w:val="24"/>
        </w:rPr>
        <w:t>. No fractional Ordinary Shares shall be issued upon conversion of the Series A Non-Voting Preferred Shares, no certificates or scrip for any such fractional shares shall be issued. Any fractional Ordinary Shares that a Holder of Series A Non-Voting Preferred Shares would otherwise be entitled to receive shall be aggregated with all fractional Ordinary Shares issuable to such Holder and any remaining fractional shares shall be rounded down to the nearest whole share. In lieu of any fractional shares to which a Holder would otherwise be entitled, the Company shall pay cash equal to such fraction multiplied by the closing price of the Ordinary Shares on the Trading Market on the Trading Day immediately preceding the applicable Conversion Date. Whether or not fractional shares would be issuable upon such conversion shall be determined on the basis of the total number of Series A Non-Voting Preferred Shares the Holder is at the time converting into Ordinary Shares and the aggregate number of Ordinary Shares issuable upon such conversion.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6.4.7</w:t>
      </w:r>
    </w:p>
    <w:p>
      <w:pPr>
        <w:pStyle w:val="TextBody"/>
        <w:bidi w:val="0"/>
        <w:spacing w:before="0" w:after="240"/>
        <w:jc w:val="both"/>
        <w:rPr/>
      </w:pPr>
      <w:r>
        <w:rPr>
          <w:rFonts w:ascii="Times New Roman" w:hAnsi="Times New Roman"/>
          <w:color w:val="000000"/>
          <w:sz w:val="24"/>
          <w:u w:val="single"/>
        </w:rPr>
        <w:t>Transfer Taxes</w:t>
      </w:r>
      <w:r>
        <w:rPr>
          <w:rFonts w:ascii="Times New Roman" w:hAnsi="Times New Roman"/>
          <w:color w:val="000000"/>
          <w:sz w:val="24"/>
        </w:rPr>
        <w:t>. The issuance of certificates for Ordinary Shares upon conversion of the Series A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A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color w:val="000000"/>
          <w:sz w:val="24"/>
          <w:u w:val="single"/>
        </w:rPr>
        <w:t>Status as Shareholder</w:t>
      </w:r>
      <w:r>
        <w:rPr>
          <w:rFonts w:ascii="Times New Roman" w:hAnsi="Times New Roman"/>
          <w:color w:val="000000"/>
          <w:sz w:val="24"/>
        </w:rPr>
        <w:t>. Upon each Conversion Date, (i) the Series A Non-Voting Preferred Shares being converted shall be deemed converted into Ordinary Shares and (ii) the Holder’s rights as a holder of such converted Series A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Certificate of Designation. In all cases, the Holder shall retain all of its rights and remedies for the Company’s failure to convert Series A Non-Voting Preferred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4"/>
          <w:u w:val="single"/>
        </w:rPr>
        <w:t>Share Dividends and Share Splits</w:t>
      </w:r>
      <w:r>
        <w:rPr>
          <w:rFonts w:ascii="Times New Roman" w:hAnsi="Times New Roman"/>
          <w:color w:val="000000"/>
          <w:sz w:val="24"/>
        </w:rPr>
        <w:t xml:space="preserve">. If the Company, at any time while a Series A Non-Voting Preferred Share is issued and outstanding: (A) pays a share dividend or otherwise makes a distribution or distributions payable in Ordinary Shares (which, for avoidance of doubt, shall not include any Ordinary Shares issued by the Company upon conversion of a Series A Non-Voting Preferred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Share) with respect to the then issued and outstanding Ordinary Shares; (B) subdivides outstanding Ordinary Shares into a larger number of shares; or (C) combines (including by way of a share consolidation)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issued and outstanding immediately before such event (excluding any treasury shares of the Company). Any adjustment made pursuant to this </w:t>
      </w:r>
      <w:r>
        <w:rPr>
          <w:rFonts w:ascii="Times New Roman" w:hAnsi="Times New Roman"/>
          <w:color w:val="000000"/>
          <w:sz w:val="24"/>
          <w:u w:val="single"/>
        </w:rPr>
        <w:t>Section ‎7.1</w:t>
      </w:r>
      <w:r>
        <w:rPr>
          <w:color w:val="000000"/>
        </w:rPr>
        <w:t xml:space="preserve"> </w:t>
      </w:r>
      <w:r>
        <w:rPr>
          <w:rFonts w:ascii="Times New Roman" w:hAnsi="Times New Roman"/>
          <w:color w:val="000000"/>
          <w:sz w:val="24"/>
        </w:rPr>
        <w:t>shall become effective immediately after the record date for the determination of shareholders entitled to receive such dividend or distribution and shall become effective immediately after the effective date in the case of a subdivision or combination.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xml:space="preserve">. If, at any time while a Series A Non-Voting Preferred Share is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(whether by the Company or another Person) is completed pursuant to which more than 50% of the Ordinary Shares not held by the Company or such Person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color w:val="000000"/>
          <w:sz w:val="24"/>
          <w:u w:val="single"/>
        </w:rPr>
        <w:t>Section ‎7.1</w:t>
      </w:r>
      <w:r>
        <w:rPr>
          <w:rFonts w:ascii="Times New Roman" w:hAnsi="Times New Roman"/>
          <w:color w:val="000000"/>
          <w:sz w:val="24"/>
        </w:rPr>
        <w:t>) to which the Ordinary Shares are effectively converted into or exchanged for other securities, cash or property (in any such case, a “</w:t>
      </w:r>
      <w:r>
        <w:rPr>
          <w:rFonts w:ascii="Times New Roman" w:hAnsi="Times New Roman"/>
          <w:b/>
          <w:i/>
          <w:color w:val="000000"/>
          <w:sz w:val="24"/>
        </w:rPr>
        <w:t>Fundamental Transaction</w:t>
      </w:r>
      <w:r>
        <w:rPr>
          <w:color w:val="000000"/>
        </w:rPr>
        <w:t>”</w:t>
      </w:r>
      <w:r>
        <w:rPr>
          <w:rFonts w:ascii="Times New Roman" w:hAnsi="Times New Roman"/>
          <w:color w:val="000000"/>
          <w:sz w:val="24"/>
        </w:rPr>
        <w:t>), then, upon any subsequent conversion of a Series A Non-Voting Preferred Share the Holders shall have the right to receive, in lieu of the right to receive Conversion Shares, for each Conversion Share that would have been issuable upon such conversion (without regard to any Beneficial Ownership Limitation) immediately prior to the occurrence of such Fundamental Transaction, the same kind and amount of securities, cash or property as it would have been entitled to receive upon the occurrence of such Fundamental Transaction if it had converted the Series A Non-Voting Preferred Shares into Conversion Shares immediately prior to such Fundamental Transaction (without regard to any Beneficial Ownership Limitations) (the “</w:t>
      </w:r>
      <w:r>
        <w:rPr>
          <w:rFonts w:ascii="Times New Roman" w:hAnsi="Times New Roman"/>
          <w:b/>
          <w:i/>
          <w:color w:val="000000"/>
          <w:sz w:val="24"/>
        </w:rPr>
        <w:t>Alternate Consideration</w:t>
      </w:r>
      <w:r>
        <w:rPr>
          <w:color w:val="000000"/>
        </w:rPr>
        <w:t>”</w:t>
      </w:r>
      <w:r>
        <w:rPr>
          <w:rFonts w:ascii="Times New Roman" w:hAnsi="Times New Roman"/>
          <w:color w:val="000000"/>
          <w:sz w:val="24"/>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a Series A Non-Voting Preferred Share following such Fundamental Transaction. To the extent necessary to effectuate the foregoing provisions, any successor to the Company or surviving entity in such Fundamental Transaction shall file a new certificate of designation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color w:val="000000"/>
          <w:sz w:val="24"/>
          <w:u w:val="single"/>
        </w:rPr>
        <w:t>Section ‎7.2</w:t>
      </w:r>
      <w:r>
        <w:rPr>
          <w:color w:val="000000"/>
        </w:rPr>
        <w:t xml:space="preserve"> </w:t>
      </w:r>
      <w:r>
        <w:rPr>
          <w:rFonts w:ascii="Times New Roman" w:hAnsi="Times New Roman"/>
          <w:color w:val="000000"/>
          <w:sz w:val="24"/>
        </w:rPr>
        <w:t xml:space="preserve">and ensuring that this Series A Non-Voting Preferred Shares (or any such replacement security) will be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similarly adjusted upon any subsequent transaction analogous to a Fundamental Transaction. The Company shall cause to be delivered to each Holder, at its last address as it shall appear upon the register of members of the Company (the “</w:t>
      </w:r>
      <w:r>
        <w:rPr>
          <w:rFonts w:ascii="Times New Roman" w:hAnsi="Times New Roman"/>
          <w:b/>
          <w:i/>
          <w:color w:val="000000"/>
          <w:sz w:val="24"/>
        </w:rPr>
        <w:t>Register of Members</w:t>
      </w:r>
      <w:r>
        <w:rPr>
          <w:color w:val="000000"/>
        </w:rPr>
        <w:t>”</w:t>
      </w:r>
      <w:r>
        <w:rPr>
          <w:rFonts w:ascii="Times New Roman" w:hAnsi="Times New Roman"/>
          <w:color w:val="000000"/>
          <w:sz w:val="24"/>
        </w:rPr>
        <w:t>), written notice of any Fundamental Transaction at least 20 calendar days prior to the date on which such Fundamental Transaction is expected to become effective or close.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xml:space="preserve">. All calculations under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shall be made to the nearest cent or the nearest 1/100th of a share, as the case may be. For purposes of this </w:t>
      </w:r>
      <w:r>
        <w:rPr>
          <w:rFonts w:ascii="Times New Roman" w:hAnsi="Times New Roman"/>
          <w:color w:val="000000"/>
          <w:sz w:val="24"/>
          <w:u w:val="single"/>
        </w:rPr>
        <w:t>Section ‎7</w:t>
      </w:r>
      <w:r>
        <w:rPr>
          <w:rFonts w:ascii="Times New Roman" w:hAnsi="Times New Roman"/>
          <w:color w:val="000000"/>
          <w:sz w:val="24"/>
        </w:rPr>
        <w:t>, the number of Ordinary Shares deemed to be issued and outstanding as of a given date shall be the sum of the number of Ordinary Shares (excluding any treasury shares of the Company) issued and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4"/>
          <w:u w:val="single"/>
        </w:rPr>
        <w:t>Redemption</w:t>
      </w:r>
      <w:r>
        <w:rPr>
          <w:rFonts w:ascii="Times New Roman" w:hAnsi="Times New Roman"/>
          <w:color w:val="000000"/>
          <w:sz w:val="24"/>
        </w:rPr>
        <w:t xml:space="preserve">. The Series A Non-Voting Preferred Shares shall not be redeemable; provided, however, that the foregoing shall not limit the ability of the Company to purchase or otherwise deal in such shares to the extent otherwise permitted hereby and under the Articles, nor shall the foregoing limit the Holder’s rights under </w:t>
      </w:r>
      <w:r>
        <w:rPr>
          <w:rFonts w:ascii="Times New Roman" w:hAnsi="Times New Roman"/>
          <w:color w:val="000000"/>
          <w:sz w:val="24"/>
          <w:u w:val="single"/>
        </w:rPr>
        <w:t>Section 6.5.3</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4"/>
          <w:u w:val="single"/>
        </w:rPr>
        <w:t>Transfer</w:t>
      </w:r>
      <w:r>
        <w:rPr>
          <w:rFonts w:ascii="Times New Roman" w:hAnsi="Times New Roman"/>
          <w:color w:val="000000"/>
          <w:sz w:val="24"/>
        </w:rPr>
        <w:t xml:space="preserve">. Subject to the Articles, a Holder may transfer any Series A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A Non-Voting Preferred Shares may reasonably request in order to carry out the intent and accomplish the purposes of this </w:t>
      </w:r>
      <w:r>
        <w:rPr>
          <w:rFonts w:ascii="Times New Roman" w:hAnsi="Times New Roman"/>
          <w:color w:val="000000"/>
          <w:sz w:val="24"/>
          <w:u w:val="single"/>
        </w:rPr>
        <w:t>Section ‎9</w:t>
      </w:r>
      <w:r>
        <w:rPr>
          <w:rFonts w:ascii="Times New Roman" w:hAnsi="Times New Roman"/>
          <w:color w:val="000000"/>
          <w:sz w:val="24"/>
        </w:rPr>
        <w:t>. The transferee of any Series A Non-Voting Preferred Shares shall be subject to the Beneficial Ownership Limitation applicable to the transferor as of the time of such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4"/>
          <w:u w:val="single"/>
        </w:rPr>
        <w:t>Series A Non-Voting Preferred Shares Register</w:t>
      </w:r>
      <w:r>
        <w:rPr>
          <w:rFonts w:ascii="Times New Roman" w:hAnsi="Times New Roman"/>
          <w:color w:val="000000"/>
          <w:sz w:val="24"/>
        </w:rPr>
        <w:t xml:space="preserve">. The Company shall maintain at its principal executive offices (or such other office or agency of the Company as it may designate by notice to the Holders in accordance with </w:t>
      </w:r>
      <w:r>
        <w:rPr>
          <w:rFonts w:ascii="Times New Roman" w:hAnsi="Times New Roman"/>
          <w:color w:val="000000"/>
          <w:sz w:val="24"/>
          <w:u w:val="single"/>
        </w:rPr>
        <w:t>Section ‎11</w:t>
      </w:r>
      <w:r>
        <w:rPr>
          <w:rFonts w:ascii="Times New Roman" w:hAnsi="Times New Roman"/>
          <w:color w:val="000000"/>
          <w:sz w:val="24"/>
        </w:rPr>
        <w:t>), a register for the Series A Non-Voting Preferred Shares, in which the Company shall record (i) the name, address, and electronic mail address of each holder in whose name the Series A Non-Voting Preferred Shares have been issued and (ii) the name, address, and electronic mail address of each transferee of any Series A Non-Voting Preferred Shares. The Company may deem and treat the registered Holder of Series A Non-Voting Preferred Shares as the absolute owner thereof for the purpose of any conversion thereof and for all other purposes. The Company shall keep the register open and available at all times during business hours for inspection by any holder of Series A Non-Voting Preferred Shares or his, her or its legal representatives.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required or permitted by the provisions of this Certificate of Designation to be given to a Holder of Series A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4"/>
          <w:u w:val="single"/>
        </w:rPr>
        <w:t>Book-Entry; Certificates</w:t>
      </w:r>
      <w:r>
        <w:rPr>
          <w:rFonts w:ascii="Times New Roman" w:hAnsi="Times New Roman"/>
          <w:color w:val="000000"/>
          <w:sz w:val="24"/>
        </w:rPr>
        <w:t xml:space="preserve">. The Series A Non-Voting Preferred Shares will be issued in book-entry form; provided that, if a Holder requests that such Holder’s Series A Non-Voting Preferred Shares be issued in certificated form, the Company will instead issue a share certificate to such Holder representing such Holder’s Series A Non-Voting Preferred Shares. To the extent that any Series A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Non-Voting Preferred Shares are issued in book-entry form, references herein to “certificates” shall instead refer to the book-entry notation relating to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4"/>
          <w:u w:val="single"/>
        </w:rPr>
        <w:t>Lost or Mutilated Series A Non-Voting Preferred Shares Certificate</w:t>
      </w:r>
      <w:r>
        <w:rPr>
          <w:rFonts w:ascii="Times New Roman" w:hAnsi="Times New Roman"/>
          <w:color w:val="000000"/>
          <w:sz w:val="24"/>
        </w:rPr>
        <w:t xml:space="preserve">. If a Holder’s Series A Non-Voting Preferred Share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A Non-Voting Preferred Shares so mutilated, lost, stolen or destroyed, but only upon receipt of evidence of such loss, theft or destruction of such certificate, and of the ownership hereof reasonably satisfactory to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Any waiver by the Company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Company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Company or a Holder must be in writing. Notwithstanding any provision in this Certificate of Designation to the contrary, any provision contained herein and any right of the Holders of Series A Non-Voting Preferred Shares granted hereunder may be waived as to all Series A Non-Voting Preferred Shares (and the Holders thereof) upon the written consent or resolution of the Holders of not less than a simple majority of the Series A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pPr>
      <w:r>
        <w:rPr>
          <w:rFonts w:ascii="Times New Roman" w:hAnsi="Times New Roman"/>
          <w:color w:val="000000"/>
          <w:sz w:val="24"/>
          <w:u w:val="single"/>
        </w:rPr>
        <w:t>Status of Converted Series A Non-Voting Preferred Shares</w:t>
      </w:r>
      <w:r>
        <w:rPr>
          <w:rFonts w:ascii="Times New Roman" w:hAnsi="Times New Roman"/>
          <w:color w:val="000000"/>
          <w:sz w:val="24"/>
        </w:rPr>
        <w:t xml:space="preserve">. If any Series A Non-Voting Preferred Shares shall be converted, repurchased, surrendered or redeemed by the Company, such shares shall, to the fullest extent permitted by applicable law and in accordance with the Articles, be repurchased, surrendered or redeemed (as applicable) and automatically cancelled, and shall not be reissued as a Series A Non-Voting Preferred Share. Immediately upon its cancellation, any such Series A Non-Voting Preferred Share shall no longer be designated as a Series A Non-Voting Preferred Share and shall form part of the authorized but unissued share capital of the Company.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Damora Therapeutics, Inc. has caused this Certificate of Designation of Preferences, Rights and Limitations of Series A Non-Voting Convertible Preferred Shares to be duly executed on its behalf by its director on 16 July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DAMORA THERAPEUTICS,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 Garrett Winslow </w:t>
      </w:r>
    </w:p>
    <w:p>
      <w:pPr>
        <w:pStyle w:val="TextBody"/>
        <w:bidi w:val="0"/>
        <w:jc w:val="left"/>
        <w:rPr>
          <w:rFonts w:ascii="Times New Roman" w:hAnsi="Times New Roman"/>
          <w:color w:val="000000"/>
          <w:sz w:val="24"/>
        </w:rPr>
      </w:pPr>
      <w:r>
        <w:rPr>
          <w:rFonts w:ascii="Times New Roman" w:hAnsi="Times New Roman"/>
          <w:color w:val="000000"/>
          <w:sz w:val="24"/>
        </w:rPr>
        <w:t xml:space="preserve">Name: Garrett Winslow </w:t>
      </w:r>
    </w:p>
    <w:p>
      <w:pPr>
        <w:pStyle w:val="TextBody"/>
        <w:bidi w:val="0"/>
        <w:jc w:val="left"/>
        <w:rPr>
          <w:rFonts w:ascii="Times New Roman" w:hAnsi="Times New Roman"/>
          <w:color w:val="000000"/>
          <w:sz w:val="24"/>
        </w:rPr>
      </w:pPr>
      <w:r>
        <w:rPr>
          <w:rFonts w:ascii="Times New Roman" w:hAnsi="Times New Roman"/>
          <w:color w:val="000000"/>
          <w:sz w:val="24"/>
        </w:rPr>
        <w:t xml:space="preserve">Title: General Counsel and Corporate Secretary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ANNEX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NOTICE OF CONVERSION</w:t>
        <w:br/>
        <w:br/>
        <w:t>(TO BE EXECUTED BY THE REGISTERED HOLDER IN ORDER TO CONVERT SERIES A NON-VOTING CONVERTIBLE PREFERRED SHARES)</w:t>
      </w:r>
    </w:p>
    <w:p>
      <w:pPr>
        <w:pStyle w:val="TextBody"/>
        <w:bidi w:val="0"/>
        <w:jc w:val="both"/>
        <w:rPr>
          <w:rFonts w:ascii="Times New Roman" w:hAnsi="Times New Roman"/>
          <w:sz w:val="20"/>
        </w:rPr>
      </w:pPr>
      <w:r>
        <w:rPr>
          <w:rFonts w:ascii="Times New Roman" w:hAnsi="Times New Roman"/>
          <w:color w:val="000000"/>
          <w:sz w:val="24"/>
        </w:rPr>
        <w:t>The undersigned Holder hereby irrevocably elects to convert the number of Series A Non-Voting Preferred Shares indicated below, represented in book-entry form, into Ordinary Shares, par value $0.00001 per share (the “</w:t>
      </w:r>
      <w:r>
        <w:rPr>
          <w:rFonts w:ascii="Times New Roman" w:hAnsi="Times New Roman"/>
          <w:b/>
          <w:i/>
          <w:color w:val="000000"/>
          <w:sz w:val="24"/>
        </w:rPr>
        <w:t>Ordinary Shares</w:t>
      </w:r>
      <w:r>
        <w:rPr>
          <w:rFonts w:ascii="Times New Roman" w:hAnsi="Times New Roman"/>
          <w:color w:val="000000"/>
          <w:sz w:val="20"/>
        </w:rPr>
        <w:t>”</w:t>
      </w:r>
      <w:r>
        <w:rPr>
          <w:rFonts w:ascii="Times New Roman" w:hAnsi="Times New Roman"/>
          <w:color w:val="000000"/>
          <w:sz w:val="24"/>
        </w:rPr>
        <w:t>), of Damora Therapeutics, Inc., an exempted company incorporated in the Cayman Islands with limited liability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on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Shares (the “</w:t>
      </w:r>
      <w:r>
        <w:rPr>
          <w:rFonts w:ascii="Times New Roman" w:hAnsi="Times New Roman"/>
          <w:b/>
          <w:i/>
          <w:color w:val="000000"/>
          <w:sz w:val="24"/>
        </w:rPr>
        <w:t>Certificate of Designation</w:t>
      </w:r>
      <w:r>
        <w:rPr>
          <w:rFonts w:ascii="Times New Roman" w:hAnsi="Times New Roman"/>
          <w:color w:val="000000"/>
          <w:sz w:val="20"/>
        </w:rPr>
        <w:t>”</w:t>
      </w:r>
      <w:r>
        <w:rPr>
          <w:rFonts w:ascii="Times New Roman" w:hAnsi="Times New Roman"/>
          <w:color w:val="000000"/>
          <w:sz w:val="24"/>
        </w:rPr>
        <w:t>) or the memorandum and articles of association of the Company, adopted by special resolution passed on 9 February 2026 and effective as of 16 July 2026 (as amended from time to time, the “</w:t>
      </w:r>
      <w:r>
        <w:rPr>
          <w:rFonts w:ascii="Times New Roman" w:hAnsi="Times New Roman"/>
          <w:b/>
          <w:i/>
          <w:color w:val="000000"/>
          <w:sz w:val="24"/>
        </w:rPr>
        <w:t>Articles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On the date hereof, the number of Ordinary Shares beneficially owned by the undersigned Holder (together with such Holder’s Attribution Parties), including the number of Ordinary Shares issuable upon conversion of the Series A Non-Voting Preferred Shares subject to this Notice of Conversion, but excluding the number of Ordinary Shares which are issuable upon (A) conversion of the remaining, unconverted Series A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4"/>
          <w:u w:val="single"/>
        </w:rPr>
        <w:t>Section ‎6.3</w:t>
      </w:r>
      <w:r>
        <w:rPr>
          <w:rFonts w:ascii="Times New Roman" w:hAnsi="Times New Roman"/>
          <w:color w:val="000000"/>
          <w:sz w:val="20"/>
        </w:rPr>
        <w:t xml:space="preserve"> </w:t>
      </w:r>
      <w:r>
        <w:rPr>
          <w:rFonts w:ascii="Times New Roman" w:hAnsi="Times New Roman"/>
          <w:color w:val="000000"/>
          <w:sz w:val="24"/>
        </w:rPr>
        <w:t>of the Certificate of Designation,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CONVERSION CALCULATIONS:</w:t>
      </w:r>
    </w:p>
    <w:p>
      <w:pPr>
        <w:pStyle w:val="TextBody"/>
        <w:bidi w:val="0"/>
        <w:jc w:val="left"/>
        <w:rPr/>
      </w:pPr>
      <w:r>
        <w:rPr/>
        <w:t> </w:t>
      </w:r>
    </w:p>
    <w:tbl>
      <w:tblPr>
        <w:tblW w:w="7831" w:type="dxa"/>
        <w:jc w:val="left"/>
        <w:tblInd w:w="0" w:type="dxa"/>
        <w:tblLayout w:type="fixed"/>
        <w:tblCellMar>
          <w:top w:w="28" w:type="dxa"/>
          <w:left w:w="28" w:type="dxa"/>
          <w:bottom w:w="28" w:type="dxa"/>
          <w:right w:w="28" w:type="dxa"/>
        </w:tblCellMar>
      </w:tblPr>
      <w:tblGrid>
        <w:gridCol w:w="7531"/>
        <w:gridCol w:w="109"/>
        <w:gridCol w:w="191"/>
      </w:tblGrid>
      <w:tr>
        <w:trPr/>
        <w:tc>
          <w:tcPr>
            <w:tcW w:w="7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to Effect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Series A Non-Voting Preferred Shares owned prior to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Series A Non-Voting Preferred Shares to be Converted: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Ordinary Shares to be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 for delivery of physical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For DWAC Delivery, please provide the following: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Broker No.:</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Account No.:</w:t>
      </w:r>
      <w:r>
        <w:rPr>
          <w:rFonts w:ascii="Times New Roman" w:hAnsi="Times New Roman"/>
          <w:color w:val="000000"/>
          <w:sz w:val="20"/>
          <w:u w:val="single"/>
        </w:rPr>
        <w:t xml:space="preserve"> </w:t>
      </w:r>
    </w:p>
    <w:p>
      <w:pPr>
        <w:pStyle w:val="TextBody"/>
        <w:bidi w:val="0"/>
        <w:jc w:val="left"/>
        <w:rPr>
          <w:rFonts w:ascii="Times New Roman" w:hAnsi="Times New Roman"/>
          <w:caps/>
          <w:color w:val="000000"/>
          <w:sz w:val="24"/>
        </w:rPr>
      </w:pPr>
      <w:r>
        <w:rPr>
          <w:rFonts w:ascii="Times New Roman" w:hAnsi="Times New Roman"/>
          <w:caps/>
          <w:color w:val="000000"/>
          <w:sz w:val="24"/>
        </w:rPr>
        <w:t>[HOLDER]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8" w:name="dmra-ex3_3.htm"/>
      <w:bookmarkStart w:id="9" w:name="ksdmraex3_3"/>
      <w:bookmarkEnd w:id="8"/>
      <w:bookmarkEnd w:id="9"/>
      <w:r>
        <w:rPr>
          <w:rFonts w:ascii="Times New Roman" w:hAnsi="Times New Roman"/>
          <w:b/>
          <w:color w:val="000000"/>
          <w:sz w:val="24"/>
        </w:rPr>
        <w:t>Exhibit 3.3</w:t>
      </w:r>
      <w:r>
        <w:br w:type="page"/>
      </w:r>
    </w:p>
    <w:p>
      <w:pPr>
        <w:pStyle w:val="TextBody"/>
        <w:bidi w:val="0"/>
        <w:spacing w:before="0" w:after="240"/>
        <w:jc w:val="righ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Damora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CERTIFICATE OF DESIGNATION OF PREFERENCES,</w:t>
        <w:br/>
        <w:t>RIGHTS AND LIMITATIONS</w:t>
        <w:br/>
        <w:t>OF</w:t>
        <w:br/>
        <w:t>SERIES B NON-VOTING CONVERTIBLE PREFERRED SHARES</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memorandum and articles of association of the Company, adopted by special resolution passed on 9 February 2026 and effective as of 16 July 2026 (as amended from time to time, the “</w:t>
      </w:r>
      <w:r>
        <w:rPr>
          <w:rFonts w:ascii="Times New Roman" w:hAnsi="Times New Roman"/>
          <w:b/>
          <w:i/>
          <w:color w:val="000000"/>
          <w:sz w:val="24"/>
        </w:rPr>
        <w:t>Articles</w:t>
      </w:r>
      <w:r>
        <w:rPr>
          <w:rFonts w:ascii="Times New Roman" w:hAnsi="Times New Roman"/>
          <w:color w:val="000000"/>
          <w:sz w:val="20"/>
        </w:rPr>
        <w:t>”</w:t>
      </w:r>
      <w:r>
        <w:rPr>
          <w:rFonts w:ascii="Times New Roman" w:hAnsi="Times New Roman"/>
          <w:color w:val="000000"/>
          <w:sz w:val="24"/>
        </w:rPr>
        <w:t>). Capitalised terms not otherwise defined herein shall have the meanings assigned thereto in the Articles.</w:t>
      </w:r>
    </w:p>
    <w:p>
      <w:pPr>
        <w:pStyle w:val="TextBody"/>
        <w:bidi w:val="0"/>
        <w:spacing w:before="0" w:after="240"/>
        <w:jc w:val="both"/>
        <w:rPr>
          <w:rFonts w:ascii="Times New Roman" w:hAnsi="Times New Roman"/>
          <w:sz w:val="20"/>
        </w:rPr>
      </w:pPr>
      <w:r>
        <w:rPr>
          <w:rFonts w:ascii="Times New Roman" w:hAnsi="Times New Roman"/>
          <w:b/>
          <w:color w:val="000000"/>
          <w:sz w:val="24"/>
        </w:rPr>
        <w:t>Damora Therapeutics, Inc.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 exempted company incorporated in the Cayman Islands with limited liability, DOES HEREBY CERTIFY:</w:t>
      </w:r>
    </w:p>
    <w:p>
      <w:pPr>
        <w:pStyle w:val="TextBody"/>
        <w:bidi w:val="0"/>
        <w:spacing w:before="0" w:after="240"/>
        <w:jc w:val="both"/>
        <w:rPr>
          <w:rFonts w:ascii="Times New Roman" w:hAnsi="Times New Roman"/>
          <w:sz w:val="20"/>
        </w:rPr>
      </w:pPr>
      <w:r>
        <w:rPr>
          <w:rFonts w:ascii="Times New Roman" w:hAnsi="Times New Roman"/>
          <w:color w:val="000000"/>
          <w:sz w:val="24"/>
        </w:rPr>
        <w:t>That, pursuant to the authority conferred by the Articles, at a duly convened meeting of the board of directors of the Company (the “</w:t>
      </w:r>
      <w:r>
        <w:rPr>
          <w:rFonts w:ascii="Times New Roman" w:hAnsi="Times New Roman"/>
          <w:b/>
          <w:i/>
          <w:color w:val="000000"/>
          <w:sz w:val="24"/>
        </w:rPr>
        <w:t>Board of Directors</w:t>
      </w:r>
      <w:r>
        <w:rPr>
          <w:rFonts w:ascii="Times New Roman" w:hAnsi="Times New Roman"/>
          <w:color w:val="000000"/>
          <w:sz w:val="20"/>
        </w:rPr>
        <w:t>”</w:t>
      </w:r>
      <w:r>
        <w:rPr>
          <w:rFonts w:ascii="Times New Roman" w:hAnsi="Times New Roman"/>
          <w:color w:val="000000"/>
          <w:sz w:val="24"/>
        </w:rPr>
        <w:t>) on 13 December 2025, the Board of Directors adopted the following resolutions, which such resolutions provides for the creation of a series of the Company’s Preferred Shares with a par value of US$0.00001 per share, which is designated as “Series B Non-Voting Convertible Preferred Shares,” with the preferences, rights and limitations set forth therein relating to dividends, conversion, redemption, dissolution and distribution of assets of the Company.</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Articles provide for a class of shares known as Preferred Shares, consisting of 10,000,000 shares with par value of US$0.00001 per share (the “</w:t>
      </w:r>
      <w:r>
        <w:rPr>
          <w:rFonts w:ascii="Times New Roman" w:hAnsi="Times New Roman"/>
          <w:b/>
          <w:i/>
          <w:color w:val="000000"/>
          <w:sz w:val="24"/>
        </w:rPr>
        <w:t>Preferred Shares</w:t>
      </w:r>
      <w:r>
        <w:rPr>
          <w:rFonts w:ascii="Times New Roman" w:hAnsi="Times New Roman"/>
          <w:color w:val="000000"/>
          <w:sz w:val="20"/>
        </w:rPr>
        <w:t>”</w:t>
      </w:r>
      <w:r>
        <w:rPr>
          <w:rFonts w:ascii="Times New Roman" w:hAnsi="Times New Roman"/>
          <w:color w:val="000000"/>
          <w:sz w:val="24"/>
        </w:rPr>
        <w:t>), issuable from time to time in one or more series.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RESOLVED</w:t>
      </w:r>
      <w:r>
        <w:rPr>
          <w:rFonts w:ascii="Times New Roman" w:hAnsi="Times New Roman"/>
          <w:color w:val="000000"/>
          <w:sz w:val="24"/>
        </w:rPr>
        <w:t>: that, pursuant to authority conferred upon the Board of Directors by the Articles, the Board of Directors (i) do hereby create and authorize and provide for the issuance and allotment of a series of Preferred Shares of the Company with a par value of US$0.00001 per share, designated as “Series B Non-Voting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TERMS OF SERIES B NON-VOTING CONVERTIBLE PREFERRED SHARES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For the purposes hereof, the following terms shall have the following meanings:</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jc w:val="both"/>
        <w:rPr/>
      </w:pPr>
      <w:r>
        <w:rPr>
          <w:color w:val="000000"/>
        </w:rPr>
        <w:t>“</w:t>
      </w:r>
      <w:r>
        <w:rPr>
          <w:rFonts w:ascii="Times New Roman" w:hAnsi="Times New Roman"/>
          <w:b/>
          <w:i/>
          <w:color w:val="000000"/>
          <w:sz w:val="24"/>
        </w:rPr>
        <w:t>Buy-In</w:t>
      </w:r>
      <w:r>
        <w:rPr>
          <w:rFonts w:ascii="Times New Roman" w:hAnsi="Times New Roman"/>
          <w:color w:val="000000"/>
          <w:sz w:val="2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6.5.4</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Closing Sale Price</w:t>
      </w:r>
      <w:r>
        <w:rPr>
          <w:rFonts w:ascii="Times New Roman" w:hAnsi="Times New Roman"/>
          <w:color w:val="000000"/>
          <w:sz w:val="20"/>
        </w:rPr>
        <w:t xml:space="preserve">” </w:t>
      </w:r>
      <w:r>
        <w:rPr>
          <w:rFonts w:ascii="Times New Roman" w:hAnsi="Times New Roman"/>
          <w:color w:val="000000"/>
          <w:sz w:val="24"/>
        </w:rPr>
        <w:t>means, for any security as of any date, the last closing trade price for such security immediately prior to 4:00 p.m., New York City time, on the principal Trading Market where such security is listed or traded, as reported by Bloomberg, L.P. (or an equivalent, reliable reporting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4"/>
        </w:rPr>
        <w:t>Ordinary Shares</w:t>
      </w:r>
      <w:r>
        <w:rPr>
          <w:rFonts w:ascii="Times New Roman" w:hAnsi="Times New Roman"/>
          <w:color w:val="000000"/>
          <w:sz w:val="20"/>
        </w:rPr>
        <w:t xml:space="preserve">” </w:t>
      </w:r>
      <w:r>
        <w:rPr>
          <w:rFonts w:ascii="Times New Roman" w:hAnsi="Times New Roman"/>
          <w:color w:val="000000"/>
          <w:sz w:val="24"/>
        </w:rPr>
        <w:t>means the Company’s ordinary shares, par value $0.00001 per share, and shares of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b/>
          <w:i/>
          <w:color w:val="000000"/>
          <w:sz w:val="24"/>
        </w:rPr>
        <w:t>Conversion Shares</w:t>
      </w:r>
      <w:r>
        <w:rPr>
          <w:rFonts w:ascii="Times New Roman" w:hAnsi="Times New Roman"/>
          <w:color w:val="000000"/>
          <w:sz w:val="20"/>
        </w:rPr>
        <w:t xml:space="preserve">” </w:t>
      </w:r>
      <w:r>
        <w:rPr>
          <w:rFonts w:ascii="Times New Roman" w:hAnsi="Times New Roman"/>
          <w:color w:val="000000"/>
          <w:sz w:val="24"/>
        </w:rPr>
        <w:t>means, collectively, the Ordinary Shares issuable upon conversion of the Series B Non-Voting Preferred Shares in accordance with the terms hereof.</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4"/>
        </w:rPr>
        <w:t>Holder</w:t>
      </w:r>
      <w:r>
        <w:rPr>
          <w:rFonts w:ascii="Times New Roman" w:hAnsi="Times New Roman"/>
          <w:color w:val="000000"/>
          <w:sz w:val="20"/>
        </w:rPr>
        <w:t xml:space="preserve">” </w:t>
      </w:r>
      <w:r>
        <w:rPr>
          <w:rFonts w:ascii="Times New Roman" w:hAnsi="Times New Roman"/>
          <w:color w:val="000000"/>
          <w:sz w:val="24"/>
        </w:rPr>
        <w:t>means a holder of Series B Non-Voting Preferred Shares.</w:t>
      </w:r>
    </w:p>
    <w:p>
      <w:pPr>
        <w:pStyle w:val="TextBody"/>
        <w:bidi w:val="0"/>
        <w:spacing w:before="0" w:after="240"/>
        <w:jc w:val="both"/>
        <w:rPr/>
      </w:pPr>
      <w:r>
        <w:rPr>
          <w:color w:val="000000"/>
        </w:rPr>
        <w:t>“</w:t>
      </w:r>
      <w:r>
        <w:rPr>
          <w:rFonts w:ascii="Times New Roman" w:hAnsi="Times New Roman"/>
          <w:b/>
          <w:i/>
          <w:color w:val="000000"/>
          <w:sz w:val="24"/>
        </w:rPr>
        <w:t>Merger Agreement</w:t>
      </w:r>
      <w:r>
        <w:rPr>
          <w:rFonts w:ascii="Times New Roman" w:hAnsi="Times New Roman"/>
          <w:color w:val="000000"/>
          <w:sz w:val="20"/>
        </w:rPr>
        <w:t xml:space="preserve">” </w:t>
      </w:r>
      <w:r>
        <w:rPr>
          <w:rFonts w:ascii="Times New Roman" w:hAnsi="Times New Roman"/>
          <w:color w:val="000000"/>
          <w:sz w:val="24"/>
        </w:rPr>
        <w:t>means the Agreement and Plan of Merger, dated November 10, 2025, by and among the Company, Daylight Merger Sub I, Inc., a Delaware corporation and wholly owned subsidiary of the Company, Daylight Merger Sub II, LLC, a Delaware limited liability company and wholly owned subsidiary of the Company, and Damora Therapeutics, Inc., a Delaware corporation.</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business.</w:t>
      </w:r>
    </w:p>
    <w:p>
      <w:pPr>
        <w:pStyle w:val="TextBody"/>
        <w:bidi w:val="0"/>
        <w:spacing w:before="0" w:after="240"/>
        <w:jc w:val="both"/>
        <w:rPr/>
      </w:pPr>
      <w:r>
        <w:rPr>
          <w:color w:val="000000"/>
        </w:rPr>
        <w:t>“</w:t>
      </w:r>
      <w:r>
        <w:rPr>
          <w:rFonts w:ascii="Times New Roman" w:hAnsi="Times New Roman"/>
          <w:b/>
          <w:i/>
          <w:color w:val="000000"/>
          <w:sz w:val="24"/>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Ordinary Shares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4"/>
          <w:u w:val="single"/>
        </w:rPr>
        <w:t>Designation, Amount and Par Value</w:t>
      </w:r>
      <w:r>
        <w:rPr>
          <w:rFonts w:ascii="Times New Roman" w:hAnsi="Times New Roman"/>
          <w:color w:val="000000"/>
          <w:sz w:val="24"/>
        </w:rPr>
        <w:t>. The series of Preferred Shares shall be designated as the Company’s Series B Non-Voting Convertible Preferred Shares (the “</w:t>
      </w:r>
      <w:r>
        <w:rPr>
          <w:rFonts w:ascii="Times New Roman" w:hAnsi="Times New Roman"/>
          <w:b/>
          <w:i/>
          <w:color w:val="000000"/>
          <w:sz w:val="24"/>
        </w:rPr>
        <w:t>Series B Non-Voting Preferred Shares</w:t>
      </w:r>
      <w:r>
        <w:rPr>
          <w:color w:val="000000"/>
        </w:rPr>
        <w:t>”</w:t>
      </w:r>
      <w:r>
        <w:rPr>
          <w:rFonts w:ascii="Times New Roman" w:hAnsi="Times New Roman"/>
          <w:color w:val="000000"/>
          <w:sz w:val="24"/>
        </w:rPr>
        <w:t>) and the number of shares so designated shall be 16,366. Each share of Series B Non-Voting Preferred Shares shall have a par value of $0.00001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4"/>
          <w:u w:val="single"/>
        </w:rPr>
        <w:t>Dividends</w:t>
      </w:r>
      <w:r>
        <w:rPr>
          <w:rFonts w:ascii="Times New Roman" w:hAnsi="Times New Roman"/>
          <w:color w:val="000000"/>
          <w:sz w:val="24"/>
        </w:rPr>
        <w:t xml:space="preserve">. Holders shall be entitled to receive, and the Company shall pay, dividends on the Series B Non-Voting Preferred Shares (on an as-converted-to-Ordinary Shares basis, without regard to the Beneficial Ownership Limitation (as defined below)) equal to and in the same form, and in the same manner, as dividends (other than dividends on Ordinary Shares payable in the form of Ordinary Shares) actually paid on the Ordinary Shares when, as and if such dividends (other than dividends payable in the form of Ordinary Shares) are paid on Ordinary Shares. Other than as set forth in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previous sentence, no other dividends shall be paid on the Series B Non-Voting Preferred Shares, and the Company shall pay no dividends (other than dividends payable in the form of Ordinary Shares) on Ordinary Shares unless it simultaneously complies with the previous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4"/>
          <w:u w:val="single"/>
        </w:rPr>
        <w:t>Voting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4"/>
        </w:rPr>
        <w:t>Except as otherwise provided herein or as otherwise required by the Articles, the Series B Non-Voting Preferred Shares shall have no voting rights. However, as long as any Series B Non-Voting Preferred Shares are issued and outstanding, the Company shall not, without the affirmative vote of the holders of a simple majority of the then issued and outstanding Series B Non-Voting Preferred Shares: (i) alter or change adversely the powers, preferences or rights given to the Series B Non-Voting Preferred Shares or alter or amend this Certificate of Designation of Preferences, Rights and Limitations of Series B Non-Voting Convertible Preferred Shares (the “</w:t>
      </w:r>
      <w:r>
        <w:rPr>
          <w:rFonts w:ascii="Times New Roman" w:hAnsi="Times New Roman"/>
          <w:b/>
          <w:i/>
          <w:color w:val="000000"/>
          <w:sz w:val="24"/>
        </w:rPr>
        <w:t>Certificate of Designation</w:t>
      </w:r>
      <w:r>
        <w:rPr>
          <w:color w:val="000000"/>
        </w:rPr>
        <w:t>”</w:t>
      </w:r>
      <w:r>
        <w:rPr>
          <w:rFonts w:ascii="Times New Roman" w:hAnsi="Times New Roman"/>
          <w:color w:val="000000"/>
          <w:sz w:val="24"/>
        </w:rPr>
        <w:t xml:space="preserve">), amend or repeal any provision of, or add any provision to, the Articles or file any articles of amendment, certificate of designations, preferences, limitations and relative rights of any series of Preferred Shares, if such action would adversely alter or change the preferences, rights, privileges or powers of, or restrictions provided for the benefit of the Series B Non-Voting Preferred Shares, regardless of whether any of the foregoing actions shall be by means of amendment to the Articles or by merger, consolidation, recapitalization, reclassification, conversion or otherwise, (ii) issue further Series B Non-Voting Preferred Shares or increase or decrease (other than by conversion) the number of authorized Series B Non-Voting Preferred Shares, (iii) at any time while at least 30% of the originally issued Series B Non-Voting Preferred Shares remains issued and outstanding, (A) consummate (I) any Fundamental Transaction (as defined below) or (II) any merger or consolidation of the Company with or into another entity or any share sale to, or other business combination in which the shareholders of the Company immediately before such transaction do not hold at least a simple majority of the share capital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Ordinary Shares acquired upon the conversion of Series B Non-Voting Preferred Shares shall be entitled to the same voting rights as each other holder of Ordinary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4"/>
        </w:rPr>
        <w:t xml:space="preserve">Any vote required or permitted under </w:t>
      </w:r>
      <w:r>
        <w:rPr>
          <w:rFonts w:ascii="Times New Roman" w:hAnsi="Times New Roman"/>
          <w:color w:val="000000"/>
          <w:sz w:val="24"/>
          <w:u w:val="single"/>
        </w:rPr>
        <w:t>Section ‎4.1</w:t>
      </w:r>
      <w:r>
        <w:rPr>
          <w:color w:val="000000"/>
        </w:rPr>
        <w:t xml:space="preserve"> </w:t>
      </w:r>
      <w:r>
        <w:rPr>
          <w:rFonts w:ascii="Times New Roman" w:hAnsi="Times New Roman"/>
          <w:color w:val="000000"/>
          <w:sz w:val="24"/>
        </w:rPr>
        <w:t>may be taken at a meeting of the Holders, or through the execution of an action by written consent or resolution in lieu of such meeting, provided that the consent is executed by Holders representing a simple majority of the then issued and outstanding Series B Non-Voting Preferred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4"/>
          <w:u w:val="single"/>
        </w:rPr>
        <w:t>Rank; Liquidation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4"/>
        </w:rPr>
        <w:t xml:space="preserve">The Series B Non-Voting Preferred Shares shall rank </w:t>
      </w:r>
      <w:r>
        <w:rPr>
          <w:rFonts w:ascii="Times New Roman" w:hAnsi="Times New Roman"/>
          <w:i/>
          <w:color w:val="000000"/>
          <w:sz w:val="24"/>
        </w:rPr>
        <w:t>pari passu</w:t>
      </w:r>
      <w:r>
        <w:rPr>
          <w:color w:val="000000"/>
        </w:rPr>
        <w:t xml:space="preserve"> </w:t>
      </w:r>
      <w:r>
        <w:rPr>
          <w:rFonts w:ascii="Times New Roman" w:hAnsi="Times New Roman"/>
          <w:color w:val="000000"/>
          <w:sz w:val="24"/>
        </w:rPr>
        <w:t>with the Ordinary Shares, the Company’s Series A Non-Voting Preferred Shares and the Company’s Series C Non-Voting Preferred Shares as to distributions of assets upon liquidation, dissolution or winding up of the Company, whether voluntarily or involuntarily.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4"/>
        </w:rPr>
        <w:t>Upon any liquidation, dissolution or winding-up of the Company, whether voluntary or involuntary (a “</w:t>
      </w:r>
      <w:r>
        <w:rPr>
          <w:rFonts w:ascii="Times New Roman" w:hAnsi="Times New Roman"/>
          <w:b/>
          <w:i/>
          <w:color w:val="000000"/>
          <w:sz w:val="24"/>
        </w:rPr>
        <w:t>Liquidation</w:t>
      </w:r>
      <w:r>
        <w:rPr>
          <w:color w:val="000000"/>
        </w:rPr>
        <w:t>”</w:t>
      </w:r>
      <w:r>
        <w:rPr>
          <w:rFonts w:ascii="Times New Roman" w:hAnsi="Times New Roman"/>
          <w:color w:val="000000"/>
          <w:sz w:val="24"/>
        </w:rPr>
        <w:t xml:space="preserve">), each Holder shall be entitled to receive out of the assets or distributable reserves of the Company the same amount that a holder of Ordinary Shares would receive if the Series B Non-Voting Preferred Shares were fully converted (disregarding for such purpose any Beneficial Ownership Limitations) to Ordinary Shares which amounts shall be paid </w:t>
      </w:r>
      <w:r>
        <w:rPr>
          <w:rFonts w:ascii="Times New Roman" w:hAnsi="Times New Roman"/>
          <w:i/>
          <w:color w:val="000000"/>
          <w:sz w:val="24"/>
        </w:rPr>
        <w:t>pari passu</w:t>
      </w:r>
      <w:r>
        <w:rPr>
          <w:color w:val="000000"/>
        </w:rPr>
        <w:t xml:space="preserve"> </w:t>
      </w:r>
      <w:r>
        <w:rPr>
          <w:rFonts w:ascii="Times New Roman" w:hAnsi="Times New Roman"/>
          <w:color w:val="000000"/>
          <w:sz w:val="24"/>
        </w:rPr>
        <w:t>with all holders of Ordinary Shares, plus an additional amount equal to any dividends declared on but unpaid to such shares. If, upon any such Liquidation, the assets of the Company shall be insufficient to pay the Holders of the Series B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4"/>
          <w:u w:val="single"/>
        </w:rPr>
        <w:t>Conversion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4"/>
          <w:u w:val="single"/>
        </w:rPr>
        <w:t>Conversion at Option of Holder</w:t>
      </w:r>
      <w:r>
        <w:rPr>
          <w:rFonts w:ascii="Times New Roman" w:hAnsi="Times New Roman"/>
          <w:color w:val="000000"/>
          <w:sz w:val="24"/>
        </w:rPr>
        <w:t xml:space="preserve">.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6.5.3</w:t>
      </w:r>
      <w:r>
        <w:rPr>
          <w:rFonts w:ascii="Times New Roman" w:hAnsi="Times New Roman"/>
          <w:color w:val="000000"/>
          <w:sz w:val="24"/>
        </w:rPr>
        <w:t>, each Series B Non-Voting Preferred Share then issued and outstanding shall be convertible, at any time, at the option of the Holder thereof, into a number of Ordinary Shares equal to the Conversion Ratio, subject to the Beneficial Ownership Limitation (as defined below) (each, an “</w:t>
      </w:r>
      <w:r>
        <w:rPr>
          <w:rFonts w:ascii="Times New Roman" w:hAnsi="Times New Roman"/>
          <w:b/>
          <w:i/>
          <w:color w:val="000000"/>
          <w:sz w:val="24"/>
        </w:rPr>
        <w:t>Optional Conversion</w:t>
      </w:r>
      <w:r>
        <w:rPr>
          <w:color w:val="000000"/>
        </w:rPr>
        <w:t>”</w:t>
      </w:r>
      <w:r>
        <w:rPr>
          <w:rFonts w:ascii="Times New Roman" w:hAnsi="Times New Roman"/>
          <w:color w:val="000000"/>
          <w:sz w:val="24"/>
        </w:rPr>
        <w:t xml:space="preserve">). Holders shall effect conversions by providing the Company with the form of conversion notice attached hereto as </w:t>
      </w:r>
      <w:r>
        <w:rPr>
          <w:rFonts w:ascii="Times New Roman" w:hAnsi="Times New Roman"/>
          <w:b/>
          <w:color w:val="000000"/>
          <w:sz w:val="24"/>
          <w:u w:val="single"/>
        </w:rPr>
        <w:t>Annex A</w:t>
      </w:r>
      <w:r>
        <w:rPr>
          <w:color w:val="000000"/>
        </w:rPr>
        <w:t xml:space="preserve"> </w:t>
      </w:r>
      <w:r>
        <w:rPr>
          <w:rFonts w:ascii="Times New Roman" w:hAnsi="Times New Roman"/>
          <w:color w:val="000000"/>
          <w:sz w:val="24"/>
        </w:rPr>
        <w:t>(a “</w:t>
      </w:r>
      <w:r>
        <w:rPr>
          <w:rFonts w:ascii="Times New Roman" w:hAnsi="Times New Roman"/>
          <w:b/>
          <w:i/>
          <w:color w:val="000000"/>
          <w:sz w:val="24"/>
        </w:rPr>
        <w:t>Notice of Conversion</w:t>
      </w:r>
      <w:r>
        <w:rPr>
          <w:color w:val="000000"/>
        </w:rPr>
        <w:t>”</w:t>
      </w:r>
      <w:r>
        <w:rPr>
          <w:rFonts w:ascii="Times New Roman" w:hAnsi="Times New Roman"/>
          <w:color w:val="000000"/>
          <w:sz w:val="24"/>
        </w:rPr>
        <w:t>), duly completed and executed. Provided the Company’s transfer agent is participating in the Depository Trust Company (“</w:t>
      </w:r>
      <w:r>
        <w:rPr>
          <w:rFonts w:ascii="Times New Roman" w:hAnsi="Times New Roman"/>
          <w:b/>
          <w:i/>
          <w:color w:val="000000"/>
          <w:sz w:val="24"/>
        </w:rPr>
        <w:t>DTC</w:t>
      </w:r>
      <w:r>
        <w:rPr>
          <w:color w:val="000000"/>
        </w:rPr>
        <w:t>”</w:t>
      </w:r>
      <w:r>
        <w:rPr>
          <w:rFonts w:ascii="Times New Roman" w:hAnsi="Times New Roman"/>
          <w:color w:val="000000"/>
          <w:sz w:val="24"/>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color w:val="000000"/>
          <w:sz w:val="24"/>
        </w:rPr>
        <w:t>DWAC Delivery</w:t>
      </w:r>
      <w:r>
        <w:rPr>
          <w:color w:val="000000"/>
        </w:rPr>
        <w:t>”</w:t>
      </w:r>
      <w:r>
        <w:rPr>
          <w:rFonts w:ascii="Times New Roman" w:hAnsi="Times New Roman"/>
          <w:color w:val="000000"/>
          <w:sz w:val="24"/>
        </w:rPr>
        <w:t>). The date on which an Optional Conversion shall be deemed effective (the “</w:t>
      </w:r>
      <w:r>
        <w:rPr>
          <w:rFonts w:ascii="Times New Roman" w:hAnsi="Times New Roman"/>
          <w:b/>
          <w:i/>
          <w:color w:val="000000"/>
          <w:sz w:val="24"/>
        </w:rPr>
        <w:t>Conversion Date</w:t>
      </w:r>
      <w:r>
        <w:rPr>
          <w:color w:val="000000"/>
        </w:rPr>
        <w:t>”</w:t>
      </w:r>
      <w:r>
        <w:rPr>
          <w:rFonts w:ascii="Times New Roman" w:hAnsi="Times New Roman"/>
          <w:color w:val="000000"/>
          <w:sz w:val="24"/>
        </w:rPr>
        <w:t>) shall be the Trading Day that the Notice of Conversion, completed and executed, is sent via email to, and received during regular business hours by, the Company; provided, that the original certificate(s) (if any) representing such Series B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B Non-Voting Preferred Shares being converted, duly endorsed, and the accompanying Notice of Conversion, are received by the Company. The calculations set forth in the Notice of Conversion shall control in the absence of manifest or mathematical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4"/>
          <w:u w:val="single"/>
        </w:rPr>
        <w:t>Conversion Ratio</w:t>
      </w:r>
      <w:r>
        <w:rPr>
          <w:rFonts w:ascii="Times New Roman" w:hAnsi="Times New Roman"/>
          <w:color w:val="000000"/>
          <w:sz w:val="24"/>
        </w:rPr>
        <w:t>. The “</w:t>
      </w:r>
      <w:r>
        <w:rPr>
          <w:rFonts w:ascii="Times New Roman" w:hAnsi="Times New Roman"/>
          <w:b/>
          <w:i/>
          <w:color w:val="000000"/>
          <w:sz w:val="24"/>
        </w:rPr>
        <w:t>Conversion Ratio</w:t>
      </w:r>
      <w:r>
        <w:rPr>
          <w:color w:val="000000"/>
        </w:rPr>
        <w:t xml:space="preserve">” </w:t>
      </w:r>
      <w:r>
        <w:rPr>
          <w:rFonts w:ascii="Times New Roman" w:hAnsi="Times New Roman"/>
          <w:color w:val="000000"/>
          <w:sz w:val="24"/>
        </w:rPr>
        <w:t>for each Series B Non-Voting Preferred Share shall be 1,000 Ordinary Shares issuable upon the conversion (the “</w:t>
      </w:r>
      <w:r>
        <w:rPr>
          <w:rFonts w:ascii="Times New Roman" w:hAnsi="Times New Roman"/>
          <w:b/>
          <w:i/>
          <w:color w:val="000000"/>
          <w:sz w:val="24"/>
        </w:rPr>
        <w:t>Conversion</w:t>
      </w:r>
      <w:r>
        <w:rPr>
          <w:color w:val="000000"/>
        </w:rPr>
        <w:t>”</w:t>
      </w:r>
      <w:r>
        <w:rPr>
          <w:rFonts w:ascii="Times New Roman" w:hAnsi="Times New Roman"/>
          <w:color w:val="000000"/>
          <w:sz w:val="24"/>
        </w:rPr>
        <w:t>) of each Series B Non-Voting Preferred Share (corresponding to a ratio of 1,000:1), subject to adjustment as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color w:val="000000"/>
          <w:sz w:val="24"/>
          <w:u w:val="single"/>
        </w:rPr>
        <w:t>Beneficial Ownership Limitation</w:t>
      </w:r>
      <w:r>
        <w:rPr>
          <w:rFonts w:ascii="Times New Roman" w:hAnsi="Times New Roman"/>
          <w:color w:val="000000"/>
          <w:sz w:val="24"/>
        </w:rPr>
        <w:t xml:space="preserve">. Notwithstanding anything herein to the contrary, the Company shall not effect any conversion of any Series B Non-Voting Preferred Share, and a Holder shall not have the right to convert any portion of the Series B Non-Voting Preferred Share pursuant to </w:t>
      </w:r>
      <w:r>
        <w:rPr>
          <w:rFonts w:ascii="Times New Roman" w:hAnsi="Times New Roman"/>
          <w:color w:val="000000"/>
          <w:sz w:val="24"/>
          <w:u w:val="single"/>
        </w:rPr>
        <w:t>Section 6.2</w:t>
      </w:r>
      <w:r>
        <w:rPr>
          <w:rFonts w:ascii="Times New Roman" w:hAnsi="Times New Roman"/>
          <w:color w:val="000000"/>
          <w:sz w:val="24"/>
        </w:rPr>
        <w:t xml:space="preserve">, to the extent that, after giving effect to such attempted conversion set forth on an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applicable Notice of Conversion (as defined in the Certificate of Designation) with respect to the Series B Non-Voting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color w:val="000000"/>
          <w:sz w:val="24"/>
        </w:rPr>
        <w:t>Attribution Parties</w:t>
      </w:r>
      <w:r>
        <w:rPr>
          <w:color w:val="000000"/>
        </w:rPr>
        <w:t>”</w:t>
      </w:r>
      <w:r>
        <w:rPr>
          <w:rFonts w:ascii="Times New Roman" w:hAnsi="Times New Roman"/>
          <w:color w:val="000000"/>
          <w:sz w:val="24"/>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B Non-Voting Preferred Shares subject to the Notice of Conversion with respect to which such determination is being made, but shall exclude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color w:val="000000"/>
          <w:sz w:val="24"/>
          <w:u w:val="single"/>
        </w:rPr>
        <w:t>Section 6.4</w:t>
      </w:r>
      <w:r>
        <w:rPr>
          <w:rFonts w:ascii="Times New Roman" w:hAnsi="Times New Roman"/>
          <w:color w:val="000000"/>
          <w:sz w:val="24"/>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4"/>
          <w:u w:val="single"/>
        </w:rPr>
        <w:t>Section 6.4</w:t>
      </w:r>
      <w:r>
        <w:rPr>
          <w:rFonts w:ascii="Times New Roman" w:hAnsi="Times New Roman"/>
          <w:color w:val="000000"/>
          <w:sz w:val="24"/>
        </w:rPr>
        <w:t>, in determining the number of issued and outstanding Ordinary Shares, a Holder may rely on the number of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then outstanding. Upon the written request of a Holder (which may be by email), the Company shall, within two (2) Trading Days thereof, confirm in writing to such Holder (which may be via email) the number of Ordinary Shares then issued and outstanding. In any case, the number of issued and outstanding Ordinary Shares shall be determined after giving effect to any actual conversion or exercise of securities of the Company, including of Series B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color w:val="000000"/>
          <w:sz w:val="24"/>
        </w:rPr>
        <w:t>Beneficial Ownership Limitation</w:t>
      </w:r>
      <w:r>
        <w:rPr>
          <w:color w:val="000000"/>
        </w:rPr>
        <w:t xml:space="preserve">” </w:t>
      </w:r>
      <w:r>
        <w:rPr>
          <w:rFonts w:ascii="Times New Roman" w:hAnsi="Times New Roman"/>
          <w:color w:val="000000"/>
          <w:sz w:val="24"/>
        </w:rPr>
        <w:t xml:space="preserve">shall initially be 19.99% of the number of Ordinary Shares issued and outstanding or deemed to be issued and outstanding as of the applicable measurement date. The Company shall be entitled to rely on representations made to it by the Holder in any Notice of Conversion regarding its Beneficial Ownership Limitation. Notwithstanding the foregoing, by written notice to the Company (email being sufficient), the Holder may reset the Beneficial Ownership Limitation percentage to a higher percentage, not to exceed 19.99%, which increase will not be effective until the sixty-first (61st) day after such written notice is delivered to the Company.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color w:val="000000"/>
          <w:sz w:val="24"/>
          <w:u w:val="single"/>
        </w:rPr>
        <w:t>Section 6.4</w:t>
      </w:r>
      <w:r>
        <w:rPr>
          <w:rFonts w:ascii="Times New Roman" w:hAnsi="Times New Roman"/>
          <w:color w:val="000000"/>
          <w:sz w:val="24"/>
        </w:rPr>
        <w:t>.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Ordinary Shares of a Holder (together with any of such Holder’s Attribution Parties) is equal to or less than 9.00% of the number of Ordinary Shares issued and outstanding</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as of any given date, then such Holder’s Beneficial Ownership Limitation shall automatically be set to 9.99%. The provisions of this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shall be construed, corrected and implemented in a manner so as to effectuate the intended Beneficial Ownership Limitation herein contained and the Ordinary Shares underlying the Series B Non-Voting Preferred Shares in excess of the Beneficial Ownership Limitation shall not be deemed to be beneficially owned by the Holder for any purpose including for purposes of Section 13(d) or Rule 16a-1(a)(1) of the Exchange Act.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color w:val="000000"/>
          <w:sz w:val="24"/>
          <w:u w:val="single"/>
        </w:rPr>
        <w:t>Mechanics of Conversion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6.5.1</w:t>
      </w:r>
    </w:p>
    <w:p>
      <w:pPr>
        <w:pStyle w:val="TextBody"/>
        <w:bidi w:val="0"/>
        <w:spacing w:before="0" w:after="240"/>
        <w:jc w:val="both"/>
        <w:rPr/>
      </w:pPr>
      <w:r>
        <w:rPr>
          <w:rFonts w:ascii="Times New Roman" w:hAnsi="Times New Roman"/>
          <w:color w:val="000000"/>
          <w:sz w:val="24"/>
          <w:u w:val="single"/>
        </w:rPr>
        <w:t>Delivery of Certificate or Electronic Issuance</w:t>
      </w:r>
      <w:r>
        <w:rPr>
          <w:rFonts w:ascii="Times New Roman" w:hAnsi="Times New Roman"/>
          <w:color w:val="000000"/>
          <w:sz w:val="24"/>
        </w:rPr>
        <w:t>. Upon Conversion not later than two (2) Trading Days after the applicable Conversion Date, or if the Holder requests the issuance of physical certificate(s), two (2) Trading Days after receipt by the Company of the original certificate(s) representing such Series B Non-Voting Preferred Shares being converted, duly endorsed, and the accompanying Notice of Conversion (the “</w:t>
      </w:r>
      <w:r>
        <w:rPr>
          <w:rFonts w:ascii="Times New Roman" w:hAnsi="Times New Roman"/>
          <w:b/>
          <w:i/>
          <w:color w:val="000000"/>
          <w:sz w:val="24"/>
        </w:rPr>
        <w:t>Share Delivery Date</w:t>
      </w:r>
      <w:r>
        <w:rPr>
          <w:color w:val="000000"/>
        </w:rPr>
        <w:t>”</w:t>
      </w:r>
      <w:r>
        <w:rPr>
          <w:rFonts w:ascii="Times New Roman" w:hAnsi="Times New Roman"/>
          <w:color w:val="000000"/>
          <w:sz w:val="24"/>
        </w:rPr>
        <w:t>), the Company shall either: (a) deliver, or cause to be delivered, to the converting Holder a physical certificate or certificates representing the number of Conversion Shares being acquired upon the conversion of Series B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B Non-Voting Preferred Share certificate delivered to the Company and such Holder shall promptly return to the Company any Ordinary Share certificates or otherwise direct the return of any Ordinary Shares delivered to the Holder through the DWAC system, representing the Series B Non-Voting Preferred Shares unsuccessfully tendered for conversion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6.5.2</w:t>
      </w:r>
    </w:p>
    <w:p>
      <w:pPr>
        <w:pStyle w:val="TextBody"/>
        <w:bidi w:val="0"/>
        <w:spacing w:before="0" w:after="240"/>
        <w:jc w:val="both"/>
        <w:rPr/>
      </w:pPr>
      <w:r>
        <w:rPr>
          <w:rFonts w:ascii="Times New Roman" w:hAnsi="Times New Roman"/>
          <w:color w:val="000000"/>
          <w:sz w:val="24"/>
          <w:u w:val="single"/>
        </w:rPr>
        <w:t>Obligation Absolute</w:t>
      </w:r>
      <w:r>
        <w:rPr>
          <w:rFonts w:ascii="Times New Roman" w:hAnsi="Times New Roman"/>
          <w:color w:val="000000"/>
          <w:sz w:val="24"/>
        </w:rPr>
        <w:t xml:space="preserve">.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‎6.5.1</w:t>
      </w:r>
      <w:r>
        <w:rPr>
          <w:rFonts w:ascii="Times New Roman" w:hAnsi="Times New Roman"/>
          <w:color w:val="000000"/>
          <w:sz w:val="24"/>
        </w:rPr>
        <w:t xml:space="preserve">, the Company’s obligation to issue and deliver the Conversion Shares upon conversion of Series B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‎6.5.1</w:t>
      </w:r>
      <w:r>
        <w:rPr>
          <w:rFonts w:ascii="Times New Roman" w:hAnsi="Times New Roman"/>
          <w:color w:val="000000"/>
          <w:sz w:val="24"/>
        </w:rPr>
        <w:t xml:space="preserve">, in the event a Holder shall elect to convert any or all of its Series B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Shares of such Holder shall have been sought and obtained by the Company, and the Company posts a surety bond for the benefit of such Holder in the amount of 150% of the value of the Conversion Shares into which would be converted Series B Non-Voting Preferred Shares which is subject to such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‎6.5.1</w:t>
      </w:r>
      <w:r>
        <w:rPr>
          <w:rFonts w:ascii="Times New Roman" w:hAnsi="Times New Roman"/>
          <w:color w:val="000000"/>
          <w:sz w:val="24"/>
        </w:rPr>
        <w:t>, issue Conversion Shares upon a properly noticed conversion.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6.5.4</w:t>
      </w:r>
    </w:p>
    <w:p>
      <w:pPr>
        <w:pStyle w:val="TextBody"/>
        <w:bidi w:val="0"/>
        <w:spacing w:before="0" w:after="240"/>
        <w:jc w:val="both"/>
        <w:rPr/>
      </w:pPr>
      <w:r>
        <w:rPr>
          <w:rFonts w:ascii="Times New Roman" w:hAnsi="Times New Roman"/>
          <w:color w:val="000000"/>
          <w:sz w:val="24"/>
          <w:u w:val="single"/>
        </w:rPr>
        <w:t>Buy-In on Failure to Timely Deliver Certificates</w:t>
      </w:r>
      <w:r>
        <w:rPr>
          <w:rFonts w:ascii="Times New Roman" w:hAnsi="Times New Roman"/>
          <w:color w:val="000000"/>
          <w:sz w:val="24"/>
        </w:rPr>
        <w:t xml:space="preserve">. If the Company fails to deliver to a Holder the applicable certificate or certificates or to effect a DWAC Delivery, as applicable, by the Share Delivery Date pursuant to </w:t>
      </w:r>
      <w:r>
        <w:rPr>
          <w:rFonts w:ascii="Times New Roman" w:hAnsi="Times New Roman"/>
          <w:color w:val="000000"/>
          <w:sz w:val="24"/>
          <w:u w:val="single"/>
        </w:rPr>
        <w:t>Section ‎6.5.1</w:t>
      </w:r>
      <w:r>
        <w:rPr>
          <w:color w:val="000000"/>
        </w:rPr>
        <w:t xml:space="preserve"> </w:t>
      </w:r>
      <w:r>
        <w:rPr>
          <w:rFonts w:ascii="Times New Roman" w:hAnsi="Times New Roman"/>
          <w:color w:val="000000"/>
          <w:sz w:val="24"/>
        </w:rPr>
        <w:t>(other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color w:val="000000"/>
          <w:sz w:val="24"/>
        </w:rPr>
        <w:t>Buy-In</w:t>
      </w:r>
      <w:r>
        <w:rPr>
          <w:color w:val="000000"/>
        </w:rPr>
        <w:t>”</w:t>
      </w:r>
      <w:r>
        <w:rPr>
          <w:rFonts w:ascii="Times New Roman" w:hAnsi="Times New Roman"/>
          <w:color w:val="000000"/>
          <w:sz w:val="24"/>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B Non-Voting Preferred Shares equal to the number of Series B Non-Voting Preferred Shares submitted for conversion or deliver to such Holder the number of Ordinary Shares that would have been issued if the Company had timely complied with its delivery requirements under </w:t>
      </w:r>
      <w:r>
        <w:rPr>
          <w:rFonts w:ascii="Times New Roman" w:hAnsi="Times New Roman"/>
          <w:color w:val="000000"/>
          <w:sz w:val="24"/>
          <w:u w:val="single"/>
        </w:rPr>
        <w:t>Section ‎6.5.1</w:t>
      </w:r>
      <w:r>
        <w:rPr>
          <w:rFonts w:ascii="Times New Roman" w:hAnsi="Times New Roman"/>
          <w:color w:val="000000"/>
          <w:sz w:val="24"/>
        </w:rPr>
        <w:t xml:space="preserve">. For example, if a Holder purchases Ordinary Shares having a total purchase price of $11,000 to cover a Buy-In with respect to an attempted conversion of Series B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the Series B Non-Voting Preferred Shares as required pursuant to the terms hereof or the cash settlement remedy set forth in </w:t>
      </w:r>
      <w:r>
        <w:rPr>
          <w:rFonts w:ascii="Times New Roman" w:hAnsi="Times New Roman"/>
          <w:color w:val="000000"/>
          <w:sz w:val="24"/>
          <w:u w:val="single"/>
        </w:rPr>
        <w:t>Section 6.5.3</w:t>
      </w:r>
      <w:r>
        <w:rPr>
          <w:rFonts w:ascii="Times New Roman" w:hAnsi="Times New Roman"/>
          <w:color w:val="000000"/>
          <w:sz w:val="24"/>
        </w:rPr>
        <w:t xml:space="preserve">; provided, however, that the Holder shall not be entitled to both (i) require the reissuance of the Series B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color w:val="000000"/>
          <w:sz w:val="24"/>
          <w:u w:val="single"/>
        </w:rPr>
        <w:t>Section ‎6.5.1</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6.5.5</w:t>
      </w:r>
    </w:p>
    <w:p>
      <w:pPr>
        <w:pStyle w:val="TextBody"/>
        <w:bidi w:val="0"/>
        <w:spacing w:before="0" w:after="240"/>
        <w:jc w:val="both"/>
        <w:rPr/>
      </w:pPr>
      <w:r>
        <w:rPr>
          <w:rFonts w:ascii="Times New Roman" w:hAnsi="Times New Roman"/>
          <w:color w:val="000000"/>
          <w:sz w:val="24"/>
          <w:u w:val="single"/>
        </w:rPr>
        <w:t>Reservation of Shares Issuable Upon Conversion</w:t>
      </w:r>
      <w:r>
        <w:rPr>
          <w:rFonts w:ascii="Times New Roman" w:hAnsi="Times New Roman"/>
          <w:color w:val="000000"/>
          <w:sz w:val="24"/>
        </w:rPr>
        <w:t xml:space="preserve">. The Company covenants that at all times it will reserve and keep available out of its authorized and unissued Ordinary Shares for the sole purpose of issuance upon conversion of the Series B Non-Voting Preferred Shares, free from preemptive rights or any other actual contingent purchase rights of Persons other than the Holders of the Series B Non-Voting Preferred Shares, not less than such aggregate number of Ordinary Shares as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shall be issuable (taking into account the adjustments of </w:t>
      </w:r>
      <w:r>
        <w:rPr>
          <w:rFonts w:ascii="Times New Roman" w:hAnsi="Times New Roman"/>
          <w:color w:val="000000"/>
          <w:sz w:val="24"/>
          <w:u w:val="single"/>
        </w:rPr>
        <w:t>Section ‎7</w:t>
      </w:r>
      <w:r>
        <w:rPr>
          <w:rFonts w:ascii="Times New Roman" w:hAnsi="Times New Roman"/>
          <w:color w:val="000000"/>
          <w:sz w:val="24"/>
        </w:rPr>
        <w:t>) upon the conversion of all issued and outstanding Series B Non-Voting Preferred Shares. The Company covenants that all Ordinary Shares that shall be so issuable shall, upon issue, be duly authorized, validly issued, fully paid and non-assessable.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6.5.6</w:t>
      </w:r>
    </w:p>
    <w:p>
      <w:pPr>
        <w:pStyle w:val="TextBody"/>
        <w:bidi w:val="0"/>
        <w:spacing w:before="0" w:after="240"/>
        <w:jc w:val="both"/>
        <w:rPr/>
      </w:pPr>
      <w:r>
        <w:rPr>
          <w:rFonts w:ascii="Times New Roman" w:hAnsi="Times New Roman"/>
          <w:color w:val="000000"/>
          <w:sz w:val="24"/>
          <w:u w:val="single"/>
        </w:rPr>
        <w:t>Fractional Shares</w:t>
      </w:r>
      <w:r>
        <w:rPr>
          <w:rFonts w:ascii="Times New Roman" w:hAnsi="Times New Roman"/>
          <w:color w:val="000000"/>
          <w:sz w:val="24"/>
        </w:rPr>
        <w:t>. No fractional Ordinary Shares shall be issued upon conversion of the Series B Non-Voting Preferred Shares, no certificates or scrip for any such fractional shares shall be issued and no cash shall be paid for any such fractional shares. Any fractional Ordinary Shares that a Holder of Series B Non-Voting Preferred Shares would otherwise be entitled to receive shall be aggregated with all fractional Ordinary Shares issuable to such Holder and any remaining fractional shares shall be rounded up to the nearest whole share. Whether or not fractional shares would be issuable upon such conversion shall be determined on the basis of the total number of Series B Non-Voting Preferred Shares the Holder seeks to convert into Ordinary Shares and the aggregate number of Ordinary Shares issuable upon such conversion.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6.5.7</w:t>
      </w:r>
    </w:p>
    <w:p>
      <w:pPr>
        <w:pStyle w:val="TextBody"/>
        <w:bidi w:val="0"/>
        <w:spacing w:before="0" w:after="240"/>
        <w:jc w:val="both"/>
        <w:rPr/>
      </w:pPr>
      <w:r>
        <w:rPr>
          <w:rFonts w:ascii="Times New Roman" w:hAnsi="Times New Roman"/>
          <w:color w:val="000000"/>
          <w:sz w:val="24"/>
          <w:u w:val="single"/>
        </w:rPr>
        <w:t>Transfer Taxes</w:t>
      </w:r>
      <w:r>
        <w:rPr>
          <w:rFonts w:ascii="Times New Roman" w:hAnsi="Times New Roman"/>
          <w:color w:val="000000"/>
          <w:sz w:val="24"/>
        </w:rPr>
        <w:t>. The issuance of certificates for Ordinary Shares upon conversion of the Series B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B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color w:val="000000"/>
          <w:sz w:val="24"/>
          <w:u w:val="single"/>
        </w:rPr>
        <w:t>Status as Shareholder</w:t>
      </w:r>
      <w:r>
        <w:rPr>
          <w:rFonts w:ascii="Times New Roman" w:hAnsi="Times New Roman"/>
          <w:color w:val="000000"/>
          <w:sz w:val="24"/>
        </w:rPr>
        <w:t>. Upon each Conversion Date, (i) the Series B Non-Voting Preferred Shares being converted shall be deemed converted into Ordinary Shares and (ii) the Holder’s rights as a holder of such converted Series B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Certificate of Designation. In all cases, the Holder shall retain all of its rights and remedies for the Company’s failure to convert Series B Non-Voting Preferred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4"/>
          <w:u w:val="single"/>
        </w:rPr>
        <w:t>Share Dividends and Share Splits</w:t>
      </w:r>
      <w:r>
        <w:rPr>
          <w:rFonts w:ascii="Times New Roman" w:hAnsi="Times New Roman"/>
          <w:color w:val="000000"/>
          <w:sz w:val="24"/>
        </w:rPr>
        <w:t xml:space="preserve">. If the Company, at any time while a Series B Non-Voting Preferred Share is issued and outstanding: (A) pays a share dividend or otherwise makes a distribution or distributions payable in Ordinary Shares (which, for avoidance of doubt, shall not include any Ordinary Shares issued by the Company upon conversion of a Series B Non-Voting Preferred Share) with respect to the then issued and outstanding Ordinary Shares; (B) subdivides outstanding Ordinary Shares into a larger number of shares; or (C) combines (including by way of a share consolidation)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issued and outstanding immediately before such event (excluding any treasury shares of the Company). Any adjustment made pursuant to this </w:t>
      </w:r>
      <w:r>
        <w:rPr>
          <w:rFonts w:ascii="Times New Roman" w:hAnsi="Times New Roman"/>
          <w:color w:val="000000"/>
          <w:sz w:val="24"/>
          <w:u w:val="single"/>
        </w:rPr>
        <w:t>Section ‎7.1</w:t>
      </w:r>
      <w:r>
        <w:rPr>
          <w:color w:val="000000"/>
        </w:rPr>
        <w:t xml:space="preserve"> </w:t>
      </w:r>
      <w:r>
        <w:rPr>
          <w:rFonts w:ascii="Times New Roman" w:hAnsi="Times New Roman"/>
          <w:color w:val="000000"/>
          <w:sz w:val="24"/>
        </w:rPr>
        <w:t xml:space="preserve">shall become effective immediately after the record date for the determination of shareholders entitled to receive such dividend or distribution and shall become effective immediately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effective date in the case of a subdivision or combination.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xml:space="preserve">. If, at any time while a Series B Non-Voting Preferred Share is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(whether by the Company or another Person) is completed pursuant to which more than 50% of the Ordinary Shares not held by the Company or such Person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color w:val="000000"/>
          <w:sz w:val="24"/>
          <w:u w:val="single"/>
        </w:rPr>
        <w:t>Section ‎7.1</w:t>
      </w:r>
      <w:r>
        <w:rPr>
          <w:rFonts w:ascii="Times New Roman" w:hAnsi="Times New Roman"/>
          <w:color w:val="000000"/>
          <w:sz w:val="24"/>
        </w:rPr>
        <w:t>) to which the Ordinary Shares are effectively converted into or exchanged for other securities, cash or property (in any such case, a “</w:t>
      </w:r>
      <w:r>
        <w:rPr>
          <w:rFonts w:ascii="Times New Roman" w:hAnsi="Times New Roman"/>
          <w:b/>
          <w:i/>
          <w:color w:val="000000"/>
          <w:sz w:val="24"/>
        </w:rPr>
        <w:t>Fundamental Transaction</w:t>
      </w:r>
      <w:r>
        <w:rPr>
          <w:color w:val="000000"/>
        </w:rPr>
        <w:t>”</w:t>
      </w:r>
      <w:r>
        <w:rPr>
          <w:rFonts w:ascii="Times New Roman" w:hAnsi="Times New Roman"/>
          <w:color w:val="000000"/>
          <w:sz w:val="24"/>
        </w:rPr>
        <w:t>), then, upon any subsequent conversion of a Series B Non-Voting Preferred Share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Ordinary Share (the “</w:t>
      </w:r>
      <w:r>
        <w:rPr>
          <w:rFonts w:ascii="Times New Roman" w:hAnsi="Times New Roman"/>
          <w:b/>
          <w:i/>
          <w:color w:val="000000"/>
          <w:sz w:val="24"/>
        </w:rPr>
        <w:t>Alternate Consideration</w:t>
      </w:r>
      <w:r>
        <w:rPr>
          <w:color w:val="000000"/>
        </w:rPr>
        <w:t>”</w:t>
      </w:r>
      <w:r>
        <w:rPr>
          <w:rFonts w:ascii="Times New Roman" w:hAnsi="Times New Roman"/>
          <w:color w:val="000000"/>
          <w:sz w:val="24"/>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a Series B Non-Voting Preferred Share following such Fundamental Transaction. To the extent necessary to effectuate the foregoing provisions, any successor to the Company or surviving entity in such Fundamental Transaction shall file a new certificate of designation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color w:val="000000"/>
          <w:sz w:val="24"/>
          <w:u w:val="single"/>
        </w:rPr>
        <w:t>Section ‎7.2</w:t>
      </w:r>
      <w:r>
        <w:rPr>
          <w:color w:val="000000"/>
        </w:rPr>
        <w:t xml:space="preserve"> </w:t>
      </w:r>
      <w:r>
        <w:rPr>
          <w:rFonts w:ascii="Times New Roman" w:hAnsi="Times New Roman"/>
          <w:color w:val="000000"/>
          <w:sz w:val="24"/>
        </w:rPr>
        <w:t>and ensuring that this Series B Non-Voting Preferred Shares (or any such replacement security) will be similarly adjusted upon any subsequent transaction analogous to a Fundamental Transaction. The Company shall cause to be delivered to each Holder, at its last address as it shall appear upon the register of members of the Company (the “</w:t>
      </w:r>
      <w:r>
        <w:rPr>
          <w:rFonts w:ascii="Times New Roman" w:hAnsi="Times New Roman"/>
          <w:b/>
          <w:i/>
          <w:color w:val="000000"/>
          <w:sz w:val="24"/>
        </w:rPr>
        <w:t>Register of Members</w:t>
      </w:r>
      <w:r>
        <w:rPr>
          <w:color w:val="000000"/>
        </w:rPr>
        <w:t>”</w:t>
      </w:r>
      <w:r>
        <w:rPr>
          <w:rFonts w:ascii="Times New Roman" w:hAnsi="Times New Roman"/>
          <w:color w:val="000000"/>
          <w:sz w:val="24"/>
        </w:rPr>
        <w:t xml:space="preserve">), written notice of any Fundamental Transaction at least 20 calendar days prior to the date on which such Fundamental Transaction is expected to become effective or close.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xml:space="preserve">. All calculations under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shall be made to the nearest cent or the nearest 1/100th of a share, as the case may be. For purposes of this </w:t>
      </w:r>
      <w:r>
        <w:rPr>
          <w:rFonts w:ascii="Times New Roman" w:hAnsi="Times New Roman"/>
          <w:color w:val="000000"/>
          <w:sz w:val="24"/>
          <w:u w:val="single"/>
        </w:rPr>
        <w:t>Section ‎7</w:t>
      </w:r>
      <w:r>
        <w:rPr>
          <w:rFonts w:ascii="Times New Roman" w:hAnsi="Times New Roman"/>
          <w:color w:val="000000"/>
          <w:sz w:val="24"/>
        </w:rPr>
        <w:t>, the number of Ordinary Shares deemed to be issued and outstanding as of a given date shall be the sum of the number of Ordinary Shares (excluding any treasury shares of the Company) issued and outstanding.</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4"/>
          <w:u w:val="single"/>
        </w:rPr>
        <w:t>Redemption</w:t>
      </w:r>
      <w:r>
        <w:rPr>
          <w:rFonts w:ascii="Times New Roman" w:hAnsi="Times New Roman"/>
          <w:color w:val="000000"/>
          <w:sz w:val="24"/>
        </w:rPr>
        <w:t xml:space="preserve">. The Series B Non-Voting Preferred Shares shall not be redeemable; provided, however, that the foregoing shall not limit the ability of the Company to purchase or otherwise deal in such shares to the extent otherwise permitted hereby and under the Articles, nor shall the foregoing limit the Holder’s rights under </w:t>
      </w:r>
      <w:r>
        <w:rPr>
          <w:rFonts w:ascii="Times New Roman" w:hAnsi="Times New Roman"/>
          <w:color w:val="000000"/>
          <w:sz w:val="24"/>
          <w:u w:val="single"/>
        </w:rPr>
        <w:t>Section 6.5.3</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4"/>
          <w:u w:val="single"/>
        </w:rPr>
        <w:t>Transfer</w:t>
      </w:r>
      <w:r>
        <w:rPr>
          <w:rFonts w:ascii="Times New Roman" w:hAnsi="Times New Roman"/>
          <w:color w:val="000000"/>
          <w:sz w:val="24"/>
        </w:rPr>
        <w:t xml:space="preserve">. Subject to the Articles, a Holder may transfer any Series B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B Non-Voting Preferred Shares may reasonably request in order to carry out the intent and accomplish the purposes of this </w:t>
      </w:r>
      <w:r>
        <w:rPr>
          <w:rFonts w:ascii="Times New Roman" w:hAnsi="Times New Roman"/>
          <w:color w:val="000000"/>
          <w:sz w:val="24"/>
          <w:u w:val="single"/>
        </w:rPr>
        <w:t>Section ‎9</w:t>
      </w:r>
      <w:r>
        <w:rPr>
          <w:rFonts w:ascii="Times New Roman" w:hAnsi="Times New Roman"/>
          <w:color w:val="000000"/>
          <w:sz w:val="24"/>
        </w:rPr>
        <w:t>. The transferee of any Series B Non-Voting Preferred Shares shall be subject to the Beneficial Ownership Limitation applicable to the transferor as of the time of such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4"/>
          <w:u w:val="single"/>
        </w:rPr>
        <w:t>Series B Non-Voting Preferred Shares Register</w:t>
      </w:r>
      <w:r>
        <w:rPr>
          <w:rFonts w:ascii="Times New Roman" w:hAnsi="Times New Roman"/>
          <w:color w:val="000000"/>
          <w:sz w:val="24"/>
        </w:rPr>
        <w:t xml:space="preserve">. The Company shall maintain at its principal executive offices (or such other office or agency of the Company as it may designate by notice to the Holders in accordance with </w:t>
      </w:r>
      <w:r>
        <w:rPr>
          <w:rFonts w:ascii="Times New Roman" w:hAnsi="Times New Roman"/>
          <w:color w:val="000000"/>
          <w:sz w:val="24"/>
          <w:u w:val="single"/>
        </w:rPr>
        <w:t>Section ‎11</w:t>
      </w:r>
      <w:r>
        <w:rPr>
          <w:rFonts w:ascii="Times New Roman" w:hAnsi="Times New Roman"/>
          <w:color w:val="000000"/>
          <w:sz w:val="24"/>
        </w:rPr>
        <w:t>), a register for the Series B Non-Voting Preferred Shares, in which the Company shall record (i) the name, address, and electronic mail address of each holder in whose name the Series B Non-Voting Preferred Shares have been issued and (ii) the name, address, and electronic mail address of each transferee of any Series B Non-Voting Preferred Shares. The Company may deem and treat the registered Holder of Series B Non-Voting Preferred Shares as the absolute owner thereof for the purpose of any conversion thereof and for all other purposes. The Company shall keep the register open and available at all times during business hours for inspection by any holder of Series B Non-Voting Preferred Shares or his, her or its legal representatives.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required or permitted by the provisions of this Certificate of Designation to be given to a Holder of Series B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4"/>
          <w:u w:val="single"/>
        </w:rPr>
        <w:t>Book-Entry; Certificates</w:t>
      </w:r>
      <w:r>
        <w:rPr>
          <w:rFonts w:ascii="Times New Roman" w:hAnsi="Times New Roman"/>
          <w:color w:val="000000"/>
          <w:sz w:val="24"/>
        </w:rPr>
        <w:t>. The Series B Non-Voting Preferred Shares will be issued in book-entry form; provided that, if a Holder requests that such Holder’s Series B Non-Voting Preferred Shares be issued in certificated form, the Company will instead issue a share certificate to such Holder representing such Holder’s Series B Non-Voting Preferred Shares. To the extent that any Series B Non-Voting Preferred Shares are issued in book-entry form, references herein to “certificates” shall instead refer to the book-entry notation relating to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xml:space="preserve">. Any waiver by the Company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Company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Company or a Holder must be in writing. Notwithstanding any provision in this Certificate of Designation to the contrary, any provision contained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herein and any right of the Holders of Series B Non-Voting Preferred Shares granted hereunder may be waived as to all Series B Non-Voting Preferred Shares (and the Holders thereof) upon the written consent or resolution of the Holders of not less than a simple majority of the Series B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color w:val="000000"/>
          <w:sz w:val="24"/>
          <w:u w:val="single"/>
        </w:rPr>
        <w:t>Status of Converted Series B Non-Voting Preferred Shares</w:t>
      </w:r>
      <w:r>
        <w:rPr>
          <w:rFonts w:ascii="Times New Roman" w:hAnsi="Times New Roman"/>
          <w:color w:val="000000"/>
          <w:sz w:val="24"/>
        </w:rPr>
        <w:t xml:space="preserve">. If any Series B Non-Voting Preferred Shares shall be converted, repurchased, surrendered or redeemed by the Company, such shares shall, to the fullest extent permitted by applicable law and in accordance with the Articles, be repurchased, surrendered or redeemed (as applicable) and automatically cancelled, and shall not be reissued as a Series B Non-Voting Preferred Share. Immediately upon its cancellation, any such Series B Non-Voting Preferred Share shall no longer be designated as a Series B Non-Voting Preferred Share and shall form part of the authorized but unissued share capital of the Company.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Damora Therapeutics, Inc. has caused this Certificate of Designation of Preferences, Rights and Limitations of Series B Non-Voting Convertible Preferred Shares to be duly executed on its behalf by its director on 16 July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DAMORA THERAPEUTICS,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 Garrett Winslow </w:t>
      </w:r>
    </w:p>
    <w:p>
      <w:pPr>
        <w:pStyle w:val="TextBody"/>
        <w:bidi w:val="0"/>
        <w:jc w:val="left"/>
        <w:rPr>
          <w:rFonts w:ascii="Times New Roman" w:hAnsi="Times New Roman"/>
          <w:color w:val="000000"/>
          <w:sz w:val="24"/>
        </w:rPr>
      </w:pPr>
      <w:r>
        <w:rPr>
          <w:rFonts w:ascii="Times New Roman" w:hAnsi="Times New Roman"/>
          <w:color w:val="000000"/>
          <w:sz w:val="24"/>
        </w:rPr>
        <w:t xml:space="preserve">Name: Garrett Winslow </w:t>
      </w:r>
    </w:p>
    <w:p>
      <w:pPr>
        <w:pStyle w:val="TextBody"/>
        <w:bidi w:val="0"/>
        <w:jc w:val="left"/>
        <w:rPr>
          <w:rFonts w:ascii="Times New Roman" w:hAnsi="Times New Roman"/>
          <w:color w:val="000000"/>
          <w:sz w:val="24"/>
        </w:rPr>
      </w:pPr>
      <w:r>
        <w:rPr>
          <w:rFonts w:ascii="Times New Roman" w:hAnsi="Times New Roman"/>
          <w:color w:val="000000"/>
          <w:sz w:val="24"/>
        </w:rPr>
        <w:t xml:space="preserve">Title: General Counsel and Corporate Secretary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ANNEX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NOTICE OF CONVERSION</w:t>
        <w:br/>
        <w:br/>
        <w:t>(TO BE EXECUTED BY THE REGISTERED HOLDER IN ORDER TO CONVERT SERIES B NON-VOTING CONVERTIBLE PREFERRED SHARES)</w:t>
      </w:r>
    </w:p>
    <w:p>
      <w:pPr>
        <w:pStyle w:val="TextBody"/>
        <w:bidi w:val="0"/>
        <w:jc w:val="both"/>
        <w:rPr>
          <w:rFonts w:ascii="Times New Roman" w:hAnsi="Times New Roman"/>
          <w:sz w:val="20"/>
        </w:rPr>
      </w:pPr>
      <w:r>
        <w:rPr>
          <w:rFonts w:ascii="Times New Roman" w:hAnsi="Times New Roman"/>
          <w:color w:val="000000"/>
          <w:sz w:val="24"/>
        </w:rPr>
        <w:t>The undersigned Holder hereby irrevocably elects to convert the number of Series B Non-Voting Preferred Shares indicated below, represented in book-entry form, into Ordinary Shares, par value $0.00001 per share (the “</w:t>
      </w:r>
      <w:r>
        <w:rPr>
          <w:rFonts w:ascii="Times New Roman" w:hAnsi="Times New Roman"/>
          <w:b/>
          <w:i/>
          <w:color w:val="000000"/>
          <w:sz w:val="24"/>
        </w:rPr>
        <w:t>Ordinary Shares</w:t>
      </w:r>
      <w:r>
        <w:rPr>
          <w:rFonts w:ascii="Times New Roman" w:hAnsi="Times New Roman"/>
          <w:color w:val="000000"/>
          <w:sz w:val="20"/>
        </w:rPr>
        <w:t>”</w:t>
      </w:r>
      <w:r>
        <w:rPr>
          <w:rFonts w:ascii="Times New Roman" w:hAnsi="Times New Roman"/>
          <w:color w:val="000000"/>
          <w:sz w:val="24"/>
        </w:rPr>
        <w:t>), of Damora Therapeutics, Inc., an exempted company incorporated in the Cayman Islands with limited liability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on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B Non-Voting Convertible Preferred Shares (the “</w:t>
      </w:r>
      <w:r>
        <w:rPr>
          <w:rFonts w:ascii="Times New Roman" w:hAnsi="Times New Roman"/>
          <w:b/>
          <w:i/>
          <w:color w:val="000000"/>
          <w:sz w:val="24"/>
        </w:rPr>
        <w:t>Certificate of Designation</w:t>
      </w:r>
      <w:r>
        <w:rPr>
          <w:rFonts w:ascii="Times New Roman" w:hAnsi="Times New Roman"/>
          <w:color w:val="000000"/>
          <w:sz w:val="20"/>
        </w:rPr>
        <w:t>”</w:t>
      </w:r>
      <w:r>
        <w:rPr>
          <w:rFonts w:ascii="Times New Roman" w:hAnsi="Times New Roman"/>
          <w:color w:val="000000"/>
          <w:sz w:val="24"/>
        </w:rPr>
        <w:t>) or the memorandum and articles of association of the Company, adopted by special resolution passed on 9 February 2026 and effective as of 16 July 2026 (as amended from time to time, the “</w:t>
      </w:r>
      <w:r>
        <w:rPr>
          <w:rFonts w:ascii="Times New Roman" w:hAnsi="Times New Roman"/>
          <w:b/>
          <w:i/>
          <w:color w:val="000000"/>
          <w:sz w:val="24"/>
        </w:rPr>
        <w:t>Articles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On the date hereof, the number of Ordinary Shares beneficially owned by the undersigned Holder (together with such Holder’s Attribution Parties), including the number of Ordinary Shares issuable upon conversion of the Series B Non-Voting Preferred Shares subject to this Notice of Conversion, but excluding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of the Certificate of Designation,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CONVERSION CALCULATIONS:</w:t>
      </w:r>
    </w:p>
    <w:p>
      <w:pPr>
        <w:pStyle w:val="TextBody"/>
        <w:bidi w:val="0"/>
        <w:jc w:val="left"/>
        <w:rPr/>
      </w:pPr>
      <w:r>
        <w:rPr/>
        <w:t> </w:t>
      </w:r>
    </w:p>
    <w:tbl>
      <w:tblPr>
        <w:tblW w:w="7816" w:type="dxa"/>
        <w:jc w:val="left"/>
        <w:tblInd w:w="0" w:type="dxa"/>
        <w:tblLayout w:type="fixed"/>
        <w:tblCellMar>
          <w:top w:w="28" w:type="dxa"/>
          <w:left w:w="28" w:type="dxa"/>
          <w:bottom w:w="28" w:type="dxa"/>
          <w:right w:w="28" w:type="dxa"/>
        </w:tblCellMar>
      </w:tblPr>
      <w:tblGrid>
        <w:gridCol w:w="7516"/>
        <w:gridCol w:w="109"/>
        <w:gridCol w:w="191"/>
      </w:tblGrid>
      <w:tr>
        <w:trPr/>
        <w:tc>
          <w:tcPr>
            <w:tcW w:w="7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to Effect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Series B Non-Voting Preferred Shares owned prior to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Series B Non-Voting Preferred Shares to be Converted: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Ordinary Shares to be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 for delivery of physical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For DWAC Delivery, please provide the following: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Broker No.:</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Account No.:</w:t>
      </w:r>
      <w:r>
        <w:rPr>
          <w:rFonts w:ascii="Times New Roman" w:hAnsi="Times New Roman"/>
          <w:color w:val="000000"/>
          <w:sz w:val="20"/>
          <w:u w:val="single"/>
        </w:rPr>
        <w:t xml:space="preserve"> </w:t>
      </w:r>
    </w:p>
    <w:p>
      <w:pPr>
        <w:pStyle w:val="TextBody"/>
        <w:bidi w:val="0"/>
        <w:jc w:val="left"/>
        <w:rPr>
          <w:rFonts w:ascii="Times New Roman" w:hAnsi="Times New Roman"/>
          <w:caps/>
          <w:color w:val="000000"/>
          <w:sz w:val="24"/>
        </w:rPr>
      </w:pPr>
      <w:r>
        <w:rPr>
          <w:rFonts w:ascii="Times New Roman" w:hAnsi="Times New Roman"/>
          <w:caps/>
          <w:color w:val="000000"/>
          <w:sz w:val="24"/>
        </w:rPr>
        <w:t>[HOLDER]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10" w:name="dmra-ex3_4.htm"/>
      <w:bookmarkStart w:id="11" w:name="ksdmraex3_4"/>
      <w:bookmarkEnd w:id="10"/>
      <w:bookmarkEnd w:id="11"/>
      <w:r>
        <w:rPr>
          <w:rFonts w:ascii="Times New Roman" w:hAnsi="Times New Roman"/>
          <w:b/>
          <w:color w:val="000000"/>
          <w:sz w:val="24"/>
        </w:rPr>
        <w:t>Exhibit 3.4</w:t>
      </w:r>
      <w:r>
        <w:br w:type="page"/>
      </w:r>
    </w:p>
    <w:p>
      <w:pPr>
        <w:pStyle w:val="TextBody"/>
        <w:bidi w:val="0"/>
        <w:spacing w:before="0" w:after="24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Damora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CERTIFICATE OF DESIGNATION OF PREFERENCES,</w:t>
        <w:br/>
        <w:t>RIGHTS AND LIMITATIONS</w:t>
        <w:br/>
        <w:t>OF</w:t>
        <w:br/>
        <w:t>SERIES C NON-VOTING CONVERTIBLE PREFERRED SHARES</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memorandum and articles of association of the Company, adopted by special resolution passed on 9 February 2026 and effective as of 16 July 2026 (as amended from time to time, the “</w:t>
      </w:r>
      <w:r>
        <w:rPr>
          <w:rFonts w:ascii="Times New Roman" w:hAnsi="Times New Roman"/>
          <w:b/>
          <w:i/>
          <w:color w:val="000000"/>
          <w:sz w:val="24"/>
        </w:rPr>
        <w:t>Articles</w:t>
      </w:r>
      <w:r>
        <w:rPr>
          <w:rFonts w:ascii="Times New Roman" w:hAnsi="Times New Roman"/>
          <w:color w:val="000000"/>
          <w:sz w:val="20"/>
        </w:rPr>
        <w:t>”</w:t>
      </w:r>
      <w:r>
        <w:rPr>
          <w:rFonts w:ascii="Times New Roman" w:hAnsi="Times New Roman"/>
          <w:color w:val="000000"/>
          <w:sz w:val="24"/>
        </w:rPr>
        <w:t>). Capitalised terms not otherwise defined herein shall have the meanings assigned thereto in the Articles.</w:t>
      </w:r>
    </w:p>
    <w:p>
      <w:pPr>
        <w:pStyle w:val="TextBody"/>
        <w:bidi w:val="0"/>
        <w:spacing w:before="0" w:after="240"/>
        <w:jc w:val="both"/>
        <w:rPr>
          <w:rFonts w:ascii="Times New Roman" w:hAnsi="Times New Roman"/>
          <w:sz w:val="20"/>
        </w:rPr>
      </w:pPr>
      <w:r>
        <w:rPr>
          <w:rFonts w:ascii="Times New Roman" w:hAnsi="Times New Roman"/>
          <w:b/>
          <w:color w:val="000000"/>
          <w:sz w:val="24"/>
        </w:rPr>
        <w:t>Damora Therapeutics, Inc.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 exempted company incorporated in the Cayman Islands with limited liability, DOES HEREBY CERTIFY:</w:t>
      </w:r>
    </w:p>
    <w:p>
      <w:pPr>
        <w:pStyle w:val="TextBody"/>
        <w:bidi w:val="0"/>
        <w:spacing w:before="0" w:after="240"/>
        <w:jc w:val="both"/>
        <w:rPr>
          <w:rFonts w:ascii="Times New Roman" w:hAnsi="Times New Roman"/>
          <w:sz w:val="20"/>
        </w:rPr>
      </w:pPr>
      <w:r>
        <w:rPr>
          <w:rFonts w:ascii="Times New Roman" w:hAnsi="Times New Roman"/>
          <w:color w:val="000000"/>
          <w:sz w:val="24"/>
        </w:rPr>
        <w:t>That, pursuant to the authority conferred by the Articles, at a duly convened meeting of the board of directors of the Company (the “</w:t>
      </w:r>
      <w:r>
        <w:rPr>
          <w:rFonts w:ascii="Times New Roman" w:hAnsi="Times New Roman"/>
          <w:b/>
          <w:i/>
          <w:color w:val="000000"/>
          <w:sz w:val="24"/>
        </w:rPr>
        <w:t>Board of Directors</w:t>
      </w:r>
      <w:r>
        <w:rPr>
          <w:rFonts w:ascii="Times New Roman" w:hAnsi="Times New Roman"/>
          <w:color w:val="000000"/>
          <w:sz w:val="20"/>
        </w:rPr>
        <w:t>”</w:t>
      </w:r>
      <w:r>
        <w:rPr>
          <w:rFonts w:ascii="Times New Roman" w:hAnsi="Times New Roman"/>
          <w:color w:val="000000"/>
          <w:sz w:val="24"/>
        </w:rPr>
        <w:t>) on 13 December 2025, the Board of Directors adopted the following resolutions, which such resolutions provides for the creation of a series of the Company’s Preferred Shares with a par value of US$0.00001 per share, which is designated as “Series C Non-Voting Convertible Preferred Shares,” with the preferences, rights and limitations set forth therein relating to dividends, conversion, redemption, dissolution and distribution of assets of the Company.</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Articles provide for a class of shares known as Preferred Shares, consisting of 10,000,000 shares with par value of US$0.00001 per share (the “</w:t>
      </w:r>
      <w:r>
        <w:rPr>
          <w:rFonts w:ascii="Times New Roman" w:hAnsi="Times New Roman"/>
          <w:b/>
          <w:i/>
          <w:color w:val="000000"/>
          <w:sz w:val="24"/>
        </w:rPr>
        <w:t>Preferred Shares</w:t>
      </w:r>
      <w:r>
        <w:rPr>
          <w:rFonts w:ascii="Times New Roman" w:hAnsi="Times New Roman"/>
          <w:color w:val="000000"/>
          <w:sz w:val="20"/>
        </w:rPr>
        <w:t>”</w:t>
      </w:r>
      <w:r>
        <w:rPr>
          <w:rFonts w:ascii="Times New Roman" w:hAnsi="Times New Roman"/>
          <w:color w:val="000000"/>
          <w:sz w:val="24"/>
        </w:rPr>
        <w:t>), issuable from time to time in one or more series.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RESOLVED</w:t>
      </w:r>
      <w:r>
        <w:rPr>
          <w:rFonts w:ascii="Times New Roman" w:hAnsi="Times New Roman"/>
          <w:color w:val="000000"/>
          <w:sz w:val="24"/>
        </w:rPr>
        <w:t>: that, pursuant to authority conferred upon the Board of Directors by the Articles, the Board of Directors (i) do hereby create and authorize and provide for the issuance and allotment of a series of Preferred Shares of the Company with a par value of US$0.00001 per share, designated as “Series C Non-Voting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TERMS OF SERIES C NON-VOTING CONVERTIBLE PREFERRED SHARES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For the purposes hereof, the following terms shall have the following meanings:</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jc w:val="both"/>
        <w:rPr/>
      </w:pPr>
      <w:r>
        <w:rPr>
          <w:color w:val="000000"/>
        </w:rPr>
        <w:t>“</w:t>
      </w:r>
      <w:r>
        <w:rPr>
          <w:rFonts w:ascii="Times New Roman" w:hAnsi="Times New Roman"/>
          <w:b/>
          <w:i/>
          <w:color w:val="000000"/>
          <w:sz w:val="24"/>
        </w:rPr>
        <w:t>Buy-In</w:t>
      </w:r>
      <w:r>
        <w:rPr>
          <w:rFonts w:ascii="Times New Roman" w:hAnsi="Times New Roman"/>
          <w:color w:val="000000"/>
          <w:sz w:val="2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Section 6.5.4</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Closing Sale Price</w:t>
      </w:r>
      <w:r>
        <w:rPr>
          <w:rFonts w:ascii="Times New Roman" w:hAnsi="Times New Roman"/>
          <w:color w:val="000000"/>
          <w:sz w:val="20"/>
        </w:rPr>
        <w:t xml:space="preserve">” </w:t>
      </w:r>
      <w:r>
        <w:rPr>
          <w:rFonts w:ascii="Times New Roman" w:hAnsi="Times New Roman"/>
          <w:color w:val="000000"/>
          <w:sz w:val="24"/>
        </w:rPr>
        <w:t>means, for any security as of any date, the last closing trade price for such security immediately prior to 4:00 p.m., New York City time, on the principal Trading Market where such security is listed or traded, as reported by Bloomberg, L.P. (or an equivalent, reliable reporting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w:t>
      </w:r>
    </w:p>
    <w:p>
      <w:pPr>
        <w:pStyle w:val="TextBody"/>
        <w:bidi w:val="0"/>
        <w:spacing w:before="0" w:after="240"/>
        <w:jc w:val="both"/>
        <w:rPr/>
      </w:pPr>
      <w:r>
        <w:rPr>
          <w:color w:val="000000"/>
        </w:rPr>
        <w:t>“</w:t>
      </w:r>
      <w:r>
        <w:rPr>
          <w:rFonts w:ascii="Times New Roman" w:hAnsi="Times New Roman"/>
          <w:b/>
          <w:i/>
          <w:color w:val="000000"/>
          <w:sz w:val="24"/>
        </w:rPr>
        <w:t>Commission</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4"/>
        </w:rPr>
        <w:t>Ordinary Shares</w:t>
      </w:r>
      <w:r>
        <w:rPr>
          <w:rFonts w:ascii="Times New Roman" w:hAnsi="Times New Roman"/>
          <w:color w:val="000000"/>
          <w:sz w:val="20"/>
        </w:rPr>
        <w:t xml:space="preserve">” </w:t>
      </w:r>
      <w:r>
        <w:rPr>
          <w:rFonts w:ascii="Times New Roman" w:hAnsi="Times New Roman"/>
          <w:color w:val="000000"/>
          <w:sz w:val="24"/>
        </w:rPr>
        <w:t>means the Company’s ordinary shares, par value $0.00001 per share, and shares of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b/>
          <w:i/>
          <w:color w:val="000000"/>
          <w:sz w:val="24"/>
        </w:rPr>
        <w:t>Conversion Shares</w:t>
      </w:r>
      <w:r>
        <w:rPr>
          <w:rFonts w:ascii="Times New Roman" w:hAnsi="Times New Roman"/>
          <w:color w:val="000000"/>
          <w:sz w:val="20"/>
        </w:rPr>
        <w:t xml:space="preserve">” </w:t>
      </w:r>
      <w:r>
        <w:rPr>
          <w:rFonts w:ascii="Times New Roman" w:hAnsi="Times New Roman"/>
          <w:color w:val="000000"/>
          <w:sz w:val="24"/>
        </w:rPr>
        <w:t>means, collectively, the Ordinary Shares issuable upon conversion of the Series C Non-Voting Preferred Shares in accordance with the terms hereof.</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4"/>
        </w:rPr>
        <w:t>Holder</w:t>
      </w:r>
      <w:r>
        <w:rPr>
          <w:rFonts w:ascii="Times New Roman" w:hAnsi="Times New Roman"/>
          <w:color w:val="000000"/>
          <w:sz w:val="20"/>
        </w:rPr>
        <w:t xml:space="preserve">” </w:t>
      </w:r>
      <w:r>
        <w:rPr>
          <w:rFonts w:ascii="Times New Roman" w:hAnsi="Times New Roman"/>
          <w:color w:val="000000"/>
          <w:sz w:val="24"/>
        </w:rPr>
        <w:t>means a holder of Series C Non-Voting Preferred Shares.</w:t>
      </w:r>
    </w:p>
    <w:p>
      <w:pPr>
        <w:pStyle w:val="TextBody"/>
        <w:bidi w:val="0"/>
        <w:spacing w:before="0" w:after="240"/>
        <w:jc w:val="both"/>
        <w:rPr/>
      </w:pPr>
      <w:r>
        <w:rPr>
          <w:color w:val="000000"/>
        </w:rPr>
        <w:t>“</w:t>
      </w:r>
      <w:r>
        <w:rPr>
          <w:rFonts w:ascii="Times New Roman" w:hAnsi="Times New Roman"/>
          <w:b/>
          <w:i/>
          <w:color w:val="000000"/>
          <w:sz w:val="24"/>
        </w:rPr>
        <w:t>Merger Agreement</w:t>
      </w:r>
      <w:r>
        <w:rPr>
          <w:rFonts w:ascii="Times New Roman" w:hAnsi="Times New Roman"/>
          <w:color w:val="000000"/>
          <w:sz w:val="20"/>
        </w:rPr>
        <w:t xml:space="preserve">” </w:t>
      </w:r>
      <w:r>
        <w:rPr>
          <w:rFonts w:ascii="Times New Roman" w:hAnsi="Times New Roman"/>
          <w:color w:val="000000"/>
          <w:sz w:val="24"/>
        </w:rPr>
        <w:t>means the Agreement and Plan of Merger, dated November 10, 2025, by and among the Company, Daylight Merger Sub I, Inc., a Delaware corporation and wholly owned subsidiary of the Company, Daylight Merger Sub II, LLC, a Delaware limited liability company and wholly owned subsidiary of the Company, and Damora Therapeutics, Inc., a Delaware corporation.</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b/>
          <w:i/>
          <w:color w:val="000000"/>
          <w:sz w:val="24"/>
        </w:rPr>
        <w:t>Purchase Agreement</w:t>
      </w:r>
      <w:r>
        <w:rPr>
          <w:rFonts w:ascii="Times New Roman" w:hAnsi="Times New Roman"/>
          <w:color w:val="000000"/>
          <w:sz w:val="20"/>
        </w:rPr>
        <w:t xml:space="preserve">” </w:t>
      </w:r>
      <w:r>
        <w:rPr>
          <w:rFonts w:ascii="Times New Roman" w:hAnsi="Times New Roman"/>
          <w:color w:val="000000"/>
          <w:sz w:val="24"/>
        </w:rPr>
        <w:t>means the Securities and Purchase Agreement, dated November 10, 2025, by and among the Company and each of the Persons (as defined therein) listed on Exhibit A attached thereto.</w:t>
      </w:r>
    </w:p>
    <w:p>
      <w:pPr>
        <w:pStyle w:val="TextBody"/>
        <w:bidi w:val="0"/>
        <w:spacing w:before="0" w:after="240"/>
        <w:jc w:val="both"/>
        <w:rPr/>
      </w:pPr>
      <w:r>
        <w:rPr>
          <w:color w:val="000000"/>
        </w:rPr>
        <w:t>“</w:t>
      </w:r>
      <w:r>
        <w:rPr>
          <w:rFonts w:ascii="Times New Roman" w:hAnsi="Times New Roman"/>
          <w:b/>
          <w:i/>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the principal Trading Market is open for business.</w:t>
      </w:r>
    </w:p>
    <w:p>
      <w:pPr>
        <w:pStyle w:val="TextBody"/>
        <w:bidi w:val="0"/>
        <w:spacing w:before="0" w:after="240"/>
        <w:jc w:val="both"/>
        <w:rPr/>
      </w:pPr>
      <w:r>
        <w:rPr>
          <w:color w:val="000000"/>
        </w:rPr>
        <w:t>“</w:t>
      </w:r>
      <w:r>
        <w:rPr>
          <w:rFonts w:ascii="Times New Roman" w:hAnsi="Times New Roman"/>
          <w:b/>
          <w:i/>
          <w:color w:val="000000"/>
          <w:sz w:val="24"/>
        </w:rPr>
        <w:t>Trading Market</w:t>
      </w:r>
      <w:r>
        <w:rPr>
          <w:rFonts w:ascii="Times New Roman" w:hAnsi="Times New Roman"/>
          <w:color w:val="000000"/>
          <w:sz w:val="20"/>
        </w:rPr>
        <w:t xml:space="preserve">” </w:t>
      </w:r>
      <w:r>
        <w:rPr>
          <w:rFonts w:ascii="Times New Roman" w:hAnsi="Times New Roman"/>
          <w:color w:val="000000"/>
          <w:sz w:val="24"/>
        </w:rPr>
        <w:t>means any of the following markets or exchanges on which the Ordinary Shares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4"/>
          <w:u w:val="single"/>
        </w:rPr>
        <w:t>Designation, Amount and Par Value</w:t>
      </w:r>
      <w:r>
        <w:rPr>
          <w:rFonts w:ascii="Times New Roman" w:hAnsi="Times New Roman"/>
          <w:color w:val="000000"/>
          <w:sz w:val="24"/>
        </w:rPr>
        <w:t>. The series of Preferred Shares shall be designated as the Company’s Series C Non-Voting Convertible Preferred Shares (the “</w:t>
      </w:r>
      <w:r>
        <w:rPr>
          <w:rFonts w:ascii="Times New Roman" w:hAnsi="Times New Roman"/>
          <w:b/>
          <w:i/>
          <w:color w:val="000000"/>
          <w:sz w:val="24"/>
        </w:rPr>
        <w:t>Series C Non-Voting Preferred Shares</w:t>
      </w:r>
      <w:r>
        <w:rPr>
          <w:color w:val="000000"/>
        </w:rPr>
        <w:t>”</w:t>
      </w:r>
      <w:r>
        <w:rPr>
          <w:rFonts w:ascii="Times New Roman" w:hAnsi="Times New Roman"/>
          <w:color w:val="000000"/>
          <w:sz w:val="24"/>
        </w:rPr>
        <w:t>) and the number of shares so designated shall be 43,882. Each share of Series C Non-Voting Preferred Shares shall have a par value of $0.00001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4"/>
          <w:u w:val="single"/>
        </w:rPr>
        <w:t>Dividends</w:t>
      </w:r>
      <w:r>
        <w:rPr>
          <w:rFonts w:ascii="Times New Roman" w:hAnsi="Times New Roman"/>
          <w:color w:val="000000"/>
          <w:sz w:val="24"/>
        </w:rPr>
        <w:t xml:space="preserve">. Holders shall be entitled to receive, and the Company shall pay, dividends on the Series C Non-Voting Preferred Shares (on an as-converted-to-Ordinary Shares basis,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regard to the Beneficial Ownership Limitation (as defined below)) equal to and in the same form, and in the same manner, as dividends (other than dividends on Ordinary Shares payable in the form of Ordinary Shares) actually paid on the Ordinary Shares when, as and if such dividends (other than dividends payable in the form of Ordinary Shares) are paid on Ordinary Shares. Other than as set forth in the previous sentence, no other dividends shall be paid on the Series C Non-Voting Preferred Shares, and the Company shall pay no dividends (other than dividends payable in the form of Ordinary Shares) on Ordinary Shares unless it simultaneously complies with the previous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4"/>
          <w:u w:val="single"/>
        </w:rPr>
        <w:t>Voting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4"/>
        </w:rPr>
        <w:t>Except as otherwise provided herein or as otherwise required by the Articles, the Series C Non-Voting Preferred Shares shall have no voting rights. However, as long as any Series C Non-Voting Preferred Shares are issued and outstanding, the Company shall not, without the affirmative vote of the holders of a simple majority of the then issued and outstanding Series C Non-Voting Preferred Shares: (i) alter or change adversely the powers, preferences or rights given to the Series C Non-Voting Preferred Shares or alter or amend this Certificate of Designation of Preferences, Rights and Limitations of Series C Non-Voting Convertible Preferred Shares (the “</w:t>
      </w:r>
      <w:r>
        <w:rPr>
          <w:rFonts w:ascii="Times New Roman" w:hAnsi="Times New Roman"/>
          <w:b/>
          <w:i/>
          <w:color w:val="000000"/>
          <w:sz w:val="24"/>
        </w:rPr>
        <w:t>Certificate of Designation</w:t>
      </w:r>
      <w:r>
        <w:rPr>
          <w:color w:val="000000"/>
        </w:rPr>
        <w:t>”</w:t>
      </w:r>
      <w:r>
        <w:rPr>
          <w:rFonts w:ascii="Times New Roman" w:hAnsi="Times New Roman"/>
          <w:color w:val="000000"/>
          <w:sz w:val="24"/>
        </w:rPr>
        <w:t xml:space="preserve">), amend or repeal any provision of, or add any provision to, the Articles or file any articles of amendment, certificate of designations, preferences, limitations and relative rights of any series of Preferred Shares, if such action would adversely alter or change the preferences, rights, privileges or powers of, or restrictions provided for the benefit of the Series C Non-Voting Preferred Shares, regardless of whether any of the foregoing actions shall be by means of amendment to the Articles or by merger, consolidation, recapitalization, reclassification, conversion or otherwise, (ii) issue further Series C Non-Voting Preferred Shares or increase or decrease (other than by conversion) the number of authorized Series C Non-Voting Preferred Shares, or (iii) enter into any agreement with respect to any of the foregoing. Holders of Ordinary Shares acquired upon the conversion of Series C Non-Voting Preferred Shares shall be entitled to the same voting rights as each other holder of Ordinary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4"/>
        </w:rPr>
        <w:t xml:space="preserve">Any vote required or permitted under </w:t>
      </w:r>
      <w:r>
        <w:rPr>
          <w:rFonts w:ascii="Times New Roman" w:hAnsi="Times New Roman"/>
          <w:color w:val="000000"/>
          <w:sz w:val="24"/>
          <w:u w:val="single"/>
        </w:rPr>
        <w:t>Section ‎4.1</w:t>
      </w:r>
      <w:r>
        <w:rPr>
          <w:color w:val="000000"/>
        </w:rPr>
        <w:t xml:space="preserve"> </w:t>
      </w:r>
      <w:r>
        <w:rPr>
          <w:rFonts w:ascii="Times New Roman" w:hAnsi="Times New Roman"/>
          <w:color w:val="000000"/>
          <w:sz w:val="24"/>
        </w:rPr>
        <w:t>may be taken at a meeting of the Holders, or through the execution of an action by written consent or resolution in lieu of such meeting, provided that the consent is executed by Holders representing a simple majority of the then issued and outstanding Series C Non-Voting Preferred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4"/>
          <w:u w:val="single"/>
        </w:rPr>
        <w:t>Rank; Liquidation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4"/>
        </w:rPr>
        <w:t xml:space="preserve">The Series C Non-Voting Preferred Shares shall rank </w:t>
      </w:r>
      <w:r>
        <w:rPr>
          <w:rFonts w:ascii="Times New Roman" w:hAnsi="Times New Roman"/>
          <w:i/>
          <w:color w:val="000000"/>
          <w:sz w:val="24"/>
        </w:rPr>
        <w:t>pari passu</w:t>
      </w:r>
      <w:r>
        <w:rPr>
          <w:color w:val="000000"/>
        </w:rPr>
        <w:t xml:space="preserve"> </w:t>
      </w:r>
      <w:r>
        <w:rPr>
          <w:rFonts w:ascii="Times New Roman" w:hAnsi="Times New Roman"/>
          <w:color w:val="000000"/>
          <w:sz w:val="24"/>
        </w:rPr>
        <w:t>with the Ordinary Shares, the Company’s Series A Non-Voting Preferred Shares and the Company’s Series B Non-Voting Preferred Shares as to distributions of assets upon liquidation, dissolution or winding up of the Company, whether voluntarily or involuntarily.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4"/>
        </w:rPr>
        <w:t>Upon any liquidation, dissolution or winding-up of the Company, whether voluntary or involuntary (a “</w:t>
      </w:r>
      <w:r>
        <w:rPr>
          <w:rFonts w:ascii="Times New Roman" w:hAnsi="Times New Roman"/>
          <w:b/>
          <w:i/>
          <w:color w:val="000000"/>
          <w:sz w:val="24"/>
        </w:rPr>
        <w:t>Liquidation</w:t>
      </w:r>
      <w:r>
        <w:rPr>
          <w:color w:val="000000"/>
        </w:rPr>
        <w:t>”</w:t>
      </w:r>
      <w:r>
        <w:rPr>
          <w:rFonts w:ascii="Times New Roman" w:hAnsi="Times New Roman"/>
          <w:color w:val="000000"/>
          <w:sz w:val="24"/>
        </w:rPr>
        <w:t xml:space="preserve">), each Holder shall be entitled to receive out of the assets or distributable reserves of the Company the same amount that a holder of Ordinary Shares would receive if the Series C Non-Voting Preferred Shares were fully converted (disregarding for such purpose any Beneficial Ownership Limitations) to Ordinary Shares which amounts shall be paid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with all holders of Ordinary Shares, plus an additional amount equal to any dividends declared on but unpaid to such shares. If, upon any such Liquidation, the assets of the Company shall be insufficient to pay the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Holders of the Series C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4"/>
          <w:u w:val="single"/>
        </w:rPr>
        <w:t>Conversion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4"/>
          <w:u w:val="single"/>
        </w:rPr>
        <w:t>Conversion at Option of Holder</w:t>
      </w:r>
      <w:r>
        <w:rPr>
          <w:rFonts w:ascii="Times New Roman" w:hAnsi="Times New Roman"/>
          <w:color w:val="000000"/>
          <w:sz w:val="24"/>
        </w:rPr>
        <w:t xml:space="preserve">. Subject to </w:t>
      </w:r>
      <w:r>
        <w:rPr>
          <w:rFonts w:ascii="Times New Roman" w:hAnsi="Times New Roman"/>
          <w:color w:val="000000"/>
          <w:sz w:val="24"/>
          <w:u w:val="single"/>
        </w:rPr>
        <w:t xml:space="preserve">Section ‎6.4 </w:t>
      </w:r>
      <w:r>
        <w:rPr>
          <w:rFonts w:ascii="Times New Roman" w:hAnsi="Times New Roman"/>
          <w:color w:val="000000"/>
          <w:sz w:val="24"/>
        </w:rPr>
        <w:t xml:space="preserve">and </w:t>
      </w:r>
      <w:r>
        <w:rPr>
          <w:rFonts w:ascii="Times New Roman" w:hAnsi="Times New Roman"/>
          <w:color w:val="000000"/>
          <w:sz w:val="24"/>
          <w:u w:val="single"/>
        </w:rPr>
        <w:t>Section 6.5.3</w:t>
      </w:r>
      <w:r>
        <w:rPr>
          <w:rFonts w:ascii="Times New Roman" w:hAnsi="Times New Roman"/>
          <w:color w:val="000000"/>
          <w:sz w:val="24"/>
        </w:rPr>
        <w:t>, each Series C Non-Voting Preferred Share then issued and outstanding shall be convertible, at any time, at the option of the Holder thereof, into a number of Ordinary Shares equal to the Conversion Ratio, subject to the Beneficial Ownership Limitation (as defined below) (each, an “</w:t>
      </w:r>
      <w:r>
        <w:rPr>
          <w:rFonts w:ascii="Times New Roman" w:hAnsi="Times New Roman"/>
          <w:b/>
          <w:i/>
          <w:color w:val="000000"/>
          <w:sz w:val="24"/>
        </w:rPr>
        <w:t>Optional Conversion</w:t>
      </w:r>
      <w:r>
        <w:rPr>
          <w:color w:val="000000"/>
        </w:rPr>
        <w:t>”</w:t>
      </w:r>
      <w:r>
        <w:rPr>
          <w:rFonts w:ascii="Times New Roman" w:hAnsi="Times New Roman"/>
          <w:color w:val="000000"/>
          <w:sz w:val="24"/>
        </w:rPr>
        <w:t xml:space="preserve">). Holders shall effect conversions by providing the Company with the form of conversion notice attached hereto as </w:t>
      </w:r>
      <w:r>
        <w:rPr>
          <w:rFonts w:ascii="Times New Roman" w:hAnsi="Times New Roman"/>
          <w:b/>
          <w:color w:val="000000"/>
          <w:sz w:val="24"/>
          <w:u w:val="single"/>
        </w:rPr>
        <w:t>Annex A</w:t>
      </w:r>
      <w:r>
        <w:rPr>
          <w:color w:val="000000"/>
        </w:rPr>
        <w:t xml:space="preserve"> </w:t>
      </w:r>
      <w:r>
        <w:rPr>
          <w:rFonts w:ascii="Times New Roman" w:hAnsi="Times New Roman"/>
          <w:color w:val="000000"/>
          <w:sz w:val="24"/>
        </w:rPr>
        <w:t>(a “</w:t>
      </w:r>
      <w:r>
        <w:rPr>
          <w:rFonts w:ascii="Times New Roman" w:hAnsi="Times New Roman"/>
          <w:b/>
          <w:i/>
          <w:color w:val="000000"/>
          <w:sz w:val="24"/>
        </w:rPr>
        <w:t>Notice of Conversion</w:t>
      </w:r>
      <w:r>
        <w:rPr>
          <w:color w:val="000000"/>
        </w:rPr>
        <w:t>”</w:t>
      </w:r>
      <w:r>
        <w:rPr>
          <w:rFonts w:ascii="Times New Roman" w:hAnsi="Times New Roman"/>
          <w:color w:val="000000"/>
          <w:sz w:val="24"/>
        </w:rPr>
        <w:t>), duly completed and executed. Provided the Company’s transfer agent is participating in the Depository Trust Company (“</w:t>
      </w:r>
      <w:r>
        <w:rPr>
          <w:rFonts w:ascii="Times New Roman" w:hAnsi="Times New Roman"/>
          <w:b/>
          <w:i/>
          <w:color w:val="000000"/>
          <w:sz w:val="24"/>
        </w:rPr>
        <w:t>DTC</w:t>
      </w:r>
      <w:r>
        <w:rPr>
          <w:color w:val="000000"/>
        </w:rPr>
        <w:t>”</w:t>
      </w:r>
      <w:r>
        <w:rPr>
          <w:rFonts w:ascii="Times New Roman" w:hAnsi="Times New Roman"/>
          <w:color w:val="000000"/>
          <w:sz w:val="24"/>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color w:val="000000"/>
          <w:sz w:val="24"/>
        </w:rPr>
        <w:t>DWAC Delivery</w:t>
      </w:r>
      <w:r>
        <w:rPr>
          <w:color w:val="000000"/>
        </w:rPr>
        <w:t>”</w:t>
      </w:r>
      <w:r>
        <w:rPr>
          <w:rFonts w:ascii="Times New Roman" w:hAnsi="Times New Roman"/>
          <w:color w:val="000000"/>
          <w:sz w:val="24"/>
        </w:rPr>
        <w:t>). The date on which an Optional Conversion shall be deemed effective (the “</w:t>
      </w:r>
      <w:r>
        <w:rPr>
          <w:rFonts w:ascii="Times New Roman" w:hAnsi="Times New Roman"/>
          <w:b/>
          <w:i/>
          <w:color w:val="000000"/>
          <w:sz w:val="24"/>
        </w:rPr>
        <w:t>Conversion Date</w:t>
      </w:r>
      <w:r>
        <w:rPr>
          <w:color w:val="000000"/>
        </w:rPr>
        <w:t>”</w:t>
      </w:r>
      <w:r>
        <w:rPr>
          <w:rFonts w:ascii="Times New Roman" w:hAnsi="Times New Roman"/>
          <w:color w:val="000000"/>
          <w:sz w:val="24"/>
        </w:rPr>
        <w:t>) shall be the Trading Day that the Notice of Conversion, completed and executed, is sent via email to, and received during regular business hours by, the Company; provided, that the original certificate(s) (if any) representing such Series C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C Non-Voting Preferred Shares being converted, duly endorsed, and the accompanying Notice of Conversion, are received by the Company. The calculations set forth in the Notice of Conversion shall control in the absence of manifest or mathematical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4"/>
          <w:u w:val="single"/>
        </w:rPr>
        <w:t>Conversion Ratio</w:t>
      </w:r>
      <w:r>
        <w:rPr>
          <w:rFonts w:ascii="Times New Roman" w:hAnsi="Times New Roman"/>
          <w:color w:val="000000"/>
          <w:sz w:val="24"/>
        </w:rPr>
        <w:t>. The “</w:t>
      </w:r>
      <w:r>
        <w:rPr>
          <w:rFonts w:ascii="Times New Roman" w:hAnsi="Times New Roman"/>
          <w:b/>
          <w:i/>
          <w:color w:val="000000"/>
          <w:sz w:val="24"/>
        </w:rPr>
        <w:t>Conversion Ratio</w:t>
      </w:r>
      <w:r>
        <w:rPr>
          <w:color w:val="000000"/>
        </w:rPr>
        <w:t xml:space="preserve">” </w:t>
      </w:r>
      <w:r>
        <w:rPr>
          <w:rFonts w:ascii="Times New Roman" w:hAnsi="Times New Roman"/>
          <w:color w:val="000000"/>
          <w:sz w:val="24"/>
        </w:rPr>
        <w:t>for each Series C Non-Voting Preferred Share shall be 1,000 Ordinary Shares issuable upon the conversion (the “</w:t>
      </w:r>
      <w:r>
        <w:rPr>
          <w:rFonts w:ascii="Times New Roman" w:hAnsi="Times New Roman"/>
          <w:b/>
          <w:i/>
          <w:color w:val="000000"/>
          <w:sz w:val="24"/>
        </w:rPr>
        <w:t>Conversion</w:t>
      </w:r>
      <w:r>
        <w:rPr>
          <w:color w:val="000000"/>
        </w:rPr>
        <w:t>”</w:t>
      </w:r>
      <w:r>
        <w:rPr>
          <w:rFonts w:ascii="Times New Roman" w:hAnsi="Times New Roman"/>
          <w:color w:val="000000"/>
          <w:sz w:val="24"/>
        </w:rPr>
        <w:t>) of each Series C Non-Voting Preferred Share (corresponding to a ratio of 1,000:1), subject to adjustment as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color w:val="000000"/>
          <w:sz w:val="24"/>
          <w:u w:val="single"/>
        </w:rPr>
        <w:t>Beneficial Ownership Limitation</w:t>
      </w:r>
      <w:r>
        <w:rPr>
          <w:rFonts w:ascii="Times New Roman" w:hAnsi="Times New Roman"/>
          <w:color w:val="000000"/>
          <w:sz w:val="24"/>
        </w:rPr>
        <w:t xml:space="preserve">. Notwithstanding anything herein to the contrary, the Company shall not effect any conversion of any Series C Non-Voting Preferred Share, and a Holder shall not have the right to convert any portion of the Series C Non-Voting Preferred Share pursuant to </w:t>
      </w:r>
      <w:r>
        <w:rPr>
          <w:rFonts w:ascii="Times New Roman" w:hAnsi="Times New Roman"/>
          <w:color w:val="000000"/>
          <w:sz w:val="24"/>
          <w:u w:val="single"/>
        </w:rPr>
        <w:t>Section 6.2</w:t>
      </w:r>
      <w:r>
        <w:rPr>
          <w:rFonts w:ascii="Times New Roman" w:hAnsi="Times New Roman"/>
          <w:color w:val="000000"/>
          <w:sz w:val="24"/>
        </w:rPr>
        <w:t>, to the extent that, after giving effect to such attempted conversion set forth on an applicable Notice of Conversion (as defined in the Certificate of Designation) with respect to the Series C Non-Voting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color w:val="000000"/>
          <w:sz w:val="24"/>
        </w:rPr>
        <w:t>Attribution Parties</w:t>
      </w:r>
      <w:r>
        <w:rPr>
          <w:color w:val="000000"/>
        </w:rPr>
        <w:t>”</w:t>
      </w:r>
      <w:r>
        <w:rPr>
          <w:rFonts w:ascii="Times New Roman" w:hAnsi="Times New Roman"/>
          <w:color w:val="000000"/>
          <w:sz w:val="24"/>
        </w:rPr>
        <w:t xml:space="preserve">)) would beneficially own a number of Ordinary Shares in excess of the Beneficial Ownership Limitation. For purposes of the foregoing sentence, the aggregate number of Ordinary Shares beneficially owned by such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Holder and its Attribution Parties shall include the number of Ordinary Shares issuable upon conversion of the Series C Non-Voting Preferred Shares subject to the Notice of Conversion with respect to which such determination is being made, but shall exclude the number of Ordinary Shares which are issuable upon (A) conversion of the remaining, unconverted Series C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color w:val="000000"/>
          <w:sz w:val="24"/>
          <w:u w:val="single"/>
        </w:rPr>
        <w:t>Section 6.4</w:t>
      </w:r>
      <w:r>
        <w:rPr>
          <w:rFonts w:ascii="Times New Roman" w:hAnsi="Times New Roman"/>
          <w:color w:val="000000"/>
          <w:sz w:val="24"/>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4"/>
          <w:u w:val="single"/>
        </w:rPr>
        <w:t>Section 6.4</w:t>
      </w:r>
      <w:r>
        <w:rPr>
          <w:rFonts w:ascii="Times New Roman" w:hAnsi="Times New Roman"/>
          <w:color w:val="000000"/>
          <w:sz w:val="24"/>
        </w:rPr>
        <w:t>, in determining the number of issued and outstanding Ordinary Shares, a Holder may rely on the number of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then outstanding. Upon the written request of a Holder (which may be by email), the Company shall, within two (2) Trading Days thereof, confirm in writing to such Holder (which may be via email) the number of Ordinary Shares then issued and outstanding. In any case, the number of issued and outstanding Ordinary Shares shall be determined after giving effect to any actual conversion or exercise of securities of the Company, including of Series C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color w:val="000000"/>
          <w:sz w:val="24"/>
        </w:rPr>
        <w:t>Beneficial Ownership Limitation</w:t>
      </w:r>
      <w:r>
        <w:rPr>
          <w:color w:val="000000"/>
        </w:rPr>
        <w:t xml:space="preserve">” </w:t>
      </w:r>
      <w:r>
        <w:rPr>
          <w:rFonts w:ascii="Times New Roman" w:hAnsi="Times New Roman"/>
          <w:color w:val="000000"/>
          <w:sz w:val="24"/>
        </w:rPr>
        <w:t xml:space="preserve">shall initially be 19.99% of the number of Ordinary Shares issued and outstanding or deemed to be issued and outstanding as of the applicable measurement date. The Company shall be entitled to rely on representations made to it by the Holder in any Notice of Conversion regarding its Beneficial Ownership Limitation. Notwithstanding the foregoing, by written notice to the Company (email being sufficient), the Holder may reset the Beneficial Ownership Limitation percentage to a higher percentage, not to exceed 19.99%, which increase will not be effective until the sixty-first (61st) day after such written notice is delivered to the Company. Upon such change by a Holder of the Beneficial Ownership Limitation pursuant to clause (i), not to exceed 19.99%, the Beneficial Ownership Limitation may not be further amended by such Holder without first providing the minimum notice required by this </w:t>
      </w:r>
      <w:r>
        <w:rPr>
          <w:rFonts w:ascii="Times New Roman" w:hAnsi="Times New Roman"/>
          <w:color w:val="000000"/>
          <w:sz w:val="24"/>
          <w:u w:val="single"/>
        </w:rPr>
        <w:t>Section 6.4</w:t>
      </w:r>
      <w:r>
        <w:rPr>
          <w:rFonts w:ascii="Times New Roman" w:hAnsi="Times New Roman"/>
          <w:color w:val="000000"/>
          <w:sz w:val="24"/>
        </w:rPr>
        <w:t xml:space="preserve">. Notwithstanding the foregoing, with respect to any Holder whose Beneficial Ownership Limitation is in excess of 15.00% at any time that the beneficial ownership of Ordinary Shares of a Holder (together with any of such Holder’s Attribution Parties) is equal to or less than 9.00% of the number of Ordinary Shares issued and outstanding as of any given date, then such Holder’s Beneficial Ownership Limitation shall automatically be set to 9.99%. The provisions of this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shall be construed, corrected and implemented in a manner so as to effectuate the intended Beneficial Ownership Limitation herein contained and the Ordinary Shares underlying the Series C Non-Voting Preferred Shares in excess of the Beneficial Ownership Limitation shall not be deemed to be beneficially owned by the Holder for any purpose including for purposes of Section 13(d) or Rule 16a-1(a)(1) of the Exchange Act.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color w:val="000000"/>
          <w:sz w:val="24"/>
          <w:u w:val="single"/>
        </w:rPr>
        <w:t>Mechanics of Conversion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6.5.1</w:t>
      </w:r>
    </w:p>
    <w:p>
      <w:pPr>
        <w:pStyle w:val="TextBody"/>
        <w:bidi w:val="0"/>
        <w:spacing w:before="0" w:after="240"/>
        <w:jc w:val="both"/>
        <w:rPr/>
      </w:pPr>
      <w:r>
        <w:rPr>
          <w:rFonts w:ascii="Times New Roman" w:hAnsi="Times New Roman"/>
          <w:color w:val="000000"/>
          <w:sz w:val="24"/>
          <w:u w:val="single"/>
        </w:rPr>
        <w:t>Delivery of Certificate or Electronic Issuance</w:t>
      </w:r>
      <w:r>
        <w:rPr>
          <w:rFonts w:ascii="Times New Roman" w:hAnsi="Times New Roman"/>
          <w:color w:val="000000"/>
          <w:sz w:val="24"/>
        </w:rPr>
        <w:t xml:space="preserve">. Upon Conversion not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later than two (2) Trading Days after the applicable Conversion Date, or if the Holder requests the issuance of physical certificate(s), two (2) Trading Days after receipt by the Company of the original certificate(s) representing such Series C Non-Voting Preferred Shares being converted, duly endorsed, and the accompanying Notice of Conversion (the “</w:t>
      </w:r>
      <w:r>
        <w:rPr>
          <w:rFonts w:ascii="Times New Roman" w:hAnsi="Times New Roman"/>
          <w:b/>
          <w:i/>
          <w:color w:val="000000"/>
          <w:sz w:val="24"/>
        </w:rPr>
        <w:t>Share Delivery Date</w:t>
      </w:r>
      <w:r>
        <w:rPr>
          <w:color w:val="000000"/>
        </w:rPr>
        <w:t>”</w:t>
      </w:r>
      <w:r>
        <w:rPr>
          <w:rFonts w:ascii="Times New Roman" w:hAnsi="Times New Roman"/>
          <w:color w:val="000000"/>
          <w:sz w:val="24"/>
        </w:rPr>
        <w:t>), the Company shall either: (a) deliver, or cause to be delivered, to the converting Holder a physical certificate or certificates representing the number of Conversion Shares being acquired upon the conversion of Series C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C Non-Voting Preferred Share certificate delivered to the Company and such Holder shall promptly return to the Company any Ordinary Share certificates or otherwise direct the return of any Ordinary Shares delivered to the Holder through the DWAC system, representing the Series C Non-Voting Preferred Shares unsuccessfully tendered for conversion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6.5.2</w:t>
      </w:r>
    </w:p>
    <w:p>
      <w:pPr>
        <w:pStyle w:val="TextBody"/>
        <w:bidi w:val="0"/>
        <w:spacing w:before="0" w:after="240"/>
        <w:jc w:val="both"/>
        <w:rPr/>
      </w:pPr>
      <w:r>
        <w:rPr>
          <w:rFonts w:ascii="Times New Roman" w:hAnsi="Times New Roman"/>
          <w:color w:val="000000"/>
          <w:sz w:val="24"/>
          <w:u w:val="single"/>
        </w:rPr>
        <w:t>Obligation Absolute</w:t>
      </w:r>
      <w:r>
        <w:rPr>
          <w:rFonts w:ascii="Times New Roman" w:hAnsi="Times New Roman"/>
          <w:color w:val="000000"/>
          <w:sz w:val="24"/>
        </w:rPr>
        <w:t xml:space="preserve">.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‎6.5.1</w:t>
      </w:r>
      <w:r>
        <w:rPr>
          <w:rFonts w:ascii="Times New Roman" w:hAnsi="Times New Roman"/>
          <w:color w:val="000000"/>
          <w:sz w:val="24"/>
        </w:rPr>
        <w:t xml:space="preserve">, the Company’s obligation to issue and deliver the Conversion Shares upon conversion of Series C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‎6.5.1</w:t>
      </w:r>
      <w:r>
        <w:rPr>
          <w:rFonts w:ascii="Times New Roman" w:hAnsi="Times New Roman"/>
          <w:color w:val="000000"/>
          <w:sz w:val="24"/>
        </w:rPr>
        <w:t xml:space="preserve">, in the event a Holder shall elect to convert any or all of its Series C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C Non-Voting Preferred Shares of such Holder shall have been sought and obtained by the Company, and the Company posts a surety bond for the benefit of such Holder in the amount of 150% of the value of the Conversion Shares into which would be converted Series C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 xml:space="preserve">and subject to Holder’s right to rescind a Notice of Conversion pursuant to </w:t>
      </w:r>
      <w:r>
        <w:rPr>
          <w:rFonts w:ascii="Times New Roman" w:hAnsi="Times New Roman"/>
          <w:color w:val="000000"/>
          <w:sz w:val="24"/>
          <w:u w:val="single"/>
        </w:rPr>
        <w:t>Section ‎6.5.1</w:t>
      </w:r>
      <w:r>
        <w:rPr>
          <w:rFonts w:ascii="Times New Roman" w:hAnsi="Times New Roman"/>
          <w:color w:val="000000"/>
          <w:sz w:val="24"/>
        </w:rPr>
        <w:t xml:space="preserve">, issue Conversion Shares upon a properly noticed conversion.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6.5.4</w:t>
      </w:r>
    </w:p>
    <w:p>
      <w:pPr>
        <w:pStyle w:val="TextBody"/>
        <w:bidi w:val="0"/>
        <w:spacing w:before="0" w:after="240"/>
        <w:jc w:val="both"/>
        <w:rPr/>
      </w:pPr>
      <w:r>
        <w:rPr>
          <w:rFonts w:ascii="Times New Roman" w:hAnsi="Times New Roman"/>
          <w:color w:val="000000"/>
          <w:sz w:val="24"/>
          <w:u w:val="single"/>
        </w:rPr>
        <w:t>Buy-In on Failure to Timely Deliver Certificates</w:t>
      </w:r>
      <w:r>
        <w:rPr>
          <w:rFonts w:ascii="Times New Roman" w:hAnsi="Times New Roman"/>
          <w:color w:val="000000"/>
          <w:sz w:val="24"/>
        </w:rPr>
        <w:t xml:space="preserve">. If the Company fails to deliver to a Holder the applicable certificate or certificates or to effect a DWAC Delivery, as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applicable, by the Share Delivery Date pursuant to </w:t>
      </w:r>
      <w:r>
        <w:rPr>
          <w:rFonts w:ascii="Times New Roman" w:hAnsi="Times New Roman"/>
          <w:color w:val="000000"/>
          <w:sz w:val="24"/>
          <w:u w:val="single"/>
        </w:rPr>
        <w:t>Section ‎6.5.1</w:t>
      </w:r>
      <w:r>
        <w:rPr>
          <w:color w:val="000000"/>
        </w:rPr>
        <w:t xml:space="preserve"> </w:t>
      </w:r>
      <w:r>
        <w:rPr>
          <w:rFonts w:ascii="Times New Roman" w:hAnsi="Times New Roman"/>
          <w:color w:val="000000"/>
          <w:sz w:val="24"/>
        </w:rPr>
        <w:t>(other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color w:val="000000"/>
          <w:sz w:val="24"/>
        </w:rPr>
        <w:t>Buy-In</w:t>
      </w:r>
      <w:r>
        <w:rPr>
          <w:color w:val="000000"/>
        </w:rPr>
        <w:t>”</w:t>
      </w:r>
      <w:r>
        <w:rPr>
          <w:rFonts w:ascii="Times New Roman" w:hAnsi="Times New Roman"/>
          <w:color w:val="000000"/>
          <w:sz w:val="24"/>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C Non-Voting Preferred Shares equal to the number of Series C Non-Voting Preferred Shares submitted for conversion or deliver to such Holder the number of Ordinary Shares that would have been issued if the Company had timely complied with its delivery requirements under </w:t>
      </w:r>
      <w:r>
        <w:rPr>
          <w:rFonts w:ascii="Times New Roman" w:hAnsi="Times New Roman"/>
          <w:color w:val="000000"/>
          <w:sz w:val="24"/>
          <w:u w:val="single"/>
        </w:rPr>
        <w:t>Section ‎6.5.1</w:t>
      </w:r>
      <w:r>
        <w:rPr>
          <w:rFonts w:ascii="Times New Roman" w:hAnsi="Times New Roman"/>
          <w:color w:val="000000"/>
          <w:sz w:val="24"/>
        </w:rPr>
        <w:t xml:space="preserve">. For example, if a Holder purchases Ordinary Shares having a total purchase price of $11,000 to cover a Buy-In with respect to an attempted conversion of Series C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the Series C Non-Voting Preferred Shares as required pursuant to the terms hereof or the cash settlement remedy set forth in </w:t>
      </w:r>
      <w:r>
        <w:rPr>
          <w:rFonts w:ascii="Times New Roman" w:hAnsi="Times New Roman"/>
          <w:color w:val="000000"/>
          <w:sz w:val="24"/>
          <w:u w:val="single"/>
        </w:rPr>
        <w:t>Section 6.5.3</w:t>
      </w:r>
      <w:r>
        <w:rPr>
          <w:rFonts w:ascii="Times New Roman" w:hAnsi="Times New Roman"/>
          <w:color w:val="000000"/>
          <w:sz w:val="24"/>
        </w:rPr>
        <w:t xml:space="preserve">; provided, however, that the Holder shall not be entitled to both (i) require the reissuance of the Series C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color w:val="000000"/>
          <w:sz w:val="24"/>
          <w:u w:val="single"/>
        </w:rPr>
        <w:t>Section ‎6.5.1</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6.5.5</w:t>
      </w:r>
    </w:p>
    <w:p>
      <w:pPr>
        <w:pStyle w:val="TextBody"/>
        <w:bidi w:val="0"/>
        <w:spacing w:before="0" w:after="240"/>
        <w:jc w:val="both"/>
        <w:rPr/>
      </w:pPr>
      <w:r>
        <w:rPr>
          <w:rFonts w:ascii="Times New Roman" w:hAnsi="Times New Roman"/>
          <w:color w:val="000000"/>
          <w:sz w:val="24"/>
          <w:u w:val="single"/>
        </w:rPr>
        <w:t>Reservation of Shares Issuable Upon Conversion</w:t>
      </w:r>
      <w:r>
        <w:rPr>
          <w:rFonts w:ascii="Times New Roman" w:hAnsi="Times New Roman"/>
          <w:color w:val="000000"/>
          <w:sz w:val="24"/>
        </w:rPr>
        <w:t xml:space="preserve">. The Company covenants that at all times it will reserve and keep available out of its authorized and unissued Ordinary Shares for the sole purpose of issuance upon conversion of the Series C Non-Voting Preferred Shares, free from preemptive rights or any other actual contingent purchase rights of Persons other than the Holders of the Series C Non-Voting Preferred Shares, not less than such aggregate number of Ordinary Shares as shall be issuable (taking into account the adjustments of </w:t>
      </w:r>
      <w:r>
        <w:rPr>
          <w:rFonts w:ascii="Times New Roman" w:hAnsi="Times New Roman"/>
          <w:color w:val="000000"/>
          <w:sz w:val="24"/>
          <w:u w:val="single"/>
        </w:rPr>
        <w:t>Section ‎7</w:t>
      </w:r>
      <w:r>
        <w:rPr>
          <w:rFonts w:ascii="Times New Roman" w:hAnsi="Times New Roman"/>
          <w:color w:val="000000"/>
          <w:sz w:val="24"/>
        </w:rPr>
        <w:t>) upon the conversion of all issued and outstanding Series C Non-Voting Preferred Shares. The Company covenants that all Ordinary Shares that shall be so issuable shall, upon issue, be duly authorized, validly issued, fully paid and non-assessable.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6.5.6</w:t>
      </w:r>
    </w:p>
    <w:p>
      <w:pPr>
        <w:pStyle w:val="TextBody"/>
        <w:bidi w:val="0"/>
        <w:spacing w:before="0" w:after="240"/>
        <w:jc w:val="both"/>
        <w:rPr/>
      </w:pPr>
      <w:r>
        <w:rPr>
          <w:rFonts w:ascii="Times New Roman" w:hAnsi="Times New Roman"/>
          <w:color w:val="000000"/>
          <w:sz w:val="24"/>
          <w:u w:val="single"/>
        </w:rPr>
        <w:t>Fractional Shares</w:t>
      </w:r>
      <w:r>
        <w:rPr>
          <w:rFonts w:ascii="Times New Roman" w:hAnsi="Times New Roman"/>
          <w:color w:val="000000"/>
          <w:sz w:val="24"/>
        </w:rPr>
        <w:t xml:space="preserve">. No fractional Ordinary Shares shall be issued upon conversion of the Series C Non-Voting Preferred Shares, no certificates or scrip for any such fractional shares shall be issued and no cash shall be paid for any such fractional shares. Any fractional Ordinary Shares that a Holder of Series C Non-Voting Preferred Shares would otherwise be entitled to receive shall be aggregated with all fractional Ordinary Shares issuable to such Holder and any remaining fractional shares shall be rounded up to the nearest whole share. Whether or not fractional shares would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issuable upon such conversion shall be determined on the basis of the total number of Series C Non-Voting Preferred Shares the Holder seeks to convert into Ordinary Shares and the aggregate number of Ordinary Shares issuable upon such conversion.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6.5.7</w:t>
      </w:r>
    </w:p>
    <w:p>
      <w:pPr>
        <w:pStyle w:val="TextBody"/>
        <w:bidi w:val="0"/>
        <w:spacing w:before="0" w:after="240"/>
        <w:jc w:val="both"/>
        <w:rPr/>
      </w:pPr>
      <w:r>
        <w:rPr>
          <w:rFonts w:ascii="Times New Roman" w:hAnsi="Times New Roman"/>
          <w:color w:val="000000"/>
          <w:sz w:val="24"/>
          <w:u w:val="single"/>
        </w:rPr>
        <w:t>Transfer Taxes</w:t>
      </w:r>
      <w:r>
        <w:rPr>
          <w:rFonts w:ascii="Times New Roman" w:hAnsi="Times New Roman"/>
          <w:color w:val="000000"/>
          <w:sz w:val="24"/>
        </w:rPr>
        <w:t>. The issuance of certificates for Ordinary Shares upon conversion of the Series C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C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color w:val="000000"/>
          <w:sz w:val="24"/>
          <w:u w:val="single"/>
        </w:rPr>
        <w:t>Status as Shareholder</w:t>
      </w:r>
      <w:r>
        <w:rPr>
          <w:rFonts w:ascii="Times New Roman" w:hAnsi="Times New Roman"/>
          <w:color w:val="000000"/>
          <w:sz w:val="24"/>
        </w:rPr>
        <w:t>. Upon each Conversion Date, (i) the Series C Non-Voting Preferred Shares being converted shall be deemed converted into Ordinary Shares and (ii) the Holder’s rights as a holder of such converted Series C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Certificate of Designation. In all cases, the Holder shall retain all of its rights and remedies for the Company’s failure to convert Series C Non-Voting Preferred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4"/>
          <w:u w:val="single"/>
        </w:rPr>
        <w:t>Certain Adjustments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4"/>
          <w:u w:val="single"/>
        </w:rPr>
        <w:t>Share Dividends and Share Splits</w:t>
      </w:r>
      <w:r>
        <w:rPr>
          <w:rFonts w:ascii="Times New Roman" w:hAnsi="Times New Roman"/>
          <w:color w:val="000000"/>
          <w:sz w:val="24"/>
        </w:rPr>
        <w:t xml:space="preserve">. If the Company, at any time while a Series C Non-Voting Preferred Share is issued and outstanding: (A) pays a share dividend or otherwise makes a distribution or distributions payable in Ordinary Shares (which, for avoidance of doubt, shall not include any Ordinary Shares issued by the Company upon conversion of a Series C Non-Voting Preferred Share) with respect to the then issued and outstanding Ordinary Shares; (B) subdivides outstanding Ordinary Shares into a larger number of shares; or (C) combines (including by way of a share consolidation)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issued and outstanding immediately before such event (excluding any treasury shares of the Company). Any adjustment made pursuant to this </w:t>
      </w:r>
      <w:r>
        <w:rPr>
          <w:rFonts w:ascii="Times New Roman" w:hAnsi="Times New Roman"/>
          <w:color w:val="000000"/>
          <w:sz w:val="24"/>
          <w:u w:val="single"/>
        </w:rPr>
        <w:t>Section ‎7.1</w:t>
      </w:r>
      <w:r>
        <w:rPr>
          <w:color w:val="000000"/>
        </w:rPr>
        <w:t xml:space="preserve"> </w:t>
      </w:r>
      <w:r>
        <w:rPr>
          <w:rFonts w:ascii="Times New Roman" w:hAnsi="Times New Roman"/>
          <w:color w:val="000000"/>
          <w:sz w:val="24"/>
        </w:rPr>
        <w:t>shall become effective immediately after the record date for the determination of shareholders entitled to receive such dividend or distribution and shall become effective immediately after the effective date in the case of a subdivision or combination.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4"/>
          <w:u w:val="single"/>
        </w:rPr>
        <w:t>Fundamental Transaction</w:t>
      </w:r>
      <w:r>
        <w:rPr>
          <w:rFonts w:ascii="Times New Roman" w:hAnsi="Times New Roman"/>
          <w:color w:val="000000"/>
          <w:sz w:val="24"/>
        </w:rPr>
        <w:t xml:space="preserve">. If, at any time while a Series C Non-Voting Preferred Share is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(whether by the Company or another Person) is completed pursuant to which more than 50% of the Ordinary Shares not held by the Company or such Person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color w:val="000000"/>
          <w:sz w:val="24"/>
          <w:u w:val="single"/>
        </w:rPr>
        <w:t>Section ‎7.1</w:t>
      </w:r>
      <w:r>
        <w:rPr>
          <w:rFonts w:ascii="Times New Roman" w:hAnsi="Times New Roman"/>
          <w:color w:val="000000"/>
          <w:sz w:val="24"/>
        </w:rPr>
        <w:t>) to which the Ordinary Shares are effectively converted into or exchanged for other securities, cash or property (in any such case, a “</w:t>
      </w:r>
      <w:r>
        <w:rPr>
          <w:rFonts w:ascii="Times New Roman" w:hAnsi="Times New Roman"/>
          <w:b/>
          <w:i/>
          <w:color w:val="000000"/>
          <w:sz w:val="24"/>
        </w:rPr>
        <w:t>Fundamental Transaction</w:t>
      </w:r>
      <w:r>
        <w:rPr>
          <w:color w:val="000000"/>
        </w:rPr>
        <w:t>”</w:t>
      </w:r>
      <w:r>
        <w:rPr>
          <w:rFonts w:ascii="Times New Roman" w:hAnsi="Times New Roman"/>
          <w:color w:val="000000"/>
          <w:sz w:val="24"/>
        </w:rPr>
        <w:t>), then, upon any subsequent conversion of a Series C Non-Voting Preferred Share the Holders shall have the right to receive, in lieu of the right to receive Conversion Shares, for each Conversion Share that would have been issuable upon such conversion immediately prior to the occurrence of such Fundamental Transaction (without regard to any Beneficial Ownership Limitation), the same kind and amount of securities, cash or property as it would have been entitled to receive upon the occurrence of such Fundamental Transaction if such conversion of Series C Non-Voting Preferred Shares had occurred immediately prior to such Fundamental Transaction (the “</w:t>
      </w:r>
      <w:r>
        <w:rPr>
          <w:rFonts w:ascii="Times New Roman" w:hAnsi="Times New Roman"/>
          <w:b/>
          <w:i/>
          <w:color w:val="000000"/>
          <w:sz w:val="24"/>
        </w:rPr>
        <w:t>Alternate Consideration</w:t>
      </w:r>
      <w:r>
        <w:rPr>
          <w:color w:val="000000"/>
        </w:rPr>
        <w:t>”</w:t>
      </w:r>
      <w:r>
        <w:rPr>
          <w:rFonts w:ascii="Times New Roman" w:hAnsi="Times New Roman"/>
          <w:color w:val="000000"/>
          <w:sz w:val="24"/>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a Series C Non-Voting Preferred Share following such Fundamental Transaction. To the extent necessary to effectuate the foregoing provisions, any successor to the Company or surviving entity in such Fundamental Transaction shall file a new certificate of designation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color w:val="000000"/>
          <w:sz w:val="24"/>
          <w:u w:val="single"/>
        </w:rPr>
        <w:t>Section ‎7.2</w:t>
      </w:r>
      <w:r>
        <w:rPr>
          <w:color w:val="000000"/>
        </w:rPr>
        <w:t xml:space="preserve"> </w:t>
      </w:r>
      <w:r>
        <w:rPr>
          <w:rFonts w:ascii="Times New Roman" w:hAnsi="Times New Roman"/>
          <w:color w:val="000000"/>
          <w:sz w:val="24"/>
        </w:rPr>
        <w:t>and ensuring that this Series C Non-Voting Preferred Shares (or any such replacement security) will be similarly adjusted upon any subsequent transaction analogous to a Fundamental Transaction. The Company shall cause to be delivered to each Holder, at its last address as it shall appear upon the register of members of the Company (the “</w:t>
      </w:r>
      <w:r>
        <w:rPr>
          <w:rFonts w:ascii="Times New Roman" w:hAnsi="Times New Roman"/>
          <w:b/>
          <w:i/>
          <w:color w:val="000000"/>
          <w:sz w:val="24"/>
        </w:rPr>
        <w:t>Register of Members</w:t>
      </w:r>
      <w:r>
        <w:rPr>
          <w:color w:val="000000"/>
        </w:rPr>
        <w:t>”</w:t>
      </w:r>
      <w:r>
        <w:rPr>
          <w:rFonts w:ascii="Times New Roman" w:hAnsi="Times New Roman"/>
          <w:color w:val="000000"/>
          <w:sz w:val="24"/>
        </w:rPr>
        <w:t>), written notice of any Fundamental Transaction at least 20 calendar days prior to the date on which such Fundamental Transaction is expected to become effective or close.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xml:space="preserve">. All calculations under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shall be made to the nearest cent or the nearest 1/100th of a share, as the case may be. For purposes of this </w:t>
      </w:r>
      <w:r>
        <w:rPr>
          <w:rFonts w:ascii="Times New Roman" w:hAnsi="Times New Roman"/>
          <w:color w:val="000000"/>
          <w:sz w:val="24"/>
          <w:u w:val="single"/>
        </w:rPr>
        <w:t>Section ‎7</w:t>
      </w:r>
      <w:r>
        <w:rPr>
          <w:rFonts w:ascii="Times New Roman" w:hAnsi="Times New Roman"/>
          <w:color w:val="000000"/>
          <w:sz w:val="24"/>
        </w:rPr>
        <w:t>, the number of Ordinary Shares deemed to be issued and outstanding as of a given date shall be the sum of the number of Ordinary Shares (excluding any treasury shares of the Company) issued and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color w:val="000000"/>
          <w:sz w:val="24"/>
          <w:u w:val="single"/>
        </w:rPr>
        <w:t>Redemption</w:t>
      </w:r>
      <w:r>
        <w:rPr>
          <w:rFonts w:ascii="Times New Roman" w:hAnsi="Times New Roman"/>
          <w:color w:val="000000"/>
          <w:sz w:val="24"/>
        </w:rPr>
        <w:t xml:space="preserve">. The Series C Non-Voting Preferred Shares shall not be redeemable; provided, however, that the foregoing shall not limit the ability of the Company to purchase or otherwise deal in such shares to the extent otherwise permitted hereby and under the Articles, nor shall the foregoing limit the Holder’s rights under </w:t>
      </w:r>
      <w:r>
        <w:rPr>
          <w:rFonts w:ascii="Times New Roman" w:hAnsi="Times New Roman"/>
          <w:color w:val="000000"/>
          <w:sz w:val="24"/>
          <w:u w:val="single"/>
        </w:rPr>
        <w:t>Section 6.5.3</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color w:val="000000"/>
          <w:sz w:val="24"/>
          <w:u w:val="single"/>
        </w:rPr>
        <w:t>Transfer</w:t>
      </w:r>
      <w:r>
        <w:rPr>
          <w:rFonts w:ascii="Times New Roman" w:hAnsi="Times New Roman"/>
          <w:color w:val="000000"/>
          <w:sz w:val="24"/>
        </w:rPr>
        <w:t xml:space="preserve">. Subject to the Articles, a Holder may transfer any Series C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things, and (ii) execute and deliver all such other agreements, certificates, instruments and documents, in each case, as any holder of Series C Non-Voting Preferred Shares may reasonably request in order to carry out the intent and accomplish the purposes of this </w:t>
      </w:r>
      <w:r>
        <w:rPr>
          <w:rFonts w:ascii="Times New Roman" w:hAnsi="Times New Roman"/>
          <w:color w:val="000000"/>
          <w:sz w:val="24"/>
          <w:u w:val="single"/>
        </w:rPr>
        <w:t>Section ‎9</w:t>
      </w:r>
      <w:r>
        <w:rPr>
          <w:rFonts w:ascii="Times New Roman" w:hAnsi="Times New Roman"/>
          <w:color w:val="000000"/>
          <w:sz w:val="24"/>
        </w:rPr>
        <w:t>. The transferee of any Series C Non-Voting Preferred Shares shall be subject to the Beneficial Ownership Limitation applicable to the transferor as of the time of such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pPr>
      <w:r>
        <w:rPr>
          <w:rFonts w:ascii="Times New Roman" w:hAnsi="Times New Roman"/>
          <w:color w:val="000000"/>
          <w:sz w:val="24"/>
          <w:u w:val="single"/>
        </w:rPr>
        <w:t>Series C Non-Voting Preferred Shares Register</w:t>
      </w:r>
      <w:r>
        <w:rPr>
          <w:rFonts w:ascii="Times New Roman" w:hAnsi="Times New Roman"/>
          <w:color w:val="000000"/>
          <w:sz w:val="24"/>
        </w:rPr>
        <w:t xml:space="preserve">. The Company shall maintain at its principal executive offices (or such other office or agency of the Company as it may designate by notice to the Holders in accordance with </w:t>
      </w:r>
      <w:r>
        <w:rPr>
          <w:rFonts w:ascii="Times New Roman" w:hAnsi="Times New Roman"/>
          <w:color w:val="000000"/>
          <w:sz w:val="24"/>
          <w:u w:val="single"/>
        </w:rPr>
        <w:t>Section ‎11</w:t>
      </w:r>
      <w:r>
        <w:rPr>
          <w:rFonts w:ascii="Times New Roman" w:hAnsi="Times New Roman"/>
          <w:color w:val="000000"/>
          <w:sz w:val="24"/>
        </w:rPr>
        <w:t>), a register for the Series C Non-Voting Preferred Shares, in which the Company shall record (i) the name, address, and electronic mail address of each holder in whose name the Series C Non-Voting Preferred Shares have been issued and (ii) the name, address, and electronic mail address of each transferee of any Series C Non-Voting Preferred Shares. The Company may deem and treat the registered Holder of Series C Non-Voting Preferred Shares as the absolute owner thereof for the purpose of any conversion thereof and for all other purposes. The Company shall keep the register open and available at all times during business hours for inspection by any holder of Series C Non-Voting Preferred Shares or his, her or its legal representatives.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notice required or permitted by the provisions of this Certificate of Designation to be given to a Holder of Series C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4"/>
          <w:u w:val="single"/>
        </w:rPr>
        <w:t>Book-Entry; Certificates</w:t>
      </w:r>
      <w:r>
        <w:rPr>
          <w:rFonts w:ascii="Times New Roman" w:hAnsi="Times New Roman"/>
          <w:color w:val="000000"/>
          <w:sz w:val="24"/>
        </w:rPr>
        <w:t>. The Series C Non-Voting Preferred Shares will be issued in book-entry form; provided that, if a Holder requests that such Holder’s Series C Non-Voting Preferred Shares be issued in certificated form, the Company will instead issue a share certificate to such Holder representing such Holder’s Series C Non-Voting Preferred Shares. To the extent that any Series C Non-Voting Preferred Shares are issued in book-entry form, references herein to “certificates” shall instead refer to the book-entry notation relating to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4"/>
          <w:u w:val="single"/>
        </w:rPr>
        <w:t>Waiver</w:t>
      </w:r>
      <w:r>
        <w:rPr>
          <w:rFonts w:ascii="Times New Roman" w:hAnsi="Times New Roman"/>
          <w:color w:val="000000"/>
          <w:sz w:val="24"/>
        </w:rPr>
        <w:t>. Any waiver by the Company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Company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Company or a Holder must be in writing. Notwithstanding any provision in this Certificate of Designation to the contrary, any provision contained herein and any right of the Holders of Series C Non-Voting Preferred Shares granted hereunder may be waived as to all Series C Non-Voting Preferred Shares (and the Holders thereof) upon the written consent or resolution of the Holders of not less than a simple majority of the Series C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color w:val="000000"/>
          <w:sz w:val="24"/>
          <w:u w:val="single"/>
        </w:rPr>
        <w:t>Status of Converted Series C Non-Voting Preferred Shares</w:t>
      </w:r>
      <w:r>
        <w:rPr>
          <w:rFonts w:ascii="Times New Roman" w:hAnsi="Times New Roman"/>
          <w:color w:val="000000"/>
          <w:sz w:val="24"/>
        </w:rPr>
        <w:t xml:space="preserve">. If any Series C Non-Voting Preferred Shares shall be converted, repurchased, surrendered or redeemed by the Company, such shares shall, to the fullest extent permitted by applicable law and in accordance with the Articles, be repurchased, surrendered or redeemed (as applicable) and automatically cancelled, and shall not be reissued as a Series C Non-Voting Preferred Share. Immediately upon its cancellation, any such Series C Non-Voting Preferred Share shall no longer be designated as a Series C Non-Voting Preferred Share and shall form part of the authorized but unissued share capital of the Company.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Damora Therapeutics, Inc. has caused this Certificate of Designation of Preferences, Rights and Limitations of Series C Non-Voting Convertible Preferred Shares to be duly executed on its behalf by its director on 16 July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DAMORA THERAPEUTICS,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 Garrett Winslow </w:t>
      </w:r>
    </w:p>
    <w:p>
      <w:pPr>
        <w:pStyle w:val="TextBody"/>
        <w:bidi w:val="0"/>
        <w:jc w:val="left"/>
        <w:rPr>
          <w:rFonts w:ascii="Times New Roman" w:hAnsi="Times New Roman"/>
          <w:color w:val="000000"/>
          <w:sz w:val="24"/>
        </w:rPr>
      </w:pPr>
      <w:r>
        <w:rPr>
          <w:rFonts w:ascii="Times New Roman" w:hAnsi="Times New Roman"/>
          <w:color w:val="000000"/>
          <w:sz w:val="24"/>
        </w:rPr>
        <w:t xml:space="preserve">Name: Garrett Winslow </w:t>
      </w:r>
    </w:p>
    <w:p>
      <w:pPr>
        <w:pStyle w:val="TextBody"/>
        <w:bidi w:val="0"/>
        <w:jc w:val="left"/>
        <w:rPr>
          <w:rFonts w:ascii="Times New Roman" w:hAnsi="Times New Roman"/>
          <w:color w:val="000000"/>
          <w:sz w:val="24"/>
        </w:rPr>
      </w:pPr>
      <w:r>
        <w:rPr>
          <w:rFonts w:ascii="Times New Roman" w:hAnsi="Times New Roman"/>
          <w:color w:val="000000"/>
          <w:sz w:val="24"/>
        </w:rPr>
        <w:t xml:space="preserve">Title: General Counsel and Corporate Secretary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ANNEX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NOTICE OF CONVERSION</w:t>
        <w:br/>
        <w:br/>
        <w:t>(TO BE EXECUTED BY THE REGISTERED HOLDER IN ORDER TO CONVERT SERIES C NON-VOTING CONVERTIBLE PREFERRED SHARES)</w:t>
      </w:r>
    </w:p>
    <w:p>
      <w:pPr>
        <w:pStyle w:val="TextBody"/>
        <w:bidi w:val="0"/>
        <w:jc w:val="both"/>
        <w:rPr>
          <w:rFonts w:ascii="Times New Roman" w:hAnsi="Times New Roman"/>
          <w:sz w:val="20"/>
        </w:rPr>
      </w:pPr>
      <w:r>
        <w:rPr>
          <w:rFonts w:ascii="Times New Roman" w:hAnsi="Times New Roman"/>
          <w:color w:val="000000"/>
          <w:sz w:val="24"/>
        </w:rPr>
        <w:t>The undersigned Holder hereby irrevocably elects to convert the number of Series C Non-Voting Preferred Shares indicated below, represented in book-entry form, into Ordinary Shares, par value $0.00001 per share (the “</w:t>
      </w:r>
      <w:r>
        <w:rPr>
          <w:rFonts w:ascii="Times New Roman" w:hAnsi="Times New Roman"/>
          <w:b/>
          <w:i/>
          <w:color w:val="000000"/>
          <w:sz w:val="24"/>
        </w:rPr>
        <w:t>Ordinary Shares</w:t>
      </w:r>
      <w:r>
        <w:rPr>
          <w:rFonts w:ascii="Times New Roman" w:hAnsi="Times New Roman"/>
          <w:color w:val="000000"/>
          <w:sz w:val="20"/>
        </w:rPr>
        <w:t>”</w:t>
      </w:r>
      <w:r>
        <w:rPr>
          <w:rFonts w:ascii="Times New Roman" w:hAnsi="Times New Roman"/>
          <w:color w:val="000000"/>
          <w:sz w:val="24"/>
        </w:rPr>
        <w:t>), of Damora Therapeutics, Inc., an exempted company incorporated in the Cayman Islands with limited liability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on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C Non-Voting Convertible Preferred Shares (the “</w:t>
      </w:r>
      <w:r>
        <w:rPr>
          <w:rFonts w:ascii="Times New Roman" w:hAnsi="Times New Roman"/>
          <w:b/>
          <w:i/>
          <w:color w:val="000000"/>
          <w:sz w:val="24"/>
        </w:rPr>
        <w:t>Certificate of Designation</w:t>
      </w:r>
      <w:r>
        <w:rPr>
          <w:rFonts w:ascii="Times New Roman" w:hAnsi="Times New Roman"/>
          <w:color w:val="000000"/>
          <w:sz w:val="20"/>
        </w:rPr>
        <w:t>”</w:t>
      </w:r>
      <w:r>
        <w:rPr>
          <w:rFonts w:ascii="Times New Roman" w:hAnsi="Times New Roman"/>
          <w:color w:val="000000"/>
          <w:sz w:val="24"/>
        </w:rPr>
        <w:t>) or the memorandum and articles of association of the Company, adopted by special resolution passed on 9 February 2026 and effective as of 16 July 2026 (as amended from time to time, the “</w:t>
      </w:r>
      <w:r>
        <w:rPr>
          <w:rFonts w:ascii="Times New Roman" w:hAnsi="Times New Roman"/>
          <w:b/>
          <w:i/>
          <w:color w:val="000000"/>
          <w:sz w:val="24"/>
        </w:rPr>
        <w:t>Articles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On the date hereof, the number of Ordinary Shares beneficially owned by the undersigned Holder (together with such Holder’s Attribution Parties), including the number of Ordinary Shares issuable upon conversion of the Series C Non-Voting Preferred Shares subject to this Notice of Conversion, but excluding the number of Ordinary Shares which are issuable upon (A) conversion of the remaining, unconverted Series C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4"/>
          <w:u w:val="single"/>
        </w:rPr>
        <w:t>Section ‎6.4</w:t>
      </w:r>
      <w:r>
        <w:rPr>
          <w:rFonts w:ascii="Times New Roman" w:hAnsi="Times New Roman"/>
          <w:color w:val="000000"/>
          <w:sz w:val="20"/>
        </w:rPr>
        <w:t xml:space="preserve"> </w:t>
      </w:r>
      <w:r>
        <w:rPr>
          <w:rFonts w:ascii="Times New Roman" w:hAnsi="Times New Roman"/>
          <w:color w:val="000000"/>
          <w:sz w:val="24"/>
        </w:rPr>
        <w:t>of the Certificate of Designation,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CONVERSION CALCULATIONS:</w:t>
      </w:r>
    </w:p>
    <w:p>
      <w:pPr>
        <w:pStyle w:val="TextBody"/>
        <w:bidi w:val="0"/>
        <w:jc w:val="left"/>
        <w:rPr/>
      </w:pPr>
      <w:r>
        <w:rPr/>
        <w:t> </w:t>
      </w:r>
    </w:p>
    <w:tbl>
      <w:tblPr>
        <w:tblW w:w="7816" w:type="dxa"/>
        <w:jc w:val="left"/>
        <w:tblInd w:w="0" w:type="dxa"/>
        <w:tblLayout w:type="fixed"/>
        <w:tblCellMar>
          <w:top w:w="28" w:type="dxa"/>
          <w:left w:w="28" w:type="dxa"/>
          <w:bottom w:w="28" w:type="dxa"/>
          <w:right w:w="28" w:type="dxa"/>
        </w:tblCellMar>
      </w:tblPr>
      <w:tblGrid>
        <w:gridCol w:w="7516"/>
        <w:gridCol w:w="109"/>
        <w:gridCol w:w="191"/>
      </w:tblGrid>
      <w:tr>
        <w:trPr/>
        <w:tc>
          <w:tcPr>
            <w:tcW w:w="7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to Effect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Series C Non-Voting Preferred Shares owned prior to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Series C Non-Voting Preferred Shares to be Converted: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Ordinary Shares to be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 for delivery of physical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For DWAC Delivery, please provide the following: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Broker No.:</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Account No.:</w:t>
      </w:r>
      <w:r>
        <w:rPr>
          <w:rFonts w:ascii="Times New Roman" w:hAnsi="Times New Roman"/>
          <w:color w:val="000000"/>
          <w:sz w:val="20"/>
          <w:u w:val="single"/>
        </w:rPr>
        <w:t xml:space="preserve"> </w:t>
      </w:r>
    </w:p>
    <w:p>
      <w:pPr>
        <w:pStyle w:val="TextBody"/>
        <w:bidi w:val="0"/>
        <w:jc w:val="left"/>
        <w:rPr>
          <w:rFonts w:ascii="Times New Roman" w:hAnsi="Times New Roman"/>
          <w:caps/>
          <w:color w:val="000000"/>
          <w:sz w:val="24"/>
        </w:rPr>
      </w:pPr>
      <w:r>
        <w:rPr>
          <w:rFonts w:ascii="Times New Roman" w:hAnsi="Times New Roman"/>
          <w:caps/>
          <w:color w:val="000000"/>
          <w:sz w:val="24"/>
        </w:rPr>
        <w:t>[HOLDER]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2" w:name="dmra-ex10_1.htm"/>
      <w:bookmarkStart w:id="13" w:name="ksdmraex10_1"/>
      <w:bookmarkEnd w:id="12"/>
      <w:bookmarkEnd w:id="13"/>
      <w:r>
        <w:rPr>
          <w:rFonts w:ascii="Times New Roman" w:hAnsi="Times New Roman"/>
          <w:b/>
          <w:color w:val="000000"/>
          <w:sz w:val="24"/>
        </w:rPr>
        <w:t>Exhibit 10.1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INDEMNIFICATION AGREEMENT</w:t>
      </w:r>
    </w:p>
    <w:p>
      <w:pPr>
        <w:pStyle w:val="TextBody"/>
        <w:bidi w:val="0"/>
        <w:spacing w:before="240" w:after="283"/>
        <w:jc w:val="left"/>
        <w:rPr>
          <w:rFonts w:ascii="Times New Roman" w:hAnsi="Times New Roman"/>
          <w:sz w:val="20"/>
        </w:rPr>
      </w:pPr>
      <w:r>
        <w:rPr>
          <w:rFonts w:ascii="Times New Roman" w:hAnsi="Times New Roman"/>
          <w:color w:val="000000"/>
          <w:sz w:val="22"/>
        </w:rPr>
        <w:t>This Indemnification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entered into on __________ by and between Damora Therapeutics, Inc., a Cayman Islands exempted company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__________ (the “</w:t>
      </w:r>
      <w:r>
        <w:rPr>
          <w:rFonts w:ascii="Times New Roman" w:hAnsi="Times New Roman"/>
          <w:color w:val="000000"/>
          <w:sz w:val="22"/>
          <w:u w:val="single"/>
        </w:rPr>
        <w:t>Indemnitee</w:t>
      </w:r>
      <w:r>
        <w:rPr>
          <w:rFonts w:ascii="Times New Roman" w:hAnsi="Times New Roman"/>
          <w:color w:val="000000"/>
          <w:sz w:val="20"/>
        </w:rPr>
        <w:t>”</w:t>
      </w:r>
      <w:r>
        <w:rPr>
          <w:rFonts w:ascii="Times New Roman" w:hAnsi="Times New Roman"/>
          <w:color w:val="000000"/>
          <w:sz w:val="22"/>
        </w:rPr>
        <w:t>). Notwithstanding the date of execution of this Agreement, each of the parties hereto agrees that their respective rights, duties and obligations pursuant to this Agreement shall come into effect upon the earliest date that the Indemnitee is duly elected or appointed as a director or officer of the Company.</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2"/>
        </w:rPr>
        <w:t>RECITALS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WHEREAS, the Board of Directors of the Company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has determined that the inability to attract and retain qualified persons as directors and officers is detrimental to the best interests of the Company and that the Company should act to assure such persons that there shall be adequate certainty of protection through insurance and indemnification against risks of claims and actions against them arising out of their service to and activities on behalf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WHEREAS, provisions in the Company’s memorandum and articles of association (as may be amended or restated from time to time, the “</w:t>
      </w:r>
      <w:r>
        <w:rPr>
          <w:rFonts w:ascii="Times New Roman" w:hAnsi="Times New Roman"/>
          <w:color w:val="000000"/>
          <w:sz w:val="22"/>
          <w:u w:val="single"/>
        </w:rPr>
        <w:t>Articles</w:t>
      </w:r>
      <w:r>
        <w:rPr>
          <w:rFonts w:ascii="Times New Roman" w:hAnsi="Times New Roman"/>
          <w:color w:val="000000"/>
          <w:sz w:val="20"/>
        </w:rPr>
        <w:t>”</w:t>
      </w:r>
      <w:r>
        <w:rPr>
          <w:rFonts w:ascii="Times New Roman" w:hAnsi="Times New Roman"/>
          <w:color w:val="000000"/>
          <w:sz w:val="22"/>
        </w:rPr>
        <w:t>) provide for indemnification and advancement of expenses of its directors and officers to the fullest extent authorized by applicable law, and the Company wishes to clarify and enhance the rights and obligations of the Company and the Indemnitee with respect to indemnification and advancement of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WHEREAS, in order to induce and encourage highly experienced and capable persons such as the Indemnitee to serve and continue to serve as directors and officers of the Company and in any other capacity with respect to the Company as the Company may request, and to otherwise promote the desirable end that such persons shall resist what they consider unjustified lawsuits and claims made against them in connection with the good faith performance of their duties to the Company, with the knowledge that certain costs, judgments, penalties, fines, liabilities and expenses incurred by them in their defense of such litigation are to be borne by the Company and they shall receive appropriate protection against such risks and liabilities, the Board has determined that the following Agreement is reasonable and prudent to promote and ensure the best interests of the Company;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WHEREAS, the Company desires to have the Indemnitee serve or continue to serve as a director or officer of the Company and in any other capacity with respect to the Company as the Company may request, as the case may be, free from undue concern for unpredictable, inappropriate, or unreasonable legal risks and personal liabilities by reason of the Indemnitee acting in good faith in the performance of the Indemnitee’s duty to the Company; and the Indemnitee desires to continue so to serve the Company, </w:t>
      </w:r>
      <w:r>
        <w:rPr>
          <w:rFonts w:ascii="Times New Roman" w:hAnsi="Times New Roman"/>
          <w:color w:val="000000"/>
          <w:sz w:val="22"/>
          <w:u w:val="single"/>
        </w:rPr>
        <w:t>provided</w:t>
      </w:r>
      <w:r>
        <w:rPr>
          <w:rFonts w:ascii="Times New Roman" w:hAnsi="Times New Roman"/>
          <w:color w:val="000000"/>
          <w:sz w:val="22"/>
        </w:rPr>
        <w:t>, and on the express condition, that he or she is furnished with the protections set forth hereinafter.</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2"/>
        </w:rPr>
        <w:t>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NOW, THEREFORE, in consideration of the Indemnitee’s service or continued service as a director or officer of the Company, the parties hereto agree as follows: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Definitions</w:t>
      </w:r>
      <w:r>
        <w:rPr>
          <w:rFonts w:ascii="Times New Roman" w:hAnsi="Times New Roman"/>
          <w:color w:val="000000"/>
          <w:sz w:val="22"/>
        </w:rPr>
        <w:t>. For purposes of this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 A “</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will be deemed to have occurred if, with respect to any particular 24-month period, the individuals who, at the beginning of such 24-month period, constituted the Board (the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color w:val="000000"/>
        </w:rPr>
        <w:t>“</w:t>
      </w:r>
      <w:r>
        <w:rPr>
          <w:rFonts w:ascii="Times New Roman" w:hAnsi="Times New Roman"/>
          <w:color w:val="000000"/>
          <w:sz w:val="22"/>
          <w:u w:val="single"/>
        </w:rPr>
        <w:t>Incumbent Board</w:t>
      </w:r>
      <w:r>
        <w:rPr>
          <w:rFonts w:ascii="Times New Roman" w:hAnsi="Times New Roman"/>
          <w:color w:val="000000"/>
          <w:sz w:val="20"/>
        </w:rPr>
        <w:t>”</w:t>
      </w:r>
      <w:r>
        <w:rPr>
          <w:rFonts w:ascii="Times New Roman" w:hAnsi="Times New Roman"/>
          <w:color w:val="000000"/>
          <w:sz w:val="22"/>
        </w:rPr>
        <w:t xml:space="preserve">) cease for any reason to constitute at least a majority of the Board;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any individual becoming a director subsequent to the beginning of such 24-month period whose election, or nomination for election by the shareholders of the Company,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(b) “</w:t>
      </w:r>
      <w:r>
        <w:rPr>
          <w:rFonts w:ascii="Times New Roman" w:hAnsi="Times New Roman"/>
          <w:color w:val="000000"/>
          <w:sz w:val="22"/>
          <w:u w:val="single"/>
        </w:rPr>
        <w:t>Disinterested Director</w:t>
      </w:r>
      <w:r>
        <w:rPr>
          <w:rFonts w:ascii="Times New Roman" w:hAnsi="Times New Roman"/>
          <w:color w:val="000000"/>
          <w:sz w:val="20"/>
        </w:rPr>
        <w:t xml:space="preserve">” </w:t>
      </w:r>
      <w:r>
        <w:rPr>
          <w:rFonts w:ascii="Times New Roman" w:hAnsi="Times New Roman"/>
          <w:color w:val="000000"/>
          <w:sz w:val="22"/>
        </w:rPr>
        <w:t>means a director of the Company who is not or was not a party to the Proceeding in respect of which indemnification is being sought by the Indemnitee.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(c) “</w:t>
      </w:r>
      <w:r>
        <w:rPr>
          <w:rFonts w:ascii="Times New Roman" w:hAnsi="Times New Roman"/>
          <w:color w:val="000000"/>
          <w:sz w:val="22"/>
          <w:u w:val="single"/>
        </w:rPr>
        <w:t>Expenses</w:t>
      </w:r>
      <w:r>
        <w:rPr>
          <w:rFonts w:ascii="Times New Roman" w:hAnsi="Times New Roman"/>
          <w:color w:val="000000"/>
          <w:sz w:val="20"/>
        </w:rPr>
        <w:t xml:space="preserve">” </w:t>
      </w:r>
      <w:r>
        <w:rPr>
          <w:rFonts w:ascii="Times New Roman" w:hAnsi="Times New Roman"/>
          <w:color w:val="000000"/>
          <w:sz w:val="22"/>
        </w:rPr>
        <w:t>includes, without limitation, expenses incurred in connection with the defense or settlement of any action, suit, arbitration, alternative dispute resolution mechanism, inquiry, judicial, administrative, or legislative hearing, investigation, or any other threatened, pending, or completed proceeding, whether brought by or in the right of the Company or otherwise, including any and all appeals, whether of a civil, criminal, administrative, legislative, investigative, or other nature, attorneys’ fees, witness fees and expenses, fees and expenses of accountants and other advisors, retainers and disbursements and advances thereon, the premium, security for, and other costs relating to any bond (including cost bonds, appraisal bonds, or their equivalents), and any expenses of establishing a right to indemnification or advancement under this Agreement, but shall not include the amount of judgments, fines, ERISA excise taxes, or penalties actually levied against the Indemnitee, or any amounts paid in settlement by or on behalf of the Indemnitee.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(d) “</w:t>
      </w:r>
      <w:r>
        <w:rPr>
          <w:rFonts w:ascii="Times New Roman" w:hAnsi="Times New Roman"/>
          <w:color w:val="000000"/>
          <w:sz w:val="22"/>
          <w:u w:val="single"/>
        </w:rPr>
        <w:t>Independent Counsel</w:t>
      </w:r>
      <w:r>
        <w:rPr>
          <w:rFonts w:ascii="Times New Roman" w:hAnsi="Times New Roman"/>
          <w:color w:val="000000"/>
          <w:sz w:val="20"/>
        </w:rPr>
        <w:t xml:space="preserve">” </w:t>
      </w:r>
      <w:r>
        <w:rPr>
          <w:rFonts w:ascii="Times New Roman" w:hAnsi="Times New Roman"/>
          <w:color w:val="000000"/>
          <w:sz w:val="22"/>
        </w:rPr>
        <w:t>means a law firm or a member of a law firm that neither is presently nor in the past five years has been retained to represent (i) the Company or the Indemnitee in any matter material to either such party or (ii) any other party to the Proceeding giving rise to a request for indemnification hereunder. Notwithstanding the foregoing, the term “Independent Counsel” shall not include any person who, under the applicable standards of professional conduct then prevailing, would have a conflict of interest in representing either the Company or the Indemnitee in an action to determine the Indemnitee’s right to indemnification under this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(e) “</w:t>
      </w:r>
      <w:r>
        <w:rPr>
          <w:rFonts w:ascii="Times New Roman" w:hAnsi="Times New Roman"/>
          <w:color w:val="000000"/>
          <w:sz w:val="22"/>
          <w:u w:val="single"/>
        </w:rPr>
        <w:t>Proceeding</w:t>
      </w:r>
      <w:r>
        <w:rPr>
          <w:rFonts w:ascii="Times New Roman" w:hAnsi="Times New Roman"/>
          <w:color w:val="000000"/>
          <w:sz w:val="20"/>
        </w:rPr>
        <w:t xml:space="preserve">” </w:t>
      </w:r>
      <w:r>
        <w:rPr>
          <w:rFonts w:ascii="Times New Roman" w:hAnsi="Times New Roman"/>
          <w:color w:val="000000"/>
          <w:sz w:val="22"/>
        </w:rPr>
        <w:t>means any action, suit, arbitration, alternative dispute resolution mechanism, inquiry, judicial, administrative, or legislative hearing, investigation, or any other threatened, pending, or completed proceeding, whether brought by or in the right of the Company or otherwise, including any and all appeals, whether of a civil, criminal, administrative, legislative, investigative, or other nature, to which the Indemnitee was or is a party or is threatened to be made a party or is otherwise involved in by reason of the fact that the Indemnitee is or was a director, officer, employee, agent, or trustee of the Company or while a director, officer, employee, agent, or trustee of the Company is or was serving at the request of the Company as a director, officer, employee, agent, or trustee of another corporation or of a partnership, joint venture, trust, or other enterprise, including service with respect to an employee benefit plan (such status, the Indemnitee’s “</w:t>
      </w:r>
      <w:r>
        <w:rPr>
          <w:rFonts w:ascii="Times New Roman" w:hAnsi="Times New Roman"/>
          <w:color w:val="000000"/>
          <w:sz w:val="22"/>
          <w:u w:val="single"/>
        </w:rPr>
        <w:t>Corporate Status</w:t>
      </w:r>
      <w:r>
        <w:rPr>
          <w:rFonts w:ascii="Times New Roman" w:hAnsi="Times New Roman"/>
          <w:color w:val="000000"/>
          <w:sz w:val="20"/>
        </w:rPr>
        <w:t>”</w:t>
      </w:r>
      <w:r>
        <w:rPr>
          <w:rFonts w:ascii="Times New Roman" w:hAnsi="Times New Roman"/>
          <w:color w:val="000000"/>
          <w:sz w:val="22"/>
        </w:rPr>
        <w:t>), or by reason of anything done or not done by the Indemnitee in any such capacity, whether or not the Indemnitee is serving in such capacity at the time any expense, liability, or loss is incurred for which indemnification or advancement can be provided under this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Service by the Indemnitee</w:t>
      </w:r>
      <w:r>
        <w:rPr>
          <w:rFonts w:ascii="Times New Roman" w:hAnsi="Times New Roman"/>
          <w:color w:val="000000"/>
          <w:sz w:val="22"/>
        </w:rPr>
        <w:t>. The Indemnitee shall serve and/or continue to serve as a director or officer of the Company faithfully and to the best of the Indemnitee’s ability so long as the Indemnitee is duly elected or appointed in accordance with the Articles.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Indemnification and Advancement of Expenses</w:t>
      </w:r>
      <w:r>
        <w:rPr>
          <w:rFonts w:ascii="Times New Roman" w:hAnsi="Times New Roman"/>
          <w:color w:val="000000"/>
          <w:sz w:val="22"/>
        </w:rPr>
        <w:t>. The Company shall indemnify and hold harmless the Indemnitee, and shall pay to the Indemnitee in advance of the final disposition of any Proceeding all Expenses incurred by the Indemnitee in defending any such Proceeding, to the fullest extent permitted by the Articles and applicable law, as the same exists or may hereafter be amended, all on the terms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conditions set forth in this Agreement. Without diminishing the scope of the rights provided by this Section, the rights of the Indemnitee to indemnification and advancement of Expenses provided hereunder shall include but shall not be limited to those rights hereinafter set forth, except that no indemnification or advancement of Expenses shall be paid to the Indemnitee: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 to the extent expressly prohibited by applicable law or the Articles;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(b) for and to the extent that payment is actually made to the Indemnitee under a valid and collectible insurance policy or under a valid and enforceable indemnity clause or provision in the Articles, or agreement of the Company or any other company or other enterprise (and the Indemnitee shall reimburse the Company for any amounts paid by the Company and subsequently so recovered by the Indemnitee); or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(c) in connection with an action, suit, or proceeding, or part thereof voluntarily initiated by the Indemnitee (including claims and counterclaims, whether such counterclaims are asserted by (i) the Indemnitee, or (ii) the Company in an action, suit, or proceeding initiated by the Indemnitee), except a judicial proceeding to enforce rights under this Agreement, unless (A) the action, suit, or proceeding, or part thereof, was authorized or ratified by the Board or the Board otherwise determines that indemnification or advancement of Expenses is appropriate or (B) the Company provides the indemnification, in its sole discretion, pursuant to the powers vested in the Company under applicable law.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Action or Proceedings Other than an Action by or in the Right of the Company</w:t>
      </w:r>
      <w:r>
        <w:rPr>
          <w:rFonts w:ascii="Times New Roman" w:hAnsi="Times New Roman"/>
          <w:color w:val="000000"/>
          <w:sz w:val="22"/>
        </w:rPr>
        <w:t>. To the fullest extent permitted by applicable law and the Articles, and except as limited by Section 3 above, the Indemnitee shall be entitled to the indemnification rights provided in this Section if the Indemnitee was or is a party or is threatened to be made a party to, or was or is otherwise involved in, any Proceeding (other than an action by or in the right of the Company) by reason of the Indemnitee’s Corporate Status, or by reason of anything done or not done by the Indemnitee in any such capacity. To the fullest extent permitted by applicable law and the Articles, pursuant to this Section, the Indemnitee shall be indemnified against all expense, liability, and loss (including judgments, fines, ERISA excise taxes or penalties, amounts paid in settlement by or on behalf of the Indemnitee, and Expenses) actually and reasonably incurred by the Indemnitee, or on behalf of the Indemnitee, in connection with such Proceeding, if the Indemnitee acted in good faith and in a manner the Indemnitee reasonably believed to be in or not opposed to the best interests of the Company, and with respect to any criminal Proceeding, had no reasonable cause to believe his or her conduct was unlawful.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Indemnity in Proceedings by or in the Right of the Company</w:t>
      </w:r>
      <w:r>
        <w:rPr>
          <w:rFonts w:ascii="Times New Roman" w:hAnsi="Times New Roman"/>
          <w:color w:val="000000"/>
          <w:sz w:val="22"/>
        </w:rPr>
        <w:t xml:space="preserve">. To the fullest extent permitted by applicable law and the Articles, except as limited by Section 3 above, the Indemnitee shall be entitled to the indemnification rights provided in this Section if the Indemnitee was or is a party or is threatened to be made a party to, or was or is otherwise involved in, any Proceeding brought by or in the right of the Company to procure a judgment in its favor by reason of the Indemnitee’s Corporate Status, or by reason of anything done or not done by the Indemnitee in any such capacity. To the fullest extent permitted by applicable law and the Articles, pursuant to this Section, the Indemnitee shall be indemnified against all Expenses actually and reasonably incurred by the Indemnitee, or on behalf of the Indemnitee, in connection with such Proceeding if the Indemnitee acted in good faith and in a manner the Indemnitee reasonably believed to be in or not opposed to the best interests of the Company;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such indemnification shall be made in respect of any claim, issue, or matter as to which a court expressly prohibits such indemnification by reason of any adjudication of liability of the Indemnitee to the Company, unless and only to the extent that a court in which such Proceeding shall be finally adjudged shall have determined upon application that, despite an adjudication of liability but in view of all the circumstances of the case, the Indemnitee is entitled to indemnification for such expense, liability, and loss as such court shall deem proper.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Indemnification for Costs, Charges, and Expenses of Successful Party</w:t>
      </w:r>
      <w:r>
        <w:rPr>
          <w:rFonts w:ascii="Times New Roman" w:hAnsi="Times New Roman"/>
          <w:color w:val="000000"/>
          <w:sz w:val="22"/>
        </w:rPr>
        <w:t>. Notwithstanding any limitations of Sections 3(c), 4, and 5 above, to the extent that the Indemnitee has been successful, on the merits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otherwise, in whole or in part, in defense of any Proceeding, or in defense of any claim, issue, or matter therein, including, without limitation, the dismissal of any action without prejudice, or if it is ultimately determined, by final judicial decision of a court of competent jurisdiction from which there is no further right to appeal, that the Indemnitee is otherwise entitled to be indemnified against Expenses, to the fullest extent permitted by applicable law or the Articles, the Indemnitee shall be indemnified against all Expenses actually and reasonably incurred by the Indemnitee in connection therewith.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Partial Indemnification</w:t>
      </w:r>
      <w:r>
        <w:rPr>
          <w:rFonts w:ascii="Times New Roman" w:hAnsi="Times New Roman"/>
          <w:color w:val="000000"/>
          <w:sz w:val="22"/>
        </w:rPr>
        <w:t>. If the Indemnitee is entitled under any provision of this Agreement to indemnification by the Company for some or a portion of the expense, liability, and loss (including judgments, fines, ERISA excise taxes or penalties, amounts paid in settlement by or on behalf of the Indemnitee, and Expenses) actually and reasonably incurred in connection with any Proceeding, or in connection with any judicial proceeding to enforce rights under this Agreement, but not, however, for all of the total amount thereof, the Company shall nevertheless indemnify the Indemnitee for the portion of such expense, liability, and loss actually and reasonably incurred to which the Indemnitee is entitled.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Indemnification for Expenses of a Witness</w:t>
      </w:r>
      <w:r>
        <w:rPr>
          <w:rFonts w:ascii="Times New Roman" w:hAnsi="Times New Roman"/>
          <w:color w:val="000000"/>
          <w:sz w:val="22"/>
        </w:rPr>
        <w:t>. Notwithstanding any other provision of this Agreement, to the maximum extent permitted by applicable law or the Articles, the Indemnitee shall be entitled to indemnification against all Expenses actually and reasonably incurred by the Indemnitee or on the Indemnitee’s behalf if the Indemnitee appears as a witness or otherwise incurs legal expenses as a result of or related to the Indemnitee’s service as a director or officer of the Company, in any threatened, pending, or completed action, suit, arbitration, alternative dispute resolution mechanism, inquiry, judicial, administrative, or legislative hearing, investigation, or any other threatened, pending, or completed proceeding, whether of a civil, criminal, administrative, legislative, investigative, or other nature, to which the Indemnitee neither is, nor is threatened to be made, a party.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Determination of Entitlement to Indemnification</w:t>
      </w:r>
      <w:r>
        <w:rPr>
          <w:rFonts w:ascii="Times New Roman" w:hAnsi="Times New Roman"/>
          <w:color w:val="000000"/>
          <w:sz w:val="22"/>
        </w:rPr>
        <w:t>. To receive indemnification under this Agreement, the Indemnitee shall submit a written request to the Secretary of the Company. Such request shall include documentation or information that is necessary for such determination and is reasonably available to the Indemnitee. Upon receipt by the Secretary of the Company of a written request by the Indemnitee for indemnification pursuant to this Agreement, the entitlement of the Indemnitee to indemnification, to the extent not provided pursuant to the terms of this Agreement and permitted by the Articles, shall be determined by the following person or persons who shall be empowered to make such determination (as selected by the Board, except with respect to Section 9(e) below): (a) the Board by a majority vote of Disinterested Directors, whether or not such majority constitutes a quorum; (b) a committee of Disinterested Directors designated by a majority vote of such directors, whether or not such majority constitutes a quorum; (c) if there are no Disinterested Directors, or if the Disinterested Directors so direct, by Independent Counsel in a written opinion to the Board, a copy of which shall be delivered to the Indemnitee; (d) the shareholders of the Company; or (e) in the event that a Change in Control has occurred, by Independent Counsel in a written opinion to the Board, a copy of which shall be delivered to the Indemnitee. Such Independent Counsel shall be selected by the Board and approved by the Indemnitee, except that in the event that a Change in Control has occurred, Independent Counsel shall be selected by the Indemnitee. Upon failure of the Board so to select such Independent Counsel or upon failure of the Indemnitee so to approve (or so to select, in the event a Change in Control has occurred), such Independent Counsel shall be selected upon application to a court of competent jurisdiction. The determination of entitlement to indemnification shall be made and, unless a contrary determination is made, such indemnification shall be paid in full by the Company not later than 60 calendar days after receipt by the Secretary of the Company of a written request for indemnification. If the person making such determination shall determine that the Indemnitee is entitled to indemnification as to part (but not all) of the application for indemnification, such person shall reasonably prorate such partial indemnification among the claims, issues, or matters at issue at the time of the determination.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Presumptions and Effect of Certain Proceedings</w:t>
      </w:r>
      <w:r>
        <w:rPr>
          <w:rFonts w:ascii="Times New Roman" w:hAnsi="Times New Roman"/>
          <w:color w:val="000000"/>
          <w:sz w:val="22"/>
        </w:rPr>
        <w:t xml:space="preserve">. The Secretary of the Company shall, promptly upon receipt of the Indemnitee’s written request for indemnification, advise in writing, the Board or such other person or persons empowered to make the determination as provided in Section 9 that the Indemnitee has made such request for indemnification. Upon making such request for indemnification, the Indemnitee shall be presumed to be entitled to indemnification hereunder. If the Company wishes to overcome this presumption it must do so by clear and convincing evidence. If the person or persons so empowered to make such determination shall have failed to make the requested determination with respect to indemnification within 60 calendar days after receipt by the Secretary of the Company of such request, a requisite determination of entitlement to indemnification shall be deemed to have been made and the Indemnitee shall be absolutely entitled to such indemnification, absent actual fraud in the request for indemnification. The termination of any Proceeding described in Sections 4 or 5 by judgment, order, settlement, or conviction, or upon a plea of </w:t>
      </w:r>
      <w:r>
        <w:rPr>
          <w:rFonts w:ascii="Times New Roman" w:hAnsi="Times New Roman"/>
          <w:i/>
          <w:color w:val="000000"/>
          <w:sz w:val="22"/>
        </w:rPr>
        <w:t>nolo contendere</w:t>
      </w:r>
      <w:r>
        <w:rPr>
          <w:rFonts w:ascii="Times New Roman" w:hAnsi="Times New Roman"/>
          <w:color w:val="000000"/>
          <w:sz w:val="20"/>
        </w:rPr>
        <w:t xml:space="preserve"> </w:t>
      </w:r>
      <w:r>
        <w:rPr>
          <w:rFonts w:ascii="Times New Roman" w:hAnsi="Times New Roman"/>
          <w:color w:val="000000"/>
          <w:sz w:val="22"/>
        </w:rPr>
        <w:t>or its equivalent, shall not, of itself (a) create a presumption that the Indemnitee did not act in good faith and in a manner the Indemnitee reasonably believed to be in or not opposed to the best interests of the Company, or with respect to any criminal Proceeding, had reasonable cause to believe his or her conduct was unlawful or (b) otherwise adversely affect the rights of the Indemnitee to indemnification except as may be provided herein.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Non-Exclusivity of Rights; Survival of Rights; Insurance; Subrogation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The rights provided by this Agreement shall not be deemed exclusive of any other rights to which the Indemnitee may at any time be entitled under applicable law, the Articles, any agreement, a vote of shareholders, a resolution of the Board, or otherwise. No amendment, alteration or repeal of this Agreement or of any provision of this Agreement shall limit or restrict any right of the Indemnitee under this Agreement in respect of any action taken or omitted by the Indemnitee in his or her Corporate Status prior to such amendment, alteration or repeal. To the extent that a change in applicable law, whether by statute or judicial decision, permits greater indemnification than would be afforded under the current Articles and this Agreement, it is the intent of the parties hereto that the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120" w:after="283"/>
        <w:jc w:val="left"/>
        <w:rPr>
          <w:rFonts w:ascii="Times New Roman" w:hAnsi="Times New Roman"/>
          <w:sz w:val="20"/>
        </w:rPr>
      </w:pPr>
      <w:r>
        <w:rPr>
          <w:rFonts w:ascii="Times New Roman" w:hAnsi="Times New Roman"/>
          <w:color w:val="000000"/>
          <w:sz w:val="22"/>
        </w:rPr>
        <w:t>(b) 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the Company shall obtain coverage for the Indemnitee under such policy or policies in accordance with its or their terms to the maximum extent of the coverage available for any other director (if the Indemnitee is a director) or officer (if the Indemnitee is not a director but is an officer) of the Company under such policy or policies. If, at the time of the receipt of a notice of a claim pursuant to the terms of this Agreement, the Company has director and officer liability insurance in effect, the Company shall give notice of the commencement of such proceeding to the insurers in accordance with the procedures set forth in the respective policies. The Company shall thereafter take all commercially reasonable steps to cause such insurers to pay, on behalf of the Indemnitee, all amounts payable as a result of such proceeding in accordance with the terms of such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(c) In the event of any payment under this Agreement, [subject to the exceptions contained in Section 11(d) below,]</w:t>
      </w: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the Company shall be subrogated to the extent of such payment to all of the rights of recovery of the Indemnitee, who shall execute all papers required and take all action necessary to secure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b/>
          <w:color w:val="000000"/>
          <w:sz w:val="20"/>
          <w:u w:val="single"/>
        </w:rPr>
        <w:t>Note to Draft</w:t>
      </w:r>
      <w:r>
        <w:rPr>
          <w:rFonts w:ascii="Times New Roman" w:hAnsi="Times New Roman"/>
          <w:color w:val="000000"/>
          <w:sz w:val="20"/>
        </w:rPr>
        <w:t xml:space="preserve">: This clause will only apply to directors who are separately indemnified by an entity in connection with their appointment to the Board.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such rights, including execution of such documents as are necessary to enable the Company effectively to bring suit to enforce such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(d) [The Company hereby acknowledges that Indemnitee has certain rights to indemnification, advancement of expenses and/or insurance provided by ____________ and/or [their] affiliates (collectively, the “</w:t>
      </w:r>
      <w:r>
        <w:rPr>
          <w:rFonts w:ascii="Times New Roman" w:hAnsi="Times New Roman"/>
          <w:color w:val="000000"/>
          <w:sz w:val="22"/>
          <w:u w:val="single"/>
        </w:rPr>
        <w:t>Designee Indemnitors</w:t>
      </w:r>
      <w:r>
        <w:rPr>
          <w:rFonts w:ascii="Times New Roman" w:hAnsi="Times New Roman"/>
          <w:color w:val="000000"/>
          <w:sz w:val="20"/>
        </w:rPr>
        <w:t>”</w:t>
      </w:r>
      <w:r>
        <w:rPr>
          <w:rFonts w:ascii="Times New Roman" w:hAnsi="Times New Roman"/>
          <w:color w:val="000000"/>
          <w:sz w:val="22"/>
        </w:rPr>
        <w:t>). The Company hereby agrees (i) that it is the indemnitor of first resort vis-à-vis the Designee Indemnitors (i.e., its obligations to Indemnitee are primary and any obligation of the Designee Indemnitors to advance expenses or to provide indemnification for the same expenses or liabilities incurred by Indemnitee are secondary), (ii) that it shall be required to advance the full amount of Expenses incurred by Indemnitee and shall be liable for the full amount of all indemnity amounts to the extent required by the terms of this Agreement and the Articles, without regard to any rights Indemnitee may have against the Designee Indemnitors, and (iii) notwithstanding any other provision in this Agreement or the Articles, that it irrevocably waives, relinquishes and releases the Designee Indemnitors from any and all claims against the Designee Indemnitors for contribution, subrogation or any other recovery of any kind in respect thereof. The Company further agrees that no advancement or payment by the Designee Indemnitors on behalf of Indemnitee with respect to any claim for which Indemnitee has sought indemnification from the Company shall affect the foregoing and the Designee Indemnitors shall have a right of contribution and/or be subrogated to the extent of such advancement or payment to all of the rights of recovery of Indemnitee against the Company. The Designee Indemnitors are express third-party beneficiaries of this Section 11(d).]</w:t>
      </w:r>
      <w:r>
        <w:rPr>
          <w:rFonts w:ascii="Times New Roman" w:hAnsi="Times New Roman"/>
          <w:color w:val="000000"/>
          <w:sz w:val="15"/>
        </w:rPr>
        <w:t>2</w:t>
      </w:r>
    </w:p>
    <w:p>
      <w:pPr>
        <w:pStyle w:val="TextBody"/>
        <w:bidi w:val="0"/>
        <w:spacing w:before="120" w:after="283"/>
        <w:jc w:val="left"/>
        <w:rPr>
          <w:rFonts w:ascii="Times New Roman" w:hAnsi="Times New Roman"/>
          <w:sz w:val="20"/>
        </w:rPr>
      </w:pPr>
      <w:r>
        <w:rPr>
          <w:rFonts w:ascii="Times New Roman" w:hAnsi="Times New Roman"/>
          <w:color w:val="000000"/>
          <w:sz w:val="22"/>
        </w:rPr>
        <w:t>(e) The Company shall not be liable under this Agreement to make any payment of amounts otherwise indemnifiable hereunder if and to the extent that the Indemnitee has otherwise actually received such payment under any insurance policy, contract, agreement or otherwise.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(f) The Company’s obligation to indemnify or advance Expenses hereunder to the Indemnitee who is or was serving at the request of the Company as a director, officer, employee or agent of any other corporation, partnership, joint venture, trust, employee benefit plan or other enterprise shall be reduced by any amount the Indemnitee has actually received as indemnification or advancement of expenses from such other corporation, partnership, joint venture, trust, employee benefit plan or other enterprise.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Expenses to Enforce Agreement</w:t>
      </w:r>
      <w:r>
        <w:rPr>
          <w:rFonts w:ascii="Times New Roman" w:hAnsi="Times New Roman"/>
          <w:color w:val="000000"/>
          <w:sz w:val="22"/>
        </w:rPr>
        <w:t>. In the event that the Indemnitee is subject to or intervenes in any action, suit, or proceeding in which the validity or enforceability of this Agreement is at issue, or to recover damages for breach of, this Agreement, the Indemnitee, if the Indemnitee prevails in whole or in part in such action, suit, or proceeding, shall be entitled to recover from the Company and shall be indemnified by the Company against any Expenses actually and reasonably incurred by the Indemnitee in connection therewith.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Continuation of Indemnity</w:t>
      </w:r>
      <w:r>
        <w:rPr>
          <w:rFonts w:ascii="Times New Roman" w:hAnsi="Times New Roman"/>
          <w:color w:val="000000"/>
          <w:sz w:val="22"/>
        </w:rPr>
        <w:t>. All agreements and obligations of the Company contained herein shall continue during the period the Indemnitee is a director, officer, employee, agent, or trustee of the Company or while a director, officer, employee, agent, or trustee is serving at the request of the Company as a director, officer, employee, agent, or trustee of another corporation or of a partnership, joint venture, trust, or other enterprise, including service with respect to an employee benefit plan, and shall continue thereafter with respect to any possible claims based on the fact that the Indemnitee was a director, officer, employee, agent, or trustee of the Company or was serving at the request of the Company as a director, officer, employee, agent, or trustee of another corporation or of a partnership, joint venture, trust, or other enterprise, including service with respect to an employee benefit plan. This Agreement shall be binding upon all successors and assigns of the Company (including any transferee of all or substantially all of its assets and any successor by merger or operation of law) and shall inure to the benefit of the Indemnitee’s heirs, executors, and administrators.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b/>
          <w:color w:val="000000"/>
          <w:sz w:val="20"/>
          <w:u w:val="single"/>
        </w:rPr>
        <w:t>Note to Draft</w:t>
      </w:r>
      <w:r>
        <w:rPr>
          <w:rFonts w:ascii="Times New Roman" w:hAnsi="Times New Roman"/>
          <w:color w:val="000000"/>
          <w:sz w:val="20"/>
        </w:rPr>
        <w:t xml:space="preserve">: This clause will only apply to directors who are separately indemnified by an entity in connection with their appointment to the Board.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14. </w:t>
      </w:r>
      <w:r>
        <w:rPr>
          <w:rFonts w:ascii="Times New Roman" w:hAnsi="Times New Roman"/>
          <w:color w:val="000000"/>
          <w:sz w:val="22"/>
          <w:u w:val="single"/>
        </w:rPr>
        <w:t>Notification and Defense of Proceeding</w:t>
      </w:r>
      <w:r>
        <w:rPr>
          <w:rFonts w:ascii="Times New Roman" w:hAnsi="Times New Roman"/>
          <w:color w:val="000000"/>
          <w:sz w:val="22"/>
        </w:rPr>
        <w:t>. Promptly after receipt by the Indemnitee of notice of any Proceeding, the Indemnitee shall, if a request for indemnification or an advancement of Expenses in respect thereof is to be made against the Company under this Agreement, notify the Company in writing of the commencement thereof; but the omission so to notify the Company shall not relieve it from any liability that it may have to the Indemnitee unless, and to the extent that, such failure actually and materially prejudices the interests of the Company. Notwithstanding any other provision of this Agreement, with respect to any such Proceeding of which the Indemnitee notifies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(a) The Company shall be entitled to participate therein at its own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(b) Except as otherwise provided in this Section 14(b), to the extent that it may wish, the Company, jointly with any other indemnifying party similarly notified, shall be entitled to assume the defense thereof, with counsel satisfactory to the Indemnitee. After notice from the Company to the Indemnitee of its election so to assume the defense thereof, the Company shall not be liable to the Indemnitee under this Agreement for any expenses of counsel subsequently incurred by the Indemnitee in connection with the defense thereof except as otherwise provided below. The Indemnitee shall have the right to employ the Indemnitee’s own counsel in such Proceeding, but the fees and expenses of such counsel incurred after notice from the Company of its assumption of the defense thereof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such Proceeding, or (iii) the Company shall not within 60 calendar days of receipt of notice from the Indemnitee in fact have employed counsel to assume the defense of the Proceeding, in each of which cases the fees and expenses of the Indemnitee’s counsel shall be at the expense of the Company. The Company shall not be entitled to assume the defense of any Proceeding brought by or on behalf of the Company or as to which the Indemnitee shall have made the conclusion provided for in (ii) above;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(c) Notwithstanding any other provision of this Agreement, the Company shall not be liable to indemnify the Indemnitee under this Agreement for any amounts paid in settlement of any Proceeding effected without the Company’s written consent, or for any judicial or other award, if the Company was not given an opportunity, in accordance with this Section 14, to participate in the defense of such Proceeding. The Company shall not settle any Proceeding in any manner that would impose any penalty or limitation on or disclosure obligation with respect to the Indemnitee, or that would directly or indirectly constitute or impose any admission or acknowledgment of fault or culpability with respect to the Indemnitee, without the Indemnitee’s written consent. Neither the Company nor the Indemnitee shall unreasonably withhold its consent to any proposed settlement.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Advancement of Expenses</w:t>
      </w:r>
      <w:r>
        <w:rPr>
          <w:rFonts w:ascii="Times New Roman" w:hAnsi="Times New Roman"/>
          <w:color w:val="000000"/>
          <w:sz w:val="22"/>
        </w:rPr>
        <w:t>. All Expenses incurred by the Indemnitee in defending any Proceeding described in Sections 4 or 5 shall be paid by the Company in advance of the final disposition of such Proceeding at the request of the Indemnitee. Notwithstanding the foregoing, the Company shall not advance or continue to advance Expenses to the Indemnitee if a determination is reasonably made that the facts known at the time such determination is made demonstrate clearly and convincingly that the Indemnitee acted in bad faith or in a manner that the Indemnitee did not reasonably believe to be in or not opposed to the best interests of the Company, or, with respect to any criminal Proceeding, that the Indemnitee had reasonable cause to believe his or her conduct was unlawful. Such determination shall be made: (i) by the Board by a majority vote of directors who are not parties to such proceeding, whether or not such majority constitutes a quorum; (ii) by a committee of such directors designated by a majority vote of such directors, whether or not such majority constitutes a quorum; or (iii) if there are no such directors, or if such directors so direct, by independent legal counsel in a written opinion to the Board, a copy of which shall be delivered to the Indemnitee. To receive an advancement of Expenses under this Agreement, the Indemnitee shall submit a written request to the Secretary of the Company. Such request shall reasonably evidence the Expenses incurred by the Indemnitee and shall include or be accompanied by an undertaking, by or on behalf of the Indemnitee, to repay all amounts so advanced if it shall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ultimately be determined, by final judicial decision of a court of competent jurisdiction from which there is no further right to appeal, that the Indemnitee is not entitled to be indemnified for such Expenses by the Company as provided by this Agreement or otherwise. The Indemnitee’s undertaking to repay any such amounts is not required to be secured. Each such advancement of Expenses shall be made within 20 calendar days after the receipt by the Secretary of the Company of such written request. The Indemnitee’s entitlement to Expenses under this Agreement shall include those incurred in connection with any action, suit, or proceeding by the Indemnitee pursuant to this Agreement (including the enforcement of this provision) to the extent the court shall determine that the Indemnitee is entitled to an advancement of Expenses hereunder.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16. </w:t>
      </w:r>
      <w:r>
        <w:rPr>
          <w:rFonts w:ascii="Times New Roman" w:hAnsi="Times New Roman"/>
          <w:color w:val="000000"/>
          <w:sz w:val="22"/>
          <w:u w:val="single"/>
        </w:rPr>
        <w:t>Severability; Prior Indemnification Agreements</w:t>
      </w:r>
      <w:r>
        <w:rPr>
          <w:rFonts w:ascii="Times New Roman" w:hAnsi="Times New Roman"/>
          <w:color w:val="000000"/>
          <w:sz w:val="22"/>
        </w:rPr>
        <w:t>. If any provision or provisions of this Agreement shall be held to be invalid, illegal, or unenforceable as applied to any person or entity or circumstance for any reason whatsoever, then, to the fullest extent permitted by law (a) the validity, legality, and enforceability of such provision in any other circumstance and of the remaining provisions of this Agreement (including, without limitation, all portions of any paragraphs of this Agreement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of the parties that the Company provide protection to the Indemnitee to the fullest enforceable extent set forth in this Agreement. This Agreement shall supersede and replace any prior indemnification agreements entered into by and between the Company and the Indemnitee and any such prior agreements shall be terminated upon execution of this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17. </w:t>
      </w:r>
      <w:r>
        <w:rPr>
          <w:rFonts w:ascii="Times New Roman" w:hAnsi="Times New Roman"/>
          <w:color w:val="000000"/>
          <w:sz w:val="22"/>
          <w:u w:val="single"/>
        </w:rPr>
        <w:t>Headings; References; Pronouns</w:t>
      </w:r>
      <w:r>
        <w:rPr>
          <w:rFonts w:ascii="Times New Roman" w:hAnsi="Times New Roman"/>
          <w:color w:val="000000"/>
          <w:sz w:val="22"/>
        </w:rPr>
        <w:t>. The headings of the sections of this Agreement are inserted for convenience only and shall not be deemed to constitute part of this Agreement or to affect the construction thereof. References herein to section numbers are to sections of this Agreement. All pronouns and any variations thereof shall be deemed to refer to the singular or plural as appropriate.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 xml:space="preserve">18. </w:t>
      </w:r>
      <w:r>
        <w:rPr>
          <w:rFonts w:ascii="Times New Roman" w:hAnsi="Times New Roman"/>
          <w:color w:val="000000"/>
          <w:sz w:val="22"/>
          <w:u w:val="single"/>
        </w:rPr>
        <w:t>Other Provisions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This Agreement and all disputes or controversies arising out of or related to this Agreement shall be governed by, and construed in accordance with, the laws of the Cayman Islands, without regard to the laws of any other jurisdiction that might be applied because of conflicts of laws rules , unless, if the Indemnitee is an employee of the Company, otherwise required by the law of the state in which the Indemnitee primarily resides and works. The Company and Indemnitee hereby irrevocably and unconditionally (i) agree that any action or proceeding arising out of or in connection with this Agreement shall be brought only in the courts of the Cayman Islands, and not in any other court in any other country, (ii) generally and unconditionally consent to submit to the exclusive jurisdiction of the courts of the Cayman Islands for purposes of any action or proceeding arising out of or in connection with this Agreement, (iii) waive any objection to the laying of venue of any such action or proceeding in the courts of the Cayman Islands, and (iv) waive, and agree not to plead or to make, any claim that any such action or proceeding brought in the courts of the Cayman Islands has been brought in an improper or inconvenient forum. The foregoing consent to the exclusive jurisdiction of the courts of the Cayman Islands shall not constitute general consent to service of process for any purpose except as provided above, and shall not be deemed to confer rights on any person other than the parties to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 This Agreement may be executed in two or more counterparts, all of which shall be considered one and the same instrument and shall become effective when one or more counterparts have been signed by each of the parties and delivered to the other party.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2"/>
        </w:rPr>
        <w:t>(c) This Agreement shall not be deemed an employment contract between the Company and any Indemnitee who is an officer of the Company, and, if the Indemnitee is an officer of the Company, the Indemnitee specifically acknowledges that the Indemnitee may be discharged at any time for any reason, with or without cause, and with or without severance compensation, except as may be otherwise provided in a separate written contract between the Indemnitee and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(d) This Agreement may not be amended, modified, or supplemented in any manner, whether by course of conduct or otherwise, except by an instrument in writing specifically designated as an amendment hereto, signed on behalf of each party. No failure or delay of either party in exercising any right or remedy hereunder shall operate as a waiver thereof, and no single or partial exercise of any such right or power, or any abandonment or discontinuance of steps to enforce such right or power, or any course of conduct, shall preclude any other or further exercise thereof or the exercise of any other right or power.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2"/>
        </w:rPr>
        <w:t>[(e) A person who is not a party to this Agreement has no right under the Cayman Islands’ Contracts (Rights of Third Parties) Act (as amended) (the “Third Party Rights Act”), to enforce directly any term of this Agreement save that, each Designee Indemnitor may enforce directly its rights pursuant to this Agreement subject to and in accordance with the provisions of the Third Party Rights Act. Notwithstanding any other term of this Agreement, the consent of any person who is not a party to this Agreement (including, without limitation, any Designee Indemnitors) shall not be required for any variation, waiver, assignment, novation, release, rescission, termination or settlement under this Agreement at any time.]</w:t>
      </w:r>
      <w:r>
        <w:rPr>
          <w:rFonts w:ascii="Times New Roman" w:hAnsi="Times New Roman"/>
          <w:color w:val="000000"/>
          <w:sz w:val="15"/>
        </w:rPr>
        <w:t>3</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[The remainder of this page is intentionally left blank.]</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b/>
          <w:color w:val="000000"/>
          <w:sz w:val="20"/>
          <w:u w:val="single"/>
        </w:rPr>
        <w:t>Note to Draft</w:t>
      </w:r>
      <w:r>
        <w:rPr>
          <w:rFonts w:ascii="Times New Roman" w:hAnsi="Times New Roman"/>
          <w:color w:val="000000"/>
          <w:sz w:val="20"/>
        </w:rPr>
        <w:t xml:space="preserve">: This clause will only apply to directors who are separately indemnified by an entity in connection with their appointment to the Board.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IN WITNESS WHEREOF, the Company and the Indemnitee have caused this Agreement to be executed on the date first written above.</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DAMORA THERAPEUTICS, INC.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Indemnitee: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[S</w:t>
      </w:r>
      <w:r>
        <w:rPr>
          <w:rFonts w:ascii="Times New Roman" w:hAnsi="Times New Roman"/>
          <w:color w:val="000000"/>
          <w:sz w:val="17"/>
        </w:rPr>
        <w:t>IGNATURE</w:t>
      </w:r>
      <w:r>
        <w:rPr>
          <w:rFonts w:ascii="Times New Roman" w:hAnsi="Times New Roman"/>
          <w:color w:val="000000"/>
          <w:sz w:val="20"/>
        </w:rPr>
        <w:t xml:space="preserve"> P</w:t>
      </w:r>
      <w:r>
        <w:rPr>
          <w:rFonts w:ascii="Times New Roman" w:hAnsi="Times New Roman"/>
          <w:color w:val="000000"/>
          <w:sz w:val="17"/>
        </w:rPr>
        <w:t>AGE</w:t>
      </w:r>
      <w:r>
        <w:rPr>
          <w:rFonts w:ascii="Times New Roman" w:hAnsi="Times New Roman"/>
          <w:color w:val="000000"/>
          <w:sz w:val="20"/>
        </w:rPr>
        <w:t xml:space="preserve"> T</w:t>
      </w:r>
      <w:r>
        <w:rPr>
          <w:rFonts w:ascii="Times New Roman" w:hAnsi="Times New Roman"/>
          <w:color w:val="000000"/>
          <w:sz w:val="17"/>
        </w:rPr>
        <w:t>O</w:t>
      </w:r>
      <w:r>
        <w:rPr>
          <w:rFonts w:ascii="Times New Roman" w:hAnsi="Times New Roman"/>
          <w:color w:val="000000"/>
          <w:sz w:val="20"/>
        </w:rPr>
        <w:t xml:space="preserve"> I</w:t>
      </w:r>
      <w:r>
        <w:rPr>
          <w:rFonts w:ascii="Times New Roman" w:hAnsi="Times New Roman"/>
          <w:color w:val="000000"/>
          <w:sz w:val="17"/>
        </w:rPr>
        <w:t>NDEMNIFICATION</w:t>
      </w:r>
      <w:r>
        <w:rPr>
          <w:rFonts w:ascii="Times New Roman" w:hAnsi="Times New Roman"/>
          <w:color w:val="000000"/>
          <w:sz w:val="20"/>
        </w:rPr>
        <w:t xml:space="preserve"> A</w:t>
      </w:r>
      <w:r>
        <w:rPr>
          <w:rFonts w:ascii="Times New Roman" w:hAnsi="Times New Roman"/>
          <w:color w:val="000000"/>
          <w:sz w:val="17"/>
        </w:rPr>
        <w:t>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4" w:name="dmra-ex99_1.htm"/>
      <w:bookmarkStart w:id="15" w:name="ksdmraex99_1"/>
      <w:bookmarkEnd w:id="14"/>
      <w:bookmarkEnd w:id="15"/>
      <w:r>
        <w:rPr/>
        <w:t> </w:t>
      </w:r>
      <w:r>
        <w:br w:type="page"/>
      </w:r>
    </w:p>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Damora Announces Redomestication from Delaware to Cayman Islands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BOSTON, July 17, 2026 (GLOBE NEWSWIRE) -- Damora Therapeutics, Inc. (Damora or the Company) (NASDAQ: DMRA), a biotechnology company working to fundamentally redefine care for patients with blood disorders, today announced the completion of the redomestication of the Company from the State of Delaware to the Cayman Islands, effective on July 16, 2026. Each outstanding share of the Delaware Company’s common stock automatically converted into one ordinary share, par value $0.00001 per share, of the Company, and each outstanding share of any series of the Delaware Company’s preferred stock automatically converted into one outstanding share of the corresponding series of the preferred shares of the Company. The redomestication was previously approved by the Company’s board of directors and subsequently approved by the stockholders of the Company at a Special Meeting of Stockholders held on February 9,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Effective on July 20, 2026, the Company’s ordinary shares will trade on Nasdaq under a new CUSIP – G2646Y104. The Company’s ordinary shares will continue to be traded on Nasdaq under the symbol “DMRA”. The redomestication will not result in any change to the Company’s business, management, obligations, assets or liabilities.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Damora Therapeutics</w:t>
      </w:r>
    </w:p>
    <w:p>
      <w:pPr>
        <w:pStyle w:val="TextBody"/>
        <w:bidi w:val="0"/>
        <w:jc w:val="left"/>
        <w:rPr>
          <w:rFonts w:ascii="Times New Roman" w:hAnsi="Times New Roman"/>
          <w:sz w:val="20"/>
        </w:rPr>
      </w:pPr>
      <w:r>
        <w:rPr>
          <w:rFonts w:ascii="Times New Roman" w:hAnsi="Times New Roman"/>
          <w:color w:val="000000"/>
          <w:sz w:val="22"/>
        </w:rPr>
        <w:t xml:space="preserve">Damora Therapeutics is an innovative biotechnology company that aims to fundamentally redefine care for people with hematologic disorders. We are advancing a new generation of biologics to treat mutant calreticulin-driven myeloproliferative neoplasms, including essential thrombocythemia and myelofibrosis, where there is significant medical need for disease-modifying treatments. With multiple programs with best-in-class potential on track to enter clinical development in 2026, our goal is to rapidly bring forward optimized therapies with broad mutation coverage and exceptional convenience to dramatically improve patient outcomes. For more information, visit </w:t>
      </w:r>
      <w:r>
        <w:rPr>
          <w:rFonts w:ascii="Times New Roman" w:hAnsi="Times New Roman"/>
          <w:sz w:val="22"/>
        </w:rPr>
        <w:t>www.damoratx.com</w:t>
      </w:r>
      <w:r>
        <w:rPr>
          <w:rFonts w:ascii="Times New Roman" w:hAnsi="Times New Roman"/>
          <w:color w:val="000000"/>
          <w:sz w:val="20"/>
        </w:rPr>
        <w:t xml:space="preserve"> </w:t>
      </w:r>
      <w:r>
        <w:rPr>
          <w:rFonts w:ascii="Times New Roman" w:hAnsi="Times New Roman"/>
          <w:color w:val="000000"/>
          <w:sz w:val="22"/>
        </w:rPr>
        <w:t>or follow us on LinkedIn.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sz w:val="20"/>
        </w:rPr>
      </w:pPr>
      <w:r>
        <w:rPr>
          <w:rFonts w:ascii="Times New Roman" w:hAnsi="Times New Roman"/>
          <w:color w:val="000000"/>
          <w:sz w:val="22"/>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forward-looking statements include, but are not limited to, express or implied statements relating to the Company’s expectations, hopes, beliefs, intentions or strategies regarding the Company’s assets, pipeline and business and the expected timing of the effectiveness on Nasdaq of a new CUSIP for the Company’s ordinary shares. In addition, any statements that refer to projections, forecasts or other characterizations of future events or circumstances, including any underlying assumptions, are forward-looking statements. These forward-looking statements are based on current expectations and beliefs concerning future developments and their potential effects. There can be no assurance that future developments affecting the Company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uncertainties and factors described under the headings “Risk Factors,” “Cautionary Information Regarding Forward-Looking Statements” or “Cautionary Statement Regarding Forward-Looking Statements” in the Company’s most recent filings with the SEC. Should one or more of these risks or uncertainties materialize, or should any of the Company’s assumptions prove incorrect, actual results may vary in material respects from those projected in these forward-looking statements. Nothing in this press release should be regarded as a representation by any person that the forward-looking statements set forth therein will be achieved or that any of the contemplated results of such forward-looking statements will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be achieved. You should not place undue reliance on forward-looking statements in this press release, which speak only as of the date they are made and are qualified in their entirety by reference to the cautionary statements herein. The Company does not undertake or accept any duty to make any updates or revisions to any forward-looking statements.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Media Contact: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Lia Dangelico</w:t>
      </w:r>
    </w:p>
    <w:p>
      <w:pPr>
        <w:pStyle w:val="TextBody"/>
        <w:bidi w:val="0"/>
        <w:jc w:val="left"/>
        <w:rPr>
          <w:rFonts w:ascii="Times New Roman" w:hAnsi="Times New Roman"/>
          <w:color w:val="000000"/>
          <w:sz w:val="22"/>
        </w:rPr>
      </w:pPr>
      <w:r>
        <w:rPr>
          <w:rFonts w:ascii="Times New Roman" w:hAnsi="Times New Roman"/>
          <w:color w:val="000000"/>
          <w:sz w:val="22"/>
        </w:rPr>
        <w:t>Deerfield Group</w:t>
      </w:r>
    </w:p>
    <w:p>
      <w:pPr>
        <w:pStyle w:val="TextBody"/>
        <w:bidi w:val="0"/>
        <w:jc w:val="left"/>
        <w:rPr>
          <w:rFonts w:ascii="Times New Roman" w:hAnsi="Times New Roman"/>
          <w:color w:val="000000"/>
          <w:sz w:val="22"/>
        </w:rPr>
      </w:pPr>
      <w:r>
        <w:rPr>
          <w:rFonts w:ascii="Times New Roman" w:hAnsi="Times New Roman"/>
          <w:color w:val="000000"/>
          <w:sz w:val="22"/>
        </w:rPr>
        <w:t>lia.dangelico@deerfieldgroup.com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Investor Contact: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Brian Ritchie</w:t>
      </w:r>
    </w:p>
    <w:p>
      <w:pPr>
        <w:pStyle w:val="TextBody"/>
        <w:bidi w:val="0"/>
        <w:jc w:val="left"/>
        <w:rPr>
          <w:rFonts w:ascii="Times New Roman" w:hAnsi="Times New Roman"/>
          <w:color w:val="000000"/>
          <w:sz w:val="22"/>
        </w:rPr>
      </w:pPr>
      <w:r>
        <w:rPr>
          <w:rFonts w:ascii="Times New Roman" w:hAnsi="Times New Roman"/>
          <w:color w:val="000000"/>
          <w:sz w:val="22"/>
        </w:rPr>
        <w:t>LifeSci Advisors</w:t>
      </w:r>
    </w:p>
    <w:p>
      <w:pPr>
        <w:pStyle w:val="TextBody"/>
        <w:bidi w:val="0"/>
        <w:jc w:val="left"/>
        <w:rPr>
          <w:rFonts w:ascii="Times New Roman" w:hAnsi="Times New Roman"/>
          <w:color w:val="000000"/>
          <w:sz w:val="22"/>
        </w:rPr>
      </w:pPr>
      <w:r>
        <w:rPr>
          <w:rFonts w:ascii="Times New Roman" w:hAnsi="Times New Roman"/>
          <w:color w:val="000000"/>
          <w:sz w:val="22"/>
        </w:rPr>
        <w:t>britchie@lifesciadvisors.com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48962</Words>
  <Characters>253630</Characters>
  <CharactersWithSpaces>301877</CharactersWithSpaces>
  <Paragraphs>1557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