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Burkavage Brian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05/01/2026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Damora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DMRA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C/O DAMORA THERAPEUTICS, INC.,</w:t>
      </w:r>
    </w:p>
    <w:p>
      <w:pPr>
        <w:spacing w:after="0" w:line="13" w:lineRule="exact"/>
        <w:rPr>
          <w:sz w:val="24"/>
          <w:szCs w:val="24"/>
          <w:color w:val="auto"/>
        </w:rPr>
      </w:pPr>
    </w:p>
    <w:p>
      <w:pPr>
        <w:ind w:left="140" w:right="1217"/>
        <w:spacing w:after="0" w:line="275" w:lineRule="auto"/>
        <w:rPr>
          <w:sz w:val="20"/>
          <w:szCs w:val="20"/>
          <w:color w:val="auto"/>
        </w:rPr>
      </w:pPr>
      <w:r>
        <w:rPr>
          <w:rFonts w:ascii="Times New Roman" w:cs="Times New Roman" w:eastAsia="Times New Roman" w:hAnsi="Times New Roman"/>
          <w:sz w:val="20"/>
          <w:szCs w:val="20"/>
          <w:color w:val="0000FF"/>
        </w:rPr>
        <w:t>221 CRESCENT ST, BUILDING 23, SUITE 105</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02453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SVP, Finance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12/15/2035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312,535</w:t>
            </w:r>
          </w:p>
        </w:tc>
        <w:tc>
          <w:tcPr>
            <w:tcW w:w="100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32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5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represents a right to purchase shares of common stock of the Issuer. This option will vest as to 25% on December 15, 2026 and in equal monthly installments thereafter through December 15, 2029, subject to the Reporting Person's continued service to the Issuer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Garrett Winslow,</w:t>
            </w:r>
          </w:p>
        </w:tc>
        <w:tc>
          <w:tcPr>
            <w:tcW w:w="6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438"/>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Garrett Winslow, Ryan A. Murr, Branden C. Berns and Melanie Neary, and any of their substitutes, signing singly, as the undersigned’s true and lawful attorney-in-fact to:</w:t>
      </w:r>
    </w:p>
    <w:p>
      <w:pPr>
        <w:spacing w:after="0" w:line="105" w:lineRule="exact"/>
        <w:rPr>
          <w:sz w:val="20"/>
          <w:szCs w:val="20"/>
          <w:color w:val="auto"/>
        </w:rPr>
      </w:pPr>
    </w:p>
    <w:p>
      <w:pPr>
        <w:jc w:val="both"/>
        <w:ind w:left="360" w:hanging="360"/>
        <w:spacing w:after="0" w:line="266" w:lineRule="auto"/>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and/or officer of Damora Therapeutics, Inc. (formerly known as Galecto, Inc., the “Company”),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left="360" w:hanging="360"/>
        <w:spacing w:after="0" w:line="266" w:lineRule="auto"/>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spacing w:after="0" w:line="195" w:lineRule="exact"/>
        <w:rPr>
          <w:rFonts w:ascii="Times New Roman" w:cs="Times New Roman" w:eastAsia="Times New Roman" w:hAnsi="Times New Roman"/>
          <w:sz w:val="20"/>
          <w:szCs w:val="20"/>
          <w:color w:val="auto"/>
        </w:rPr>
      </w:pPr>
    </w:p>
    <w:p>
      <w:pPr>
        <w:jc w:val="both"/>
        <w:ind w:left="360" w:hanging="360"/>
        <w:spacing w:after="0" w:line="261" w:lineRule="auto"/>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ind w:firstLine="802"/>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spacing w:after="0" w:line="120" w:lineRule="exact"/>
        <w:rPr>
          <w:sz w:val="20"/>
          <w:szCs w:val="20"/>
          <w:color w:val="auto"/>
        </w:rPr>
      </w:pPr>
    </w:p>
    <w:p>
      <w:pPr>
        <w:jc w:val="both"/>
        <w:ind w:firstLine="802"/>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or Gibson, Dunn &amp; Crutcher LLP, as applicable.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May 4, 2026.</w:t>
      </w:r>
    </w:p>
    <w:p>
      <w:pPr>
        <w:spacing w:after="0" w:line="200" w:lineRule="exact"/>
        <w:rPr>
          <w:sz w:val="20"/>
          <w:szCs w:val="20"/>
          <w:color w:val="auto"/>
        </w:rPr>
      </w:pPr>
    </w:p>
    <w:p>
      <w:pPr>
        <w:spacing w:after="0" w:line="29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0"/>
          <w:szCs w:val="20"/>
          <w:color w:val="auto"/>
        </w:rPr>
        <w:t>/s/ Brian Burkavage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1464310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4240530</wp:posOffset>
            </wp:positionH>
            <wp:positionV relativeFrom="paragraph">
              <wp:posOffset>171450</wp:posOffset>
            </wp:positionV>
            <wp:extent cx="25634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63495"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5633" TargetMode="External"/><Relationship Id="rId11" Type="http://schemas.openxmlformats.org/officeDocument/2006/relationships/hyperlink" Target="http://www.sec.gov/cgi-bin/browse-edgar?action=getcompany&amp;CIK=0001800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2026-05-08T16:09:05Z</dcterms:created>
  <dcterms:modified xsi:type="dcterms:W3CDTF">2026-05-08T16:09:05Z</dcterms:modified>
</cp:coreProperties>
</file>