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826d8a12ba.htm"/>
      <w:bookmarkStart w:id="1" w:name="ksd135826d8a12b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8-A/A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DAMORA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Cayman Islands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37-1957007</w:t>
            </w:r>
          </w:p>
        </w:tc>
      </w:tr>
      <w:tr>
        <w:trPr/>
        <w:tc>
          <w:tcPr>
            <w:tcW w:w="5154" w:type="dxa"/>
            <w:tcBorders/>
          </w:tcPr>
          <w:p>
            <w:pPr>
              <w:pStyle w:val="TableContents"/>
              <w:bidi w:val="0"/>
              <w:spacing w:before="0" w:after="283"/>
              <w:jc w:val="center"/>
              <w:rPr>
                <w:b/>
              </w:rPr>
            </w:pPr>
            <w:r>
              <w:rPr>
                <w:b/>
              </w:rPr>
              <w:t>(State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221 Crescent Street</w:t>
            </w:r>
          </w:p>
          <w:p>
            <w:pPr>
              <w:pStyle w:val="TableContents"/>
              <w:bidi w:val="0"/>
              <w:spacing w:before="0" w:after="0"/>
              <w:jc w:val="center"/>
              <w:rPr>
                <w:rFonts w:ascii="Times New Roman" w:hAnsi="Times New Roman"/>
                <w:b/>
                <w:sz w:val="20"/>
              </w:rPr>
            </w:pPr>
            <w:r>
              <w:rPr>
                <w:rFonts w:ascii="Times New Roman" w:hAnsi="Times New Roman"/>
                <w:b/>
                <w:sz w:val="20"/>
              </w:rPr>
              <w:t>Building 23, Suite 105</w:t>
            </w:r>
          </w:p>
          <w:p>
            <w:pPr>
              <w:pStyle w:val="TableContents"/>
              <w:bidi w:val="0"/>
              <w:spacing w:before="0" w:after="20"/>
              <w:jc w:val="center"/>
              <w:rPr>
                <w:rFonts w:ascii="Times New Roman" w:hAnsi="Times New Roman"/>
                <w:b/>
                <w:sz w:val="20"/>
              </w:rPr>
            </w:pPr>
            <w:r>
              <w:rPr>
                <w:rFonts w:ascii="Times New Roman" w:hAnsi="Times New Roman"/>
                <w:b/>
                <w:sz w:val="20"/>
              </w:rPr>
              <w:t>Waltham, MA 02453</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02453</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 of each class</w:t>
              <w:br/>
              <w:t>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 of each exchange on which</w:t>
              <w:br/>
              <w:t>each class is to be registered</w:t>
            </w:r>
          </w:p>
        </w:tc>
      </w:tr>
      <w:tr>
        <w:trPr/>
        <w:tc>
          <w:tcPr>
            <w:tcW w:w="5154" w:type="dxa"/>
            <w:tcBorders/>
          </w:tcPr>
          <w:p>
            <w:pPr>
              <w:pStyle w:val="TableContents"/>
              <w:bidi w:val="0"/>
              <w:spacing w:before="0" w:after="283"/>
              <w:jc w:val="center"/>
              <w:rPr>
                <w:b/>
              </w:rPr>
            </w:pPr>
            <w:r>
              <w:rPr>
                <w:b/>
              </w:rPr>
              <w:t>Ordinary Shares, $0.00001 par value per share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Capital Market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to Form 8-A is being filed in connection with the redomestication of Damora Therapeutics, Inc. (the “Company”) from the State of Delaware to the Cayman Islands (the “Redomestication”) pursuant to a plan of conversion, dated July 16, 2026 (the “Plan of Conversion”). The Redomestication became effective on July 16, 2026 and was accomplished by the filing of (i) a Certificate of Conversion with the Secretary of State of the State of Delaware and (ii) the requisite documents required under section 201 of the Companies Act (as amended) of the Cayman Islands (the “Companies Act”), as well as the Cayman Islands memorandum and articles of association of the Company (the “Articles”), with the Cayman Islands Registrar of Companies. </w:t>
      </w:r>
    </w:p>
    <w:p>
      <w:pPr>
        <w:pStyle w:val="TextBody"/>
        <w:bidi w:val="0"/>
        <w:spacing w:before="240" w:after="0"/>
        <w:jc w:val="left"/>
        <w:rPr>
          <w:rFonts w:ascii="Times New Roman" w:hAnsi="Times New Roman"/>
          <w:sz w:val="20"/>
        </w:rPr>
      </w:pPr>
      <w:r>
        <w:rPr>
          <w:rFonts w:ascii="Times New Roman" w:hAnsi="Times New Roman"/>
          <w:sz w:val="20"/>
        </w:rPr>
        <w:t xml:space="preserve">Upon the Redomestication, among other things, each outstanding share of common stock, par value $0.00001 per share, of Damora Therapeutics, Inc. (formerly known as Galecto, Inc.), a corporation formed under the laws of the State of Delaware, automatically converted into one ordinary share, par value $0.00001 per share, of the Company. In connection with the Redomestication and in accordance with Rule 12g-3 under the Exchange Act, the ordinary shares of the Company were deemed to be registered under Section 12(b) of the Exchange Act. The ordinary shares of the Company continue to be listed for trading on the Nasdaq Capital Market under the symbol “DMRA.”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amends the following items, exhibits or other portions of its Form 8-A originally filed on October 23, 2020 with the Securities and Exchange Commission (the “SEC”) regarding the description of ordinary shares as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INFORMATION REQUIRED IN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is a description of certain terms and provisions of the ordinary shares of the Company. The following summary does not purport to be complete, and is subject to, and qualified in its entirety by, the Articles, the Company’s Certificate of Designation of Preferences, Rights and Limitations of Series A Non-Voting Convertible Preferred Shares (the “Series A Certificate of Designation”), the Company’s Certificate of Designation of Preferences, Rights and Limitations of Series B Non-Voting Convertible Preferred Shares (the “Series B Certificate of Designation”), the Company’s Certificate of Designation of Preferences, Rights and Limitations of Series C Non-Voting Convertible Preferred Shares (the “Series C Certificate of Designation”), and the Companies Act. Copies of the Articles, Series A Certificate of Designation, Series B Certificate of Designation, and Series C Certificate of Designation have been filed and incorporated by reference as exhibits herein.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authorized share capital of the Company under the Articles is US$5,100 divided into 500,000,000 “ordinary shares,” having a par value of US$0.00001 per share; and 10,000,000 “preferred shares,” having a par value of US$0.00001 per share. Subject to the rights and restrictions of holders of any series of Series A Preferred Shares (as defined below), Series B Preferred Shares (as defined below), or Series C Preferred Shares (as defined below) specified by the Articles, the Series A Certificate of Designation, Series B Certificate of Designation, or the Series C Certificate of Designation, the Company may increase its authorized share capital through an ordinary resolution. See “</w:t>
      </w:r>
      <w:r>
        <w:rPr>
          <w:rFonts w:ascii="Times New Roman" w:hAnsi="Times New Roman"/>
          <w:i/>
          <w:sz w:val="20"/>
        </w:rPr>
        <w:t>Preferred Shares</w:t>
      </w:r>
      <w:r>
        <w:rPr>
          <w:rFonts w:ascii="Times New Roman" w:hAnsi="Times New Roman"/>
          <w:sz w:val="20"/>
        </w:rPr>
        <w:t xml:space="preserve">” below 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ordinary shares will carry the right to receive notice of, to attend and to vote one vote per ordinary share at any Company general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Structure of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of the Company (the “Board of Directors”) will be divided into three classes: Class I, Class II and Class III. The Board of Directors will be authorized to assign members of the board already in office to such classes in accordance with a resolution or resolutions adopted by the Board of Directors.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resignation, death or removal. The Class I directors shall stand appointed for a term expiring at the Company’s 2027 annual meeting of shareholders, the Class II directors shall stand appointed for a term expiring at the Company’s 2028 annual meeting of shareholders and the Class III directors shall stand appointed for a term expiring at the Company’s 2029 annual meeting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Company shareholders will not have preemptive rights. Thus, if additional ordinary shares are issued, the current holders of ordinary shares will own a proportionately smaller interest in a larger number of outstanding ordinary shares to the extent that they do not participate in the additional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to Shareholders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Companies Act, the Articles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All outstanding ordinary shares will be fully paid and nonassessable. The ordinary shares will not be subject to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that, whenever the capital of the Company is divided into different classes (and as otherwise determined by the Board of Directors) the rights attached to any such class may, subject to any rights or restrictions for the time being attached to any class, only be materially adversely varied or abrogated with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directors may vary the rights attaching to any class without the consent or approval of shareholders; provided that the rights will not, in the determination of the directors, be materially adversely varied or abrogated by such action.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designated a series of preferred shares through the Series A Certificate of Designation: Series A Non-Voting Convertible Preferred Shares (the “Series A Preferred Shares”). Except as otherwise provided for in the Articles, the Series A Preferred Shares will not have voting rights, provided that we may not, without the affirmative vote or written consent of the holders of majority of then outstanding Series A Preferred Shares, among other things, alter or change adversely the power, preferences or rights given to the Series A Preferred Shares, amend the Series A Certificate of Designation, or issue additional shares of Series A Preferred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has designated a series of preferred shares through the Series B Certificate of Designation: Series B Non-Voting Convertible Preferred Shares (the “Series B Preferred Shares”). Except as otherwise provided for in the Articles, the Series B Certificate of Designation or at law, a holder of Series B Preferred Shares will not have voting rights. As long as any Series B Preferred Shares are issued and outstanding, the Company will not, without the affirmative vote of the holders of a simple majority of the then issued and outstanding Series B Preferred Shares: (i) alter or change adversely the powers, preferences or rights given to the Series B Preferred Shares or alter or amend the Series B Certificate of Designation, amend the Articles,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B Preferred Shares, regardless of whether any of the foregoing actions will be by means of amendment to the Articles or by merger, consolidation, recapitalization, reclassification, conversion or otherwise, (ii) issue further Series B Preferred Shares beyond those contemplated for issuance in the Acquisition Agreement (as defined in the Series B Certificate of Designation) or increase or decrease (other than by conversion) the number of authorized Series B Preferred Shares, (iii) at any time while at least 30% of the originally issued Series B Preferred Shares remains issued and outstanding, (A) consummate (I) any Fundamental Transaction (as defined in the Series B Certificate of Designation) or (II)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(B) increase the size of the Board of Directors, (C) adopt, amend or repeal any written delegation of authority policy, corporate authority matrix or similar document, framework or schedule unless such adoption, amendment or repeal has been approved by the unanimous vote of the Board of Directors or (D) retain or replace the Company’s registered independent accounting firm, independent compensation consultant or corporate counsel, or (iv) enter into any agreement with respect to any of the foregoing that does not explicitly require the approval contemplated to consummate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Board has designated a series of preferred shares through the Series C Certificate of Designation: Series C Non-Voting Convertible Preferred Shares (the “Series C Preferred Shares”). Except as otherwise provided for in the Articles, the Series C Certificate of Designation or at law, a holder of Series C Preferred Shares will not have voting rights. As long as any Series C Preferred Shares are issued and outstanding, the Company will not, without the affirmative vote of the holders of a simple majority of the then issued and outstanding Series C Preferred Shares: (i) alter or change adversely the powers, preferences or rights given to the Series C Preferred Shares or alter or amend the Series C Certificate of Designation, amend the Articles,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C Preferred Shares, regardless of whether any of the foregoing actions will be by means of amendment to the Articles or by merger, consolidation, recapitalization, reclassification, conversion or otherwise, (ii) issue further Series C Preferred Shares beyond those contemplated for issuance in the Acquisition Agreement (as defined in the Series C Certificate of Designation) or increase or decrease (other than by conversion) the number of authorized Series C Preferred Shares or (iii) enter into any agreement with respect to any of the foregoing that does not explicitly require the approval contemplated to consummate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Cayman Islands law and the Articles, which are summarized below, may have the effect of delaying, deferring, or discouraging another person from acquiring control of the Company. They are also designed, in part, to encourage persons seeking to acquire control of the Company to negotiate first with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and restrictions of holders of any series of preferred shares to remove directors specified by the Articles or any certificate of designation, any individual director or the Board of Directors may only be removed with cause by a special resolution.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Vacancies on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series of preferred shares, including pursuant to any certificate of designation, any and all vacancies on the Board of Directors, however occurring, including, without limitation, by reason of an increase in the size of the Board of Directors, or resulting from death, resignation, disqualification, or removal, shall be filled solely and exclusively by the affirmative vote of a majority of the remaining directors then in office, even if less than a quorum of the Board of Directors, and not by the shareholders. Any director elected in accordance with the preceding sentence shall hold office for the remainder of the full term of the director for which the vacancy was created or occurred and until such director’s successor shall have been elected and qualified.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there is no statutory right for shareholders to call a general meeting where the articles of association provide for the calling of meetings. Where the articles of association provide for calling of meetings, the ability to convene such a meeting will be governed by the company’s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shareholders may be called, for any purpose as is a proper matter for shareholder action under Cayman Islands law, by the Board of Directors pursuant to a resolution adopted by a simple majority of the voting power of the directors present at a meeting of directors or by unanimous written consent of all directors.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of the holders of any series of preferred shares, general meetings of the Company shareholders may be called only by the Board of Directors, and shall be held at such place, date, and time as they shall determine, and not by any other person or persons. Other than those stated in the Articles, only those matters set forth in the notice of the general meeting may be considered or acted upon at a general meeting of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Vote for Mergers and Other Corporate Reorganizations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a company may merge with another company (wherever incorporated, provided that such merger is not prohibited by the laws of the jurisdiction of incorporation of that company) pursuant to the Companies Act. A merger under Cayman Islands law requires approval by a special resolution of shareholder, which in the context of a general meeting of the Company requires not less than a two-thirds majority of the votes cast by such shareholders attending and voting in person or, where proxies are allowed, by proxy at a quorate general meeting of the Company or the written resolution of all shareholders entitled to vote at such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Cayman Islands exempted company may be acquired through a tender offer by a third party. Where the holders of 90% or more in value of a class of the Company’s shares (excluding any shares already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Islands court order otherwise providing. If the offeror has acquired acceptances of 90% of all the Company’s shares for which the offer is made but does not exercise its “squeeze out” right, then the non-accepting shareholders have no statutory right to require the offeror to acquire their shares on the same terms as the original offer.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Cayman Islands exempted company may also be acquired by a court-approved scheme of arrangement under the Companies Act. A scheme of arrangement with one or more classes of shareholders requires a court order from the Cayman Islands court and the approval of shareholders representing 75% or more by value of the shares of such participating class or series held by the shareholders voting on the scheme of arrangement, in each case at the relevant meeting or meetings. A scheme of arrangement, if authorized by the shareholders of each participating class or series and the court, is binding on all of the shareholders of each participating class or series. Shares held by the acquiring party are effectively excluded from the tally of a vote on the scheme because such shares will be considered to belong to a separate class for the purposes of approving the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Shareholder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Nominations of persons for election to the Board of Directors and the proposal of business to be considered by the shareholders may be made at an annual general meeting of shareholders: (i) brought specifically by or at the direction of the Board of Directors; or (ii) by any shareholder of the Company who was a shareholder of record at the time of giving the shareholders’ notice provided for in the Articles, who is entitled to vote at the meeting and who complied with the notice procedures set forth in Articles. Such notice must be received by the Company not later than the close of business on the ninetieth day and no earlier than the close of business on the one hundred twentieth day prior to the first anniversary of the preceding year’s annual meeting, or in the event the annual general meeting is first convened more than thirty days before or more than sixty days after such anniversary date or if no annual meeting was held in the preceding year, not later than the close of business on the later of the ninetieth day prior to such meeting or the tenth day following the day on which public announcement is first made of the date of such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does not provide for cumulative voting as a mechanism for electing directors and if a Cayman Islands exempted company wants to allow cumulative voting, it must explicitly set out in its articles of association. The Articles do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Articles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Companies Act, the Articles and the rights attaching to the various classes, including pursuant to any certificate of designation, the Company may at any time and from time to time by special resolution alter or amend the articles of association forming a part of the Articles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Other Shareholder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other provisions of Cayman Islands law and the Articles summarized below also have important effects on the rights of shareholders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Inspection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will be open to the inspection of shareholders not being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Appraisal or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that, unless the Company consents in writing to the selection of an alternative forum, the courts of the Cayman Islands shall have exclusive jurisdiction over any claim or dispute arising out of or in connection with the Articles or otherwise related in any way to each member’s shareholding in the Company, including but not limited to: (a) any derivative action or proceeding brought on behalf of the Company; (b) any action asserting a claim of breach of any fiduciary or other duty owed by any current or former director, officer or other employee of the Company to the Company or the members; (c) any action asserting a claim arising pursuant to any provision of the Companies Act or the Articles; or (d) any action asserting a claim against the Company concerning its internal affairs.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Opportunities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In most cases, under Cayman Islands law, the Company will be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the Cayman Islands courts have confirmed the availability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Director and Officer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does not restrict the authority of a Cayman exempted company to indemnify its directors,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The Articles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Articles provide that, to the fullest extent permitted by law, every director (including any alternate director appointed pursuant to the provisions of the Articles),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 </w:t>
      </w:r>
    </w:p>
    <w:p>
      <w:pPr>
        <w:pStyle w:val="TextBody"/>
        <w:bidi w:val="0"/>
        <w:spacing w:before="240" w:after="0"/>
        <w:jc w:val="left"/>
        <w:rPr>
          <w:rFonts w:ascii="Times New Roman" w:hAnsi="Times New Roman"/>
          <w:sz w:val="20"/>
        </w:rPr>
      </w:pPr>
      <w:r>
        <w:rPr>
          <w:rFonts w:ascii="Times New Roman" w:hAnsi="Times New Roman"/>
          <w:sz w:val="20"/>
        </w:rPr>
        <w:t xml:space="preserve">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advancement of expenses conferred on any Indemnified Person as set out above will not be exclusive of any other rights that any Indemnified Person may have or hereafter acquire pursuant to an agreement with the Company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Enforcement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has a different body of securities laws as compared to the United States and may provide less protection to investors. Additionally, Cayman Islands companies may not have standing to sue before the Federal courts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taxes or a fine or penalty, or other charges of a like nature,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serves as the transfer agent and registrar for the Company’s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ordinary shares are listed on the Nasdaq Capital Market under the symbol “DMRA.” The CUSIP assigned to the Company’s ordinary shares is G2646Y104.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to this Registration Statement on Form 8-A/A are incorporated by reference from the documents specified, which have been filed with the SEC.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2"/>
        <w:gridCol w:w="516"/>
        <w:gridCol w:w="8897"/>
      </w:tblGrid>
      <w:tr>
        <w:trPr/>
        <w:tc>
          <w:tcPr>
            <w:tcW w:w="792"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8897" w:type="dxa"/>
            <w:tcBorders/>
            <w:vAlign w:val="center"/>
          </w:tcPr>
          <w:p>
            <w:pPr>
              <w:pStyle w:val="TableContents"/>
              <w:bidi w:val="0"/>
              <w:spacing w:before="0" w:after="283"/>
              <w:jc w:val="left"/>
              <w:rPr>
                <w:sz w:val="4"/>
                <w:szCs w:val="4"/>
              </w:rPr>
            </w:pPr>
            <w:r>
              <w:rPr>
                <w:sz w:val="4"/>
                <w:szCs w:val="4"/>
              </w:rPr>
            </w:r>
          </w:p>
        </w:tc>
      </w:tr>
      <w:tr>
        <w:trPr/>
        <w:tc>
          <w:tcPr>
            <w:tcW w:w="792" w:type="dxa"/>
            <w:tcBorders>
              <w:bottom w:val="single" w:sz="8" w:space="0" w:color="000000"/>
            </w:tcBorders>
            <w:tcMar>
              <w:bottom w:w="28" w:type="dxa"/>
            </w:tcMar>
            <w:vAlign w:val="bottom"/>
          </w:tcPr>
          <w:p>
            <w:pPr>
              <w:pStyle w:val="TableContents"/>
              <w:bidi w:val="0"/>
              <w:spacing w:before="0" w:after="283"/>
              <w:jc w:val="left"/>
              <w:rPr>
                <w:b/>
              </w:rPr>
            </w:pPr>
            <w:r>
              <w:rPr>
                <w:b/>
              </w:rPr>
              <w:t>Exhibit</w:t>
              <w:br/>
              <w:t>No.</w:t>
            </w:r>
          </w:p>
        </w:tc>
        <w:tc>
          <w:tcPr>
            <w:tcW w:w="516" w:type="dxa"/>
            <w:tcBorders/>
            <w:vAlign w:val="bottom"/>
          </w:tcPr>
          <w:p>
            <w:pPr>
              <w:pStyle w:val="TableContents"/>
              <w:bidi w:val="0"/>
              <w:spacing w:before="0" w:after="283"/>
              <w:jc w:val="left"/>
              <w:rPr/>
            </w:pPr>
            <w:r>
              <w:rPr/>
              <w:t>  </w:t>
            </w:r>
          </w:p>
        </w:tc>
        <w:tc>
          <w:tcPr>
            <w:tcW w:w="88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2.1</w:t>
            </w:r>
          </w:p>
        </w:tc>
        <w:tc>
          <w:tcPr>
            <w:tcW w:w="516"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2">
              <w:r>
                <w:rPr>
                  <w:rStyle w:val="InternetLink"/>
                </w:rPr>
                <w:t>Plan of Conversion, dated July 16, 2026 (incorporated by reference to Exhibit 2.1 to Registrant’s Current Report on Form 8-K (File No. 001-39655) filed with the SEC on July 20, 2026).</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3.1</w:t>
            </w:r>
          </w:p>
        </w:tc>
        <w:tc>
          <w:tcPr>
            <w:tcW w:w="516"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3">
              <w:r>
                <w:rPr>
                  <w:rStyle w:val="InternetLink"/>
                </w:rPr>
                <w:t>Memorandum and Articles of Association of Damora Therapeutics, Inc. (incorporated by reference to Exhibit 3.1 to Registrant’s Current Report on Form 8-K (File No. 001-39655) filed with the SEC on July 20, 2026).</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3.2</w:t>
            </w:r>
          </w:p>
        </w:tc>
        <w:tc>
          <w:tcPr>
            <w:tcW w:w="516"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4">
              <w:r>
                <w:rPr>
                  <w:rStyle w:val="InternetLink"/>
                </w:rPr>
                <w:t>Certificate of Designation of Preferences, Rights and Limitations of Series A Non-Voting Convertible Preferred Shares, effective July 16, 2026 (incorporated by reference to Exhibit 3.2 to Registrant’s Current Report on Form 8-K (File No. 001-39655) filed with the SEC on July 20, 2026).</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3.3</w:t>
            </w:r>
          </w:p>
        </w:tc>
        <w:tc>
          <w:tcPr>
            <w:tcW w:w="516"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5">
              <w:r>
                <w:rPr>
                  <w:rStyle w:val="InternetLink"/>
                </w:rPr>
                <w:t>Certificate of Designation of Preferences, Rights and Limitations of Series B Non-Voting Convertible Preferred Shares, effective July 16, 2026 (incorporated by reference to Exhibit 3.3 to Registrant’s Current Report on Form 8-K (File No. 001-39655) filed with the SEC on July 20, 2026).</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3.4</w:t>
            </w:r>
          </w:p>
        </w:tc>
        <w:tc>
          <w:tcPr>
            <w:tcW w:w="516"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6">
              <w:r>
                <w:rPr>
                  <w:rStyle w:val="InternetLink"/>
                </w:rPr>
                <w:t>Certificate of Designation of Preferences, Rights and Limitations of Series C Non-Voting Convertible Preferred Shares, effective July 16, 2026 (incorporated by reference to Exhibit 3.4 to Registrant’s Current Report on Form 8-K (File No. 001-39655) filed with the SEC on July 20, 2026).</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0"/>
        <w:gridCol w:w="108"/>
        <w:gridCol w:w="388"/>
        <w:gridCol w:w="108"/>
        <w:gridCol w:w="365"/>
        <w:gridCol w:w="108"/>
        <w:gridCol w:w="4668"/>
      </w:tblGrid>
      <w:tr>
        <w:trPr/>
        <w:tc>
          <w:tcPr>
            <w:tcW w:w="44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668"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bottom"/>
          </w:tcPr>
          <w:p>
            <w:pPr>
              <w:pStyle w:val="TableContents"/>
              <w:bidi w:val="0"/>
              <w:spacing w:before="0" w:after="283"/>
              <w:jc w:val="left"/>
              <w:rPr/>
            </w:pPr>
            <w:r>
              <w:rPr/>
              <w:t>Dated: August 10, 2026</w:t>
            </w:r>
          </w:p>
        </w:tc>
        <w:tc>
          <w:tcPr>
            <w:tcW w:w="108"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41" w:type="dxa"/>
            <w:gridSpan w:val="3"/>
            <w:tcBorders/>
            <w:vAlign w:val="bottom"/>
          </w:tcPr>
          <w:p>
            <w:pPr>
              <w:pStyle w:val="TableContents"/>
              <w:bidi w:val="0"/>
              <w:spacing w:before="0" w:after="283"/>
              <w:jc w:val="left"/>
              <w:rPr>
                <w:b/>
              </w:rPr>
            </w:pPr>
            <w:r>
              <w:rPr>
                <w:b/>
              </w:rPr>
              <w:t>DAMORA THERAPEUTICS, INC.</w:t>
            </w:r>
          </w:p>
        </w:tc>
      </w:tr>
      <w:tr>
        <w:trPr>
          <w:trHeight w:val="240" w:hRule="atLeast"/>
        </w:trPr>
        <w:tc>
          <w:tcPr>
            <w:tcW w:w="4460"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473" w:type="dxa"/>
            <w:gridSpan w:val="2"/>
            <w:tcBorders/>
            <w:vAlign w:val="center"/>
          </w:tcPr>
          <w:p>
            <w:pPr>
              <w:pStyle w:val="TableContents"/>
              <w:bidi w:val="0"/>
              <w:spacing w:before="0" w:after="283"/>
              <w:jc w:val="left"/>
              <w:rPr>
                <w:sz w:val="4"/>
                <w:szCs w:val="4"/>
              </w:rPr>
            </w:pPr>
            <w:r>
              <w:rPr>
                <w:sz w:val="4"/>
                <w:szCs w:val="4"/>
              </w:rPr>
            </w:r>
          </w:p>
        </w:tc>
        <w:tc>
          <w:tcPr>
            <w:tcW w:w="4776" w:type="dxa"/>
            <w:gridSpan w:val="2"/>
            <w:tcBorders/>
            <w:vAlign w:val="center"/>
          </w:tcPr>
          <w:p>
            <w:pPr>
              <w:pStyle w:val="TableContents"/>
              <w:bidi w:val="0"/>
              <w:spacing w:before="0" w:after="283"/>
              <w:jc w:val="left"/>
              <w:rPr>
                <w:sz w:val="4"/>
                <w:szCs w:val="4"/>
              </w:rPr>
            </w:pPr>
            <w:r>
              <w:rPr>
                <w:sz w:val="4"/>
                <w:szCs w:val="4"/>
              </w:rPr>
            </w:r>
          </w:p>
        </w:tc>
      </w:tr>
      <w:tr>
        <w:trPr/>
        <w:tc>
          <w:tcPr>
            <w:tcW w:w="44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668" w:type="dxa"/>
            <w:tcBorders/>
            <w:vAlign w:val="bottom"/>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Jennifer Jarrett</w:t>
            </w:r>
          </w:p>
        </w:tc>
      </w:tr>
      <w:tr>
        <w:trPr/>
        <w:tc>
          <w:tcPr>
            <w:tcW w:w="44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68" w:type="dxa"/>
            <w:tcBorders/>
            <w:vAlign w:val="bottom"/>
          </w:tcPr>
          <w:p>
            <w:pPr>
              <w:pStyle w:val="TableContents"/>
              <w:bidi w:val="0"/>
              <w:spacing w:before="0" w:after="283"/>
              <w:jc w:val="left"/>
              <w:rPr/>
            </w:pPr>
            <w:r>
              <w:rPr/>
              <w:t>Jennifer Jarrett</w:t>
            </w:r>
          </w:p>
        </w:tc>
      </w:tr>
      <w:tr>
        <w:trPr/>
        <w:tc>
          <w:tcPr>
            <w:tcW w:w="44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68" w:type="dxa"/>
            <w:tcBorders/>
            <w:vAlign w:val="bottom"/>
          </w:tcPr>
          <w:p>
            <w:pPr>
              <w:pStyle w:val="TableContents"/>
              <w:bidi w:val="0"/>
              <w:spacing w:before="0" w:after="283"/>
              <w:jc w:val="left"/>
              <w:rPr/>
            </w:pPr>
            <w:r>
              <w:rPr/>
              <w:t>President and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0315/000119312526308899/dmra-ex2_1.htm" TargetMode="External"/><Relationship Id="rId3" Type="http://schemas.openxmlformats.org/officeDocument/2006/relationships/hyperlink" Target="http://www.sec.gov/Archives/edgar/data/1800315/000119312526308899/dmra-ex3_1.htm" TargetMode="External"/><Relationship Id="rId4" Type="http://schemas.openxmlformats.org/officeDocument/2006/relationships/hyperlink" Target="http://www.sec.gov/Archives/edgar/data/1800315/000119312526308899/dmra-ex3_2.htm" TargetMode="External"/><Relationship Id="rId5" Type="http://schemas.openxmlformats.org/officeDocument/2006/relationships/hyperlink" Target="http://www.sec.gov/Archives/edgar/data/1800315/000119312526308899/dmra-ex3_3.htm" TargetMode="External"/><Relationship Id="rId6" Type="http://schemas.openxmlformats.org/officeDocument/2006/relationships/hyperlink" Target="http://www.sec.gov/Archives/edgar/data/1800315/000119312526308899/dmra-ex3_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5749</Words>
  <Characters>30056</Characters>
  <CharactersWithSpaces>35823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8-A12B/A</dc:title>
</cp:coreProperties>
</file>