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DAMORA THERAPEUTICS,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001-39655</w:t>
            </w:r>
          </w:p>
        </w:tc>
        <w:tc>
          <w:tcPr>
            <w:tcW w:w="290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37-1957007</w:t>
            </w:r>
          </w:p>
        </w:tc>
      </w:tr>
      <w:tr>
        <w:trPr>
          <w:trHeight w:val="148"/>
        </w:trPr>
        <w:tc>
          <w:tcPr>
            <w:tcW w:w="3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3000" w:type="dxa"/>
            <w:vAlign w:val="bottom"/>
          </w:tcPr>
          <w:p>
            <w:pPr>
              <w:spacing w:after="0"/>
              <w:rPr>
                <w:sz w:val="23"/>
                <w:szCs w:val="23"/>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w:t>
            </w:r>
          </w:p>
        </w:tc>
        <w:tc>
          <w:tcPr>
            <w:tcW w:w="2900" w:type="dxa"/>
            <w:vAlign w:val="bottom"/>
          </w:tcPr>
          <w:p>
            <w:pPr>
              <w:spacing w:after="0"/>
              <w:rPr>
                <w:sz w:val="23"/>
                <w:szCs w:val="23"/>
                <w:color w:val="auto"/>
              </w:rPr>
            </w:pPr>
          </w:p>
        </w:tc>
      </w:tr>
      <w:tr>
        <w:trPr>
          <w:trHeight w:val="216"/>
        </w:trPr>
        <w:tc>
          <w:tcPr>
            <w:tcW w:w="30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 23, Suite 105</w:t>
            </w:r>
          </w:p>
        </w:tc>
        <w:tc>
          <w:tcPr>
            <w:tcW w:w="29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2900" w:type="dxa"/>
            <w:vAlign w:val="bottom"/>
          </w:tcPr>
          <w:p>
            <w:pPr>
              <w:spacing w:after="0"/>
              <w:rPr>
                <w:sz w:val="18"/>
                <w:szCs w:val="18"/>
                <w:color w:val="auto"/>
              </w:rPr>
            </w:pPr>
          </w:p>
        </w:tc>
      </w:tr>
      <w:tr>
        <w:trPr>
          <w:trHeight w:val="190"/>
        </w:trPr>
        <w:tc>
          <w:tcPr>
            <w:tcW w:w="3000" w:type="dxa"/>
            <w:vAlign w:val="bottom"/>
          </w:tcPr>
          <w:p>
            <w:pPr>
              <w:spacing w:after="0"/>
              <w:rPr>
                <w:sz w:val="16"/>
                <w:szCs w:val="16"/>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900" w:type="dxa"/>
            <w:vAlign w:val="bottom"/>
          </w:tcPr>
          <w:p>
            <w:pPr>
              <w:spacing w:after="0"/>
              <w:rPr>
                <w:sz w:val="16"/>
                <w:szCs w:val="16"/>
                <w:color w:val="auto"/>
              </w:rPr>
            </w:pPr>
          </w:p>
        </w:tc>
      </w:tr>
      <w:tr>
        <w:trPr>
          <w:trHeight w:val="363"/>
        </w:trPr>
        <w:tc>
          <w:tcPr>
            <w:tcW w:w="3000" w:type="dxa"/>
            <w:vAlign w:val="bottom"/>
          </w:tcPr>
          <w:p>
            <w:pPr>
              <w:spacing w:after="0"/>
              <w:rPr>
                <w:sz w:val="24"/>
                <w:szCs w:val="24"/>
                <w:color w:val="auto"/>
              </w:rPr>
            </w:pPr>
          </w:p>
        </w:tc>
        <w:tc>
          <w:tcPr>
            <w:tcW w:w="5340" w:type="dxa"/>
            <w:vAlign w:val="bottom"/>
          </w:tcPr>
          <w:p>
            <w:pPr>
              <w:jc w:val="right"/>
              <w:ind w:right="2059"/>
              <w:spacing w:after="0"/>
              <w:rPr>
                <w:sz w:val="20"/>
                <w:szCs w:val="20"/>
                <w:color w:val="auto"/>
              </w:rPr>
            </w:pPr>
            <w:r>
              <w:rPr>
                <w:rFonts w:ascii="Times New Roman" w:cs="Times New Roman" w:eastAsia="Times New Roman" w:hAnsi="Times New Roman"/>
                <w:sz w:val="18"/>
                <w:szCs w:val="18"/>
                <w:b w:val="1"/>
                <w:bCs w:val="1"/>
                <w:color w:val="auto"/>
              </w:rPr>
              <w:t>(781) 281-9020</w:t>
            </w:r>
          </w:p>
        </w:tc>
        <w:tc>
          <w:tcPr>
            <w:tcW w:w="2900" w:type="dxa"/>
            <w:vAlign w:val="bottom"/>
          </w:tcPr>
          <w:p>
            <w:pPr>
              <w:spacing w:after="0"/>
              <w:rPr>
                <w:sz w:val="24"/>
                <w:szCs w:val="24"/>
                <w:color w:val="auto"/>
              </w:rPr>
            </w:pPr>
          </w:p>
        </w:tc>
      </w:tr>
      <w:tr>
        <w:trPr>
          <w:trHeight w:val="190"/>
        </w:trPr>
        <w:tc>
          <w:tcPr>
            <w:tcW w:w="3000" w:type="dxa"/>
            <w:vAlign w:val="bottom"/>
          </w:tcPr>
          <w:p>
            <w:pPr>
              <w:spacing w:after="0"/>
              <w:rPr>
                <w:sz w:val="16"/>
                <w:szCs w:val="16"/>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00" w:type="dxa"/>
            <w:vAlign w:val="bottom"/>
          </w:tcPr>
          <w:p>
            <w:pPr>
              <w:spacing w:after="0"/>
              <w:rPr>
                <w:sz w:val="16"/>
                <w:szCs w:val="16"/>
                <w:color w:val="auto"/>
              </w:rPr>
            </w:pPr>
          </w:p>
        </w:tc>
      </w:tr>
      <w:tr>
        <w:trPr>
          <w:trHeight w:val="445"/>
        </w:trPr>
        <w:tc>
          <w:tcPr>
            <w:tcW w:w="3000" w:type="dxa"/>
            <w:vAlign w:val="bottom"/>
          </w:tcPr>
          <w:p>
            <w:pPr>
              <w:spacing w:after="0"/>
              <w:rPr>
                <w:sz w:val="24"/>
                <w:szCs w:val="24"/>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900" w:type="dxa"/>
            <w:vAlign w:val="bottom"/>
          </w:tcPr>
          <w:p>
            <w:pPr>
              <w:spacing w:after="0"/>
              <w:rPr>
                <w:sz w:val="24"/>
                <w:szCs w:val="24"/>
                <w:color w:val="auto"/>
              </w:rPr>
            </w:pPr>
          </w:p>
        </w:tc>
      </w:tr>
      <w:tr>
        <w:trPr>
          <w:trHeight w:val="131"/>
        </w:trPr>
        <w:tc>
          <w:tcPr>
            <w:tcW w:w="3000" w:type="dxa"/>
            <w:vAlign w:val="bottom"/>
            <w:tcBorders>
              <w:bottom w:val="single" w:sz="8" w:color="auto"/>
            </w:tcBorders>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r>
    </w:tbl>
    <w:p>
      <w:pPr>
        <w:spacing w:after="0" w:line="1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DMRA</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4"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500" w:firstLine="749"/>
        <w:spacing w:after="0" w:line="289"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Damora Therapeutics, Inc. (the “Company”) held its 2026 Annual Meeting of Stockholders on June 17, 2026 (the “Annual Meeting”). The following proposals were submitted to the stockholders </w:t>
      </w:r>
      <w:r>
        <w:rPr>
          <w:rFonts w:ascii="Times New Roman" w:cs="Times New Roman" w:eastAsia="Times New Roman" w:hAnsi="Times New Roman"/>
          <w:sz w:val="17"/>
          <w:szCs w:val="17"/>
          <w:color w:val="212529"/>
        </w:rPr>
        <w:t>of the Company</w:t>
      </w:r>
      <w:r>
        <w:rPr>
          <w:rFonts w:ascii="Times New Roman" w:cs="Times New Roman" w:eastAsia="Times New Roman" w:hAnsi="Times New Roman"/>
          <w:sz w:val="17"/>
          <w:szCs w:val="17"/>
          <w:color w:val="auto"/>
        </w:rPr>
        <w:t xml:space="preserve"> at the Annual Meeting, which are described in detail in the the Company’s </w:t>
      </w:r>
      <w:hyperlink r:id="rId15">
        <w:r>
          <w:rPr>
            <w:rFonts w:ascii="Times New Roman" w:cs="Times New Roman" w:eastAsia="Times New Roman" w:hAnsi="Times New Roman"/>
            <w:sz w:val="17"/>
            <w:szCs w:val="17"/>
            <w:u w:val="single" w:color="auto"/>
            <w:color w:val="0000FF"/>
          </w:rPr>
          <w:t>Definitive Proxy Statement on Schedule 14A filed with the Securities and Exchange Commission on April 29, 2026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302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302250" cy="8890"/>
                    </a:xfrm>
                    <a:prstGeom prst="rect">
                      <a:avLst/>
                    </a:prstGeom>
                    <a:noFill/>
                  </pic:spPr>
                </pic:pic>
              </a:graphicData>
            </a:graphic>
          </wp:anchor>
        </w:drawing>
      </w:r>
    </w:p>
    <w:p>
      <w:pPr>
        <w:spacing w:after="0" w:line="138" w:lineRule="exact"/>
        <w:rPr>
          <w:sz w:val="20"/>
          <w:szCs w:val="20"/>
          <w:color w:val="auto"/>
        </w:rPr>
      </w:pPr>
    </w:p>
    <w:p>
      <w:pPr>
        <w:ind w:left="1500" w:right="180" w:hanging="743"/>
        <w:spacing w:after="0" w:line="266"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Michael Landsittel and Cameron Turtle, D.Phil, as Class III members of the Board of Directors (the “Board”), to serve until the Company’s 2029 Annual Meeting of Stockholders and until their successors are duly elected and qualified, or until their earlier death, resignation or removal (the “Election of Directors Proposal”);</w:t>
      </w:r>
    </w:p>
    <w:p>
      <w:pPr>
        <w:spacing w:after="0" w:line="17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paid to the Company’s named executive officers (the “Say-on-Pay Proposal”);</w:t>
      </w:r>
    </w:p>
    <w:p>
      <w:pPr>
        <w:spacing w:after="0" w:line="225"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frequency of future advisory votes to approve the compensation paid to the Company’s named executive officers (the “Say-on-Frequency Proposal”); and</w:t>
      </w:r>
    </w:p>
    <w:p>
      <w:pPr>
        <w:spacing w:after="0" w:line="161" w:lineRule="exact"/>
        <w:rPr>
          <w:rFonts w:ascii="Times New Roman" w:cs="Times New Roman" w:eastAsia="Times New Roman" w:hAnsi="Times New Roman"/>
          <w:sz w:val="18"/>
          <w:szCs w:val="18"/>
          <w:color w:val="auto"/>
        </w:rPr>
      </w:pPr>
    </w:p>
    <w:p>
      <w:pPr>
        <w:ind w:left="1500" w:right="4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the Company’s independent registered public accounting firm for the fiscal year ending December 31, 2026 (the “Ratification of Auditor Proposal”).</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There were 60,303,212 shares of Common Stock outstanding and entitled to vote on April 22, 2026, the record date for the Annual Meeting, and 55,009,938 shares of Common Stock were represented in person or by proxy at the Annual Meeting, which number constituted a quorum.</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At the Annual Meeting, each of the Company’s director nominees was elected, a frequency of one year received the plurality of votes cast on the Say-on-Frequency Proposal and the other proposals voted on were approved. The final voting results regarding each proposal are set forth below.</w:t>
      </w:r>
    </w:p>
    <w:p>
      <w:pPr>
        <w:spacing w:after="0" w:line="266"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 Proposal</w:t>
      </w:r>
      <w:r>
        <w:rPr>
          <w:rFonts w:ascii="Times New Roman" w:cs="Times New Roman" w:eastAsia="Times New Roman" w:hAnsi="Times New Roman"/>
          <w:sz w:val="18"/>
          <w:szCs w:val="18"/>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Michael Landsittel</w:t>
            </w:r>
          </w:p>
        </w:tc>
        <w:tc>
          <w:tcPr>
            <w:tcW w:w="120" w:type="dxa"/>
            <w:vAlign w:val="bottom"/>
            <w:vMerge w:val="continue"/>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51,403,541</w:t>
            </w:r>
          </w:p>
        </w:tc>
        <w:tc>
          <w:tcPr>
            <w:tcW w:w="140" w:type="dxa"/>
            <w:vAlign w:val="bottom"/>
            <w:vMerge w:val="continue"/>
          </w:tcPr>
          <w:p>
            <w:pPr>
              <w:spacing w:after="0"/>
              <w:rPr>
                <w:sz w:val="16"/>
                <w:szCs w:val="16"/>
                <w:color w:val="auto"/>
              </w:rPr>
            </w:pPr>
          </w:p>
        </w:tc>
        <w:tc>
          <w:tcPr>
            <w:tcW w:w="2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29,011</w:t>
            </w:r>
          </w:p>
        </w:tc>
        <w:tc>
          <w:tcPr>
            <w:tcW w:w="120" w:type="dxa"/>
            <w:vAlign w:val="bottom"/>
            <w:vMerge w:val="continue"/>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3,577,386</w:t>
            </w:r>
          </w:p>
        </w:tc>
        <w:tc>
          <w:tcPr>
            <w:tcW w:w="0" w:type="dxa"/>
            <w:vAlign w:val="bottom"/>
          </w:tcPr>
          <w:p>
            <w:pPr>
              <w:spacing w:after="0"/>
              <w:rPr>
                <w:sz w:val="1"/>
                <w:szCs w:val="1"/>
                <w:color w:val="auto"/>
              </w:rPr>
            </w:pP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Cameron Turtle, D.Phil</w:t>
            </w:r>
          </w:p>
        </w:tc>
        <w:tc>
          <w:tcPr>
            <w:tcW w:w="2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51,403,540</w:t>
            </w: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29,012</w:t>
            </w:r>
          </w:p>
        </w:tc>
        <w:tc>
          <w:tcPr>
            <w:tcW w:w="2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3,577,386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Say-on-Pay Proposal</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0" w:type="dxa"/>
            <w:vAlign w:val="bottom"/>
          </w:tcPr>
          <w:p>
            <w:pPr>
              <w:spacing w:after="0"/>
              <w:rPr>
                <w:sz w:val="16"/>
                <w:szCs w:val="16"/>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51,401,988</w:t>
            </w:r>
          </w:p>
        </w:tc>
        <w:tc>
          <w:tcPr>
            <w:tcW w:w="120" w:type="dxa"/>
            <w:vAlign w:val="bottom"/>
            <w:vMerge w:val="continue"/>
          </w:tcPr>
          <w:p>
            <w:pPr>
              <w:spacing w:after="0"/>
              <w:rPr>
                <w:sz w:val="19"/>
                <w:szCs w:val="19"/>
                <w:color w:val="auto"/>
              </w:rPr>
            </w:pPr>
          </w:p>
        </w:tc>
        <w:tc>
          <w:tcPr>
            <w:tcW w:w="270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3,546</w:t>
            </w:r>
          </w:p>
        </w:tc>
        <w:tc>
          <w:tcPr>
            <w:tcW w:w="140" w:type="dxa"/>
            <w:vAlign w:val="bottom"/>
            <w:vMerge w:val="continue"/>
          </w:tcPr>
          <w:p>
            <w:pPr>
              <w:spacing w:after="0"/>
              <w:rPr>
                <w:sz w:val="19"/>
                <w:szCs w:val="19"/>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27,018</w:t>
            </w:r>
          </w:p>
        </w:tc>
        <w:tc>
          <w:tcPr>
            <w:tcW w:w="120" w:type="dxa"/>
            <w:vAlign w:val="bottom"/>
            <w:vMerge w:val="continue"/>
          </w:tcPr>
          <w:p>
            <w:pPr>
              <w:spacing w:after="0"/>
              <w:rPr>
                <w:sz w:val="19"/>
                <w:szCs w:val="19"/>
                <w:color w:val="auto"/>
              </w:rPr>
            </w:pPr>
          </w:p>
        </w:tc>
        <w:tc>
          <w:tcPr>
            <w:tcW w:w="26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3,577,386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Say-on-Frequency Proposal</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4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50,913,167</w:t>
            </w:r>
          </w:p>
        </w:tc>
        <w:tc>
          <w:tcPr>
            <w:tcW w:w="120" w:type="dxa"/>
            <w:vAlign w:val="bottom"/>
            <w:vMerge w:val="continue"/>
          </w:tcPr>
          <w:p>
            <w:pPr>
              <w:spacing w:after="0"/>
              <w:rPr>
                <w:sz w:val="19"/>
                <w:szCs w:val="19"/>
                <w:color w:val="auto"/>
              </w:rPr>
            </w:pPr>
          </w:p>
        </w:tc>
        <w:tc>
          <w:tcPr>
            <w:tcW w:w="270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vMerge w:val="continue"/>
          </w:tcPr>
          <w:p>
            <w:pPr>
              <w:spacing w:after="0"/>
              <w:rPr>
                <w:sz w:val="19"/>
                <w:szCs w:val="19"/>
                <w:color w:val="auto"/>
              </w:rPr>
            </w:pPr>
          </w:p>
        </w:tc>
        <w:tc>
          <w:tcPr>
            <w:tcW w:w="278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rPr>
              <w:t>518,015</w:t>
            </w:r>
          </w:p>
        </w:tc>
        <w:tc>
          <w:tcPr>
            <w:tcW w:w="120" w:type="dxa"/>
            <w:vAlign w:val="bottom"/>
            <w:vMerge w:val="continue"/>
          </w:tcPr>
          <w:p>
            <w:pPr>
              <w:spacing w:after="0"/>
              <w:rPr>
                <w:sz w:val="19"/>
                <w:szCs w:val="19"/>
                <w:color w:val="auto"/>
              </w:rPr>
            </w:pPr>
          </w:p>
        </w:tc>
        <w:tc>
          <w:tcPr>
            <w:tcW w:w="268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In light of these voting results and in accordance with its prior recommendation, the Board has determined that the Company will hold future Say-on-Pay votes every year until the next required Say-on-Frequency vote.</w:t>
      </w:r>
    </w:p>
    <w:p>
      <w:pPr>
        <w:spacing w:after="0" w:line="266"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Auditor Proposal</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0" w:type="dxa"/>
            <w:vAlign w:val="bottom"/>
          </w:tcPr>
          <w:p>
            <w:pPr>
              <w:spacing w:after="0"/>
              <w:rPr>
                <w:sz w:val="16"/>
                <w:szCs w:val="16"/>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0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54,977,317</w:t>
            </w:r>
          </w:p>
        </w:tc>
        <w:tc>
          <w:tcPr>
            <w:tcW w:w="120" w:type="dxa"/>
            <w:vAlign w:val="bottom"/>
            <w:vMerge w:val="continue"/>
          </w:tcPr>
          <w:p>
            <w:pPr>
              <w:spacing w:after="0"/>
              <w:rPr>
                <w:sz w:val="19"/>
                <w:szCs w:val="19"/>
                <w:color w:val="auto"/>
              </w:rPr>
            </w:pPr>
          </w:p>
        </w:tc>
        <w:tc>
          <w:tcPr>
            <w:tcW w:w="270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5,640</w:t>
            </w:r>
          </w:p>
        </w:tc>
        <w:tc>
          <w:tcPr>
            <w:tcW w:w="140" w:type="dxa"/>
            <w:vAlign w:val="bottom"/>
            <w:vMerge w:val="continue"/>
          </w:tcPr>
          <w:p>
            <w:pPr>
              <w:spacing w:after="0"/>
              <w:rPr>
                <w:sz w:val="19"/>
                <w:szCs w:val="19"/>
                <w:color w:val="auto"/>
              </w:rPr>
            </w:pPr>
          </w:p>
        </w:tc>
        <w:tc>
          <w:tcPr>
            <w:tcW w:w="2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26,981</w:t>
            </w:r>
          </w:p>
        </w:tc>
        <w:tc>
          <w:tcPr>
            <w:tcW w:w="120" w:type="dxa"/>
            <w:vAlign w:val="bottom"/>
            <w:vMerge w:val="continue"/>
          </w:tcPr>
          <w:p>
            <w:pPr>
              <w:spacing w:after="0"/>
              <w:rPr>
                <w:sz w:val="19"/>
                <w:szCs w:val="19"/>
                <w:color w:val="auto"/>
              </w:rPr>
            </w:pPr>
          </w:p>
        </w:tc>
        <w:tc>
          <w:tcPr>
            <w:tcW w:w="268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7"/>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Jennifer Jarrett</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5" Type="http://schemas.openxmlformats.org/officeDocument/2006/relationships/hyperlink" Target="https://www.sec.gov/ix?doc=/Archives/edgar/data/0001800315/000119312526191429/dmra-202604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2026-06-17T15:03:47Z</dcterms:created>
  <dcterms:modified xsi:type="dcterms:W3CDTF">2026-06-17T15:03:47Z</dcterms:modified>
</cp:coreProperties>
</file>