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4"/>
          <w:szCs w:val="4"/>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690245</wp:posOffset>
                </wp:positionV>
                <wp:extent cx="694944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944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54.35pt" to="601.2pt,54.3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685800</wp:posOffset>
                </wp:positionH>
                <wp:positionV relativeFrom="page">
                  <wp:posOffset>709295</wp:posOffset>
                </wp:positionV>
                <wp:extent cx="694944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944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55.85pt" to="601.2pt,55.85pt" o:allowincell="f" strokecolor="#000000" strokeweight="0.75pt">
                <w10:wrap anchorx="page" anchory="page"/>
              </v:line>
            </w:pict>
          </mc:Fallback>
        </mc:AlternateContent>
        <w: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57785</wp:posOffset>
                </wp:positionV>
                <wp:extent cx="146304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30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55pt" to="331.2pt,4.55pt" o:allowincell="f" strokecolor="#000000" strokeweight="1pt"/>
            </w:pict>
          </mc:Fallback>
        </mc:AlternateConten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89535</wp:posOffset>
                </wp:positionV>
                <wp:extent cx="146304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30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7.05pt" to="331.2pt,7.05pt" o:allowincell="f" strokecolor="#000000" strokeweight="1pt"/>
            </w:pict>
          </mc:Fallback>
        </mc:AlternateContent>
      </w:r>
    </w:p>
    <w:p>
      <w:pPr>
        <w:spacing w:after="0" w:line="1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 w:lineRule="exact"/>
        <w:rPr>
          <w:sz w:val="24"/>
          <w:szCs w:val="24"/>
          <w:color w:val="auto"/>
        </w:rPr>
      </w:pPr>
    </w:p>
    <w:p>
      <w:pPr>
        <w:ind w:left="460" w:hanging="446"/>
        <w:spacing w:after="0"/>
        <w:tabs>
          <w:tab w:leader="none" w:pos="460" w:val="left"/>
        </w:tabs>
        <w:numPr>
          <w:ilvl w:val="0"/>
          <w:numId w:val="1"/>
        </w:numPr>
        <w:rPr>
          <w:rFonts w:ascii="Segoe UI" w:cs="Segoe UI" w:eastAsia="Segoe UI" w:hAnsi="Segoe UI"/>
          <w:sz w:val="19"/>
          <w:szCs w:val="19"/>
          <w:b w:val="1"/>
          <w:bCs w:val="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62" w:lineRule="exact"/>
        <w:rPr>
          <w:sz w:val="24"/>
          <w:szCs w:val="24"/>
          <w:color w:val="auto"/>
        </w:rPr>
      </w:pPr>
    </w:p>
    <w:p>
      <w:pPr>
        <w:ind w:left="460" w:hanging="446"/>
        <w:spacing w:after="0"/>
        <w:tabs>
          <w:tab w:leader="none" w:pos="460" w:val="left"/>
        </w:tabs>
        <w:numPr>
          <w:ilvl w:val="0"/>
          <w:numId w:val="2"/>
        </w:numPr>
        <w:rPr>
          <w:rFonts w:ascii="Segoe UI" w:cs="Segoe UI" w:eastAsia="Segoe UI" w:hAnsi="Segoe UI"/>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w:t>
      </w:r>
    </w:p>
    <w:p>
      <w:pPr>
        <w:spacing w:after="0" w:line="9" w:lineRule="exact"/>
        <w:rPr>
          <w:sz w:val="24"/>
          <w:szCs w:val="24"/>
          <w:color w:val="auto"/>
        </w:rPr>
      </w:pPr>
    </w:p>
    <w:p>
      <w:pPr>
        <w:ind w:left="460"/>
        <w:spacing w:after="0"/>
        <w:tabs>
          <w:tab w:leader="none" w:pos="5240" w:val="left"/>
        </w:tabs>
        <w:rPr>
          <w:sz w:val="20"/>
          <w:szCs w:val="20"/>
          <w:color w:val="auto"/>
        </w:rPr>
      </w:pPr>
      <w:r>
        <w:rPr>
          <w:rFonts w:ascii="Times New Roman" w:cs="Times New Roman" w:eastAsia="Times New Roman" w:hAnsi="Times New Roman"/>
          <w:sz w:val="19"/>
          <w:szCs w:val="19"/>
          <w:b w:val="1"/>
          <w:bCs w:val="1"/>
          <w:color w:val="auto"/>
        </w:rPr>
        <w:t>THE TRANSITION PERIOD FROM</w:t>
      </w:r>
      <w:r>
        <w:rPr>
          <w:sz w:val="20"/>
          <w:szCs w:val="20"/>
          <w:color w:val="auto"/>
        </w:rPr>
        <w:tab/>
      </w:r>
      <w:r>
        <w:rPr>
          <w:rFonts w:ascii="Times New Roman" w:cs="Times New Roman" w:eastAsia="Times New Roman" w:hAnsi="Times New Roman"/>
          <w:sz w:val="20"/>
          <w:szCs w:val="20"/>
          <w:b w:val="1"/>
          <w:bCs w:val="1"/>
          <w:color w:val="auto"/>
        </w:rPr>
        <w:t>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001-39655</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75565</wp:posOffset>
                </wp:positionV>
                <wp:extent cx="146304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30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95pt" to="331.2pt,5.95pt" o:allowincell="f" strokecolor="#000000" strokeweight="1pt"/>
            </w:pict>
          </mc:Fallback>
        </mc:AlternateConten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DAMORA THERAPEUTICS, INC.</w:t>
      </w:r>
    </w:p>
    <w:p>
      <w:pPr>
        <w:sectPr>
          <w:pgSz w:w="12960" w:h="17280" w:orient="portrait"/>
          <w:cols w:equalWidth="0" w:num="1">
            <w:col w:w="10940"/>
          </w:cols>
          <w:pgMar w:left="1080" w:top="1201" w:right="940"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57785</wp:posOffset>
                </wp:positionV>
                <wp:extent cx="146304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30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55pt" to="331.2pt,4.55pt" o:allowincell="f" strokecolor="#000000" strokeweight="1pt"/>
            </w:pict>
          </mc:Fallback>
        </mc:AlternateContent>
      </w:r>
    </w:p>
    <w:p>
      <w:pPr>
        <w:spacing w:after="0" w:line="130"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6"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9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37-1957007</w:t>
      </w:r>
    </w:p>
    <w:p>
      <w:pPr>
        <w:spacing w:after="0" w:line="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89" w:lineRule="exact"/>
        <w:rPr>
          <w:sz w:val="24"/>
          <w:szCs w:val="24"/>
          <w:color w:val="auto"/>
        </w:rPr>
      </w:pPr>
    </w:p>
    <w:p>
      <w:pPr>
        <w:sectPr>
          <w:pgSz w:w="12960" w:h="17280" w:orient="portrait"/>
          <w:cols w:equalWidth="0" w:num="2">
            <w:col w:w="7520" w:space="140"/>
            <w:col w:w="3280"/>
          </w:cols>
          <w:pgMar w:left="1080" w:top="1201" w:right="940"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8"/>
          <w:szCs w:val="18"/>
          <w:b w:val="1"/>
          <w:bCs w:val="1"/>
          <w:color w:val="auto"/>
        </w:rPr>
        <w:t>221 Crescent Street</w:t>
      </w:r>
    </w:p>
    <w:p>
      <w:pPr>
        <w:spacing w:after="0" w:line="28" w:lineRule="exact"/>
        <w:rPr>
          <w:sz w:val="24"/>
          <w:szCs w:val="24"/>
          <w:color w:val="auto"/>
        </w:rPr>
      </w:pPr>
    </w:p>
    <w:p>
      <w:pPr>
        <w:ind w:left="1900"/>
        <w:spacing w:after="0"/>
        <w:tabs>
          <w:tab w:leader="none" w:pos="7960" w:val="left"/>
        </w:tabs>
        <w:rPr>
          <w:sz w:val="20"/>
          <w:szCs w:val="20"/>
          <w:color w:val="auto"/>
        </w:rPr>
      </w:pPr>
      <w:r>
        <w:rPr>
          <w:rFonts w:ascii="Times New Roman" w:cs="Times New Roman" w:eastAsia="Times New Roman" w:hAnsi="Times New Roman"/>
          <w:sz w:val="18"/>
          <w:szCs w:val="18"/>
          <w:b w:val="1"/>
          <w:bCs w:val="1"/>
          <w:color w:val="auto"/>
        </w:rPr>
        <w:t>Building 23, Suite 105</w:t>
      </w:r>
      <w:r>
        <w:rPr>
          <w:sz w:val="20"/>
          <w:szCs w:val="20"/>
          <w:color w:val="auto"/>
        </w:rPr>
        <w:tab/>
      </w:r>
      <w:r>
        <w:rPr>
          <w:rFonts w:ascii="Times New Roman" w:cs="Times New Roman" w:eastAsia="Times New Roman" w:hAnsi="Times New Roman"/>
          <w:sz w:val="18"/>
          <w:szCs w:val="18"/>
          <w:b w:val="1"/>
          <w:bCs w:val="1"/>
          <w:color w:val="auto"/>
        </w:rPr>
        <w:t>02109</w:t>
      </w:r>
    </w:p>
    <w:p>
      <w:pPr>
        <w:ind w:left="1940"/>
        <w:spacing w:after="0" w:line="237" w:lineRule="auto"/>
        <w:rPr>
          <w:sz w:val="20"/>
          <w:szCs w:val="20"/>
          <w:color w:val="auto"/>
        </w:rPr>
      </w:pPr>
      <w:r>
        <w:rPr>
          <w:rFonts w:ascii="Times New Roman" w:cs="Times New Roman" w:eastAsia="Times New Roman" w:hAnsi="Times New Roman"/>
          <w:sz w:val="18"/>
          <w:szCs w:val="18"/>
          <w:b w:val="1"/>
          <w:bCs w:val="1"/>
          <w:color w:val="auto"/>
        </w:rPr>
        <w:t>Waltham, MA 02453</w:t>
      </w:r>
    </w:p>
    <w:p>
      <w:pPr>
        <w:spacing w:after="0" w:line="1" w:lineRule="exact"/>
        <w:rPr>
          <w:sz w:val="24"/>
          <w:szCs w:val="24"/>
          <w:color w:val="auto"/>
        </w:rPr>
      </w:pPr>
    </w:p>
    <w:p>
      <w:pPr>
        <w:ind w:left="1580"/>
        <w:spacing w:after="0"/>
        <w:tabs>
          <w:tab w:leader="none" w:pos="786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281-9020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75565</wp:posOffset>
                </wp:positionV>
                <wp:extent cx="146304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30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95pt" to="331.2pt,5.95pt" o:allowincell="f" strokecolor="#000000" strokeweight="1pt"/>
            </w:pict>
          </mc:Fallback>
        </mc:AlternateConten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0"/>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0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03"/>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$0.00001 per share</w:t>
            </w: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DMRA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Capital Market</w:t>
            </w: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80" w:type="dxa"/>
            <w:vAlign w:val="bottom"/>
          </w:tcPr>
          <w:p>
            <w:pPr>
              <w:spacing w:after="0"/>
              <w:rPr>
                <w:sz w:val="19"/>
                <w:szCs w:val="19"/>
                <w:color w:val="auto"/>
              </w:rPr>
            </w:pPr>
          </w:p>
        </w:tc>
      </w:tr>
    </w:tbl>
    <w:p>
      <w:pPr>
        <w:spacing w:after="0" w:line="16" w:lineRule="exact"/>
        <w:rPr>
          <w:sz w:val="24"/>
          <w:szCs w:val="24"/>
          <w:color w:val="auto"/>
        </w:rPr>
      </w:pPr>
    </w:p>
    <w:p>
      <w:pPr>
        <w:ind w:right="2460"/>
        <w:spacing w:after="0" w:line="299"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ն</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Segoe UI" w:cs="Segoe UI" w:eastAsia="Segoe UI" w:hAnsi="Segoe UI"/>
          <w:sz w:val="16"/>
          <w:szCs w:val="16"/>
          <w:color w:val="auto"/>
        </w:rPr>
        <w:t>ն</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շ</w:t>
      </w:r>
    </w:p>
    <w:p>
      <w:pPr>
        <w:spacing w:after="0" w:line="2" w:lineRule="exact"/>
        <w:rPr>
          <w:sz w:val="24"/>
          <w:szCs w:val="24"/>
          <w:color w:val="auto"/>
        </w:rPr>
      </w:pPr>
    </w:p>
    <w:p>
      <w:pPr>
        <w:ind w:right="220"/>
        <w:spacing w:after="0" w:line="23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rPr>
          <w:sz w:val="20"/>
          <w:szCs w:val="20"/>
          <w:color w:val="auto"/>
        </w:rPr>
      </w:pPr>
      <w:r>
        <w:rPr>
          <w:rFonts w:ascii="Times New Roman" w:cs="Times New Roman" w:eastAsia="Times New Roman" w:hAnsi="Times New Roman"/>
          <w:sz w:val="16"/>
          <w:szCs w:val="16"/>
          <w:color w:val="auto"/>
        </w:rPr>
        <w:t xml:space="preserve">days. YES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ն</w:t>
      </w:r>
    </w:p>
    <w:p>
      <w:pPr>
        <w:spacing w:after="0" w:line="37" w:lineRule="exact"/>
        <w:rPr>
          <w:sz w:val="24"/>
          <w:szCs w:val="24"/>
          <w:color w:val="auto"/>
        </w:rPr>
      </w:pPr>
    </w:p>
    <w:p>
      <w:pPr>
        <w:ind w:right="240"/>
        <w:spacing w:after="0" w:line="24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ն</w:t>
      </w:r>
    </w:p>
    <w:p>
      <w:pPr>
        <w:spacing w:after="0" w:line="1" w:lineRule="exact"/>
        <w:rPr>
          <w:sz w:val="24"/>
          <w:szCs w:val="24"/>
          <w:color w:val="auto"/>
        </w:rPr>
      </w:pPr>
    </w:p>
    <w:p>
      <w:pPr>
        <w:ind w:right="160"/>
        <w:spacing w:after="0" w:line="23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500" w:type="dxa"/>
            <w:vAlign w:val="bottom"/>
          </w:tcPr>
          <w:p>
            <w:pPr>
              <w:ind w:left="340"/>
              <w:spacing w:after="0"/>
              <w:rPr>
                <w:sz w:val="20"/>
                <w:szCs w:val="20"/>
                <w:color w:val="auto"/>
              </w:rPr>
            </w:pPr>
            <w:r>
              <w:rPr>
                <w:rFonts w:ascii="Segoe UI" w:cs="Segoe UI" w:eastAsia="Segoe UI" w:hAnsi="Segoe UI"/>
                <w:sz w:val="17"/>
                <w:szCs w:val="17"/>
                <w:color w:val="auto"/>
              </w:rPr>
              <w:t>ն</w:t>
            </w:r>
          </w:p>
        </w:tc>
        <w:tc>
          <w:tcPr>
            <w:tcW w:w="5120" w:type="dxa"/>
            <w:vAlign w:val="bottom"/>
          </w:tcPr>
          <w:p>
            <w:pPr>
              <w:ind w:left="3020"/>
              <w:spacing w:after="0"/>
              <w:rPr>
                <w:sz w:val="20"/>
                <w:szCs w:val="20"/>
                <w:color w:val="auto"/>
              </w:rPr>
            </w:pPr>
            <w:r>
              <w:rPr>
                <w:rFonts w:ascii="Times New Roman" w:cs="Times New Roman" w:eastAsia="Times New Roman" w:hAnsi="Times New Roman"/>
                <w:sz w:val="17"/>
                <w:szCs w:val="17"/>
                <w:color w:val="auto"/>
              </w:rPr>
              <w:t>Accelerated filer</w:t>
            </w:r>
          </w:p>
        </w:tc>
        <w:tc>
          <w:tcPr>
            <w:tcW w:w="380" w:type="dxa"/>
            <w:vAlign w:val="bottom"/>
          </w:tcPr>
          <w:p>
            <w:pPr>
              <w:ind w:left="240"/>
              <w:spacing w:after="0"/>
              <w:rPr>
                <w:sz w:val="20"/>
                <w:szCs w:val="20"/>
                <w:color w:val="auto"/>
              </w:rPr>
            </w:pPr>
            <w:r>
              <w:rPr>
                <w:rFonts w:ascii="Segoe UI" w:cs="Segoe UI" w:eastAsia="Segoe UI" w:hAnsi="Segoe UI"/>
                <w:sz w:val="17"/>
                <w:szCs w:val="17"/>
                <w:color w:val="auto"/>
              </w:rPr>
              <w:t>ն</w:t>
            </w:r>
          </w:p>
        </w:tc>
      </w:tr>
      <w:tr>
        <w:trPr>
          <w:trHeight w:val="285"/>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500" w:type="dxa"/>
            <w:vAlign w:val="bottom"/>
          </w:tcPr>
          <w:p>
            <w:pPr>
              <w:ind w:left="340"/>
              <w:spacing w:after="0"/>
              <w:rPr>
                <w:sz w:val="20"/>
                <w:szCs w:val="20"/>
                <w:color w:val="auto"/>
              </w:rPr>
            </w:pPr>
            <w:r>
              <w:rPr>
                <w:rFonts w:ascii="Segoe UI" w:cs="Segoe UI" w:eastAsia="Segoe UI" w:hAnsi="Segoe UI"/>
                <w:sz w:val="16"/>
                <w:szCs w:val="16"/>
                <w:color w:val="auto"/>
              </w:rPr>
              <w:t>շ</w:t>
            </w:r>
          </w:p>
        </w:tc>
        <w:tc>
          <w:tcPr>
            <w:tcW w:w="5120" w:type="dxa"/>
            <w:vAlign w:val="bottom"/>
          </w:tcPr>
          <w:p>
            <w:pPr>
              <w:ind w:left="30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80" w:type="dxa"/>
            <w:vAlign w:val="bottom"/>
          </w:tcPr>
          <w:p>
            <w:pPr>
              <w:ind w:left="240"/>
              <w:spacing w:after="0"/>
              <w:rPr>
                <w:sz w:val="20"/>
                <w:szCs w:val="20"/>
                <w:color w:val="auto"/>
              </w:rPr>
            </w:pPr>
            <w:r>
              <w:rPr>
                <w:rFonts w:ascii="Segoe UI" w:cs="Segoe UI" w:eastAsia="Segoe UI" w:hAnsi="Segoe UI"/>
                <w:sz w:val="16"/>
                <w:szCs w:val="16"/>
                <w:color w:val="auto"/>
              </w:rPr>
              <w:t>շ</w:t>
            </w:r>
          </w:p>
        </w:tc>
      </w:tr>
      <w:tr>
        <w:trPr>
          <w:trHeight w:val="302"/>
        </w:trPr>
        <w:tc>
          <w:tcPr>
            <w:tcW w:w="18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120" w:type="dxa"/>
            <w:vAlign w:val="bottom"/>
          </w:tcPr>
          <w:p>
            <w:pPr>
              <w:ind w:left="3020"/>
              <w:spacing w:after="0"/>
              <w:rPr>
                <w:sz w:val="20"/>
                <w:szCs w:val="20"/>
                <w:color w:val="auto"/>
              </w:rPr>
            </w:pPr>
            <w:r>
              <w:rPr>
                <w:rFonts w:ascii="Times New Roman" w:cs="Times New Roman" w:eastAsia="Times New Roman" w:hAnsi="Times New Roman"/>
                <w:sz w:val="17"/>
                <w:szCs w:val="17"/>
                <w:color w:val="auto"/>
              </w:rPr>
              <w:t>Emerging growth company</w:t>
            </w:r>
          </w:p>
        </w:tc>
        <w:tc>
          <w:tcPr>
            <w:tcW w:w="380" w:type="dxa"/>
            <w:vAlign w:val="bottom"/>
          </w:tcPr>
          <w:p>
            <w:pPr>
              <w:ind w:left="240"/>
              <w:spacing w:after="0"/>
              <w:rPr>
                <w:sz w:val="20"/>
                <w:szCs w:val="20"/>
                <w:color w:val="auto"/>
              </w:rPr>
            </w:pPr>
            <w:r>
              <w:rPr>
                <w:rFonts w:ascii="Segoe UI" w:cs="Segoe UI" w:eastAsia="Segoe UI" w:hAnsi="Segoe UI"/>
                <w:sz w:val="17"/>
                <w:szCs w:val="17"/>
                <w:color w:val="auto"/>
              </w:rPr>
              <w:t>ն</w:t>
            </w:r>
          </w:p>
        </w:tc>
      </w:tr>
    </w:tbl>
    <w:p>
      <w:pPr>
        <w:spacing w:after="0" w:line="5" w:lineRule="exact"/>
        <w:rPr>
          <w:sz w:val="24"/>
          <w:szCs w:val="24"/>
          <w:color w:val="auto"/>
        </w:rPr>
      </w:pPr>
    </w:p>
    <w:p>
      <w:pPr>
        <w:ind w:right="400"/>
        <w:spacing w:after="0" w:line="266"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auto"/>
        </w:rPr>
        <w:t>ն</w:t>
      </w:r>
    </w:p>
    <w:p>
      <w:pPr>
        <w:ind w:right="40"/>
        <w:spacing w:after="0" w:line="26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6"/>
          <w:szCs w:val="16"/>
          <w:color w:val="auto"/>
        </w:rPr>
        <w:t>ն</w:t>
      </w:r>
    </w:p>
    <w:p>
      <w:pPr>
        <w:spacing w:after="0" w:line="1"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auto"/>
        </w:rPr>
        <w:t>ն</w:t>
      </w:r>
    </w:p>
    <w:p>
      <w:pPr>
        <w:spacing w:after="0" w:line="1" w:lineRule="exact"/>
        <w:rPr>
          <w:sz w:val="24"/>
          <w:szCs w:val="24"/>
          <w:color w:val="auto"/>
        </w:rPr>
      </w:pPr>
    </w:p>
    <w:p>
      <w:pPr>
        <w:ind w:right="160"/>
        <w:spacing w:after="0" w:line="268"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auto"/>
        </w:rPr>
        <w:t>ն</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Segoe UI" w:cs="Segoe UI" w:eastAsia="Segoe UI" w:hAnsi="Segoe UI"/>
          <w:sz w:val="16"/>
          <w:szCs w:val="16"/>
          <w:color w:val="auto"/>
        </w:rPr>
        <w:t>ն</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շ</w:t>
      </w:r>
    </w:p>
    <w:p>
      <w:pPr>
        <w:spacing w:after="0" w:line="64" w:lineRule="exact"/>
        <w:rPr>
          <w:sz w:val="24"/>
          <w:szCs w:val="24"/>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based on the closing price of the shares of the registrant’s common stock on the Nasdaq Capital Market on June 30, 2025, the last business day of the registrant’s most recently completed second fiscal quarter, was $4.4 million.</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as of March 17, 2026 was 60,303,212.</w:t>
      </w:r>
    </w:p>
    <w:p>
      <w:pPr>
        <w:spacing w:after="0" w:line="6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37" w:lineRule="exact"/>
        <w:rPr>
          <w:sz w:val="24"/>
          <w:szCs w:val="24"/>
          <w:color w:val="auto"/>
        </w:rPr>
      </w:pPr>
    </w:p>
    <w:p>
      <w:pPr>
        <w:ind w:right="60"/>
        <w:spacing w:after="0" w:line="245" w:lineRule="auto"/>
        <w:rPr>
          <w:sz w:val="20"/>
          <w:szCs w:val="20"/>
          <w:color w:val="auto"/>
        </w:rPr>
      </w:pPr>
      <w:r>
        <w:rPr>
          <w:rFonts w:ascii="Times New Roman" w:cs="Times New Roman" w:eastAsia="Times New Roman" w:hAnsi="Times New Roman"/>
          <w:sz w:val="16"/>
          <w:szCs w:val="16"/>
          <w:color w:val="auto"/>
        </w:rPr>
        <w:t>The registrant intends to file a definitive proxy statement pursuant to Regulation 14A relating to the registrant’s 2026 Annual Meeting of Stockholders within 120 days of the end of the registrant’s fiscal year ended December 31, 2025. Portions of such definitive proxy statement are incorporated by reference into Part III of this Annual Report on Form 10-K to the extent stated herein.</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94615</wp:posOffset>
                </wp:positionV>
                <wp:extent cx="694944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944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45pt" to="547.2pt,7.4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113665</wp:posOffset>
                </wp:positionV>
                <wp:extent cx="694944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944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95pt" to="547.2pt,8.95pt" o:allowincell="f" strokecolor="#000000" strokeweight="0.75pt"/>
            </w:pict>
          </mc:Fallback>
        </mc:AlternateContent>
      </w:r>
    </w:p>
    <w:p>
      <w:pPr>
        <w:sectPr>
          <w:pgSz w:w="12960" w:h="17280" w:orient="portrait"/>
          <w:cols w:equalWidth="0" w:num="1">
            <w:col w:w="10940"/>
          </w:cols>
          <w:pgMar w:left="1080" w:top="1201" w:right="9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960" w:type="dxa"/>
            <w:vAlign w:val="bottom"/>
          </w:tcPr>
          <w:p>
            <w:pPr>
              <w:spacing w:after="0"/>
              <w:rPr>
                <w:sz w:val="23"/>
                <w:szCs w:val="23"/>
                <w:color w:val="auto"/>
              </w:rPr>
            </w:pPr>
          </w:p>
        </w:tc>
        <w:tc>
          <w:tcPr>
            <w:tcW w:w="9060" w:type="dxa"/>
            <w:vAlign w:val="bottom"/>
          </w:tcPr>
          <w:p>
            <w:pPr>
              <w:ind w:left="36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9060" w:type="dxa"/>
            <w:vAlign w:val="bottom"/>
          </w:tcPr>
          <w:p>
            <w:pPr>
              <w:spacing w:after="0"/>
              <w:rPr>
                <w:sz w:val="24"/>
                <w:szCs w:val="24"/>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26"/>
        </w:trPr>
        <w:tc>
          <w:tcPr>
            <w:tcW w:w="960" w:type="dxa"/>
            <w:vAlign w:val="bottom"/>
            <w:vMerge w:val="continue"/>
          </w:tcPr>
          <w:p>
            <w:pPr>
              <w:spacing w:after="0"/>
              <w:rPr>
                <w:sz w:val="19"/>
                <w:szCs w:val="19"/>
                <w:color w:val="auto"/>
              </w:rPr>
            </w:pPr>
          </w:p>
        </w:tc>
        <w:tc>
          <w:tcPr>
            <w:tcW w:w="9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Business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1A.</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Risk Factors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36</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1B.</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70</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1C.</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Cybersecurity</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70</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2.</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Properties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71</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3.</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Legal Proceedings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72</w:t>
            </w:r>
          </w:p>
        </w:tc>
        <w:tc>
          <w:tcPr>
            <w:tcW w:w="0" w:type="dxa"/>
            <w:vAlign w:val="bottom"/>
          </w:tcPr>
          <w:p>
            <w:pPr>
              <w:spacing w:after="0"/>
              <w:rPr>
                <w:sz w:val="1"/>
                <w:szCs w:val="1"/>
                <w:color w:val="auto"/>
              </w:rPr>
            </w:pPr>
          </w:p>
        </w:tc>
      </w:tr>
      <w:tr>
        <w:trPr>
          <w:trHeight w:val="266"/>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4.</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Mine Safety Disclosures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72</w:t>
            </w:r>
          </w:p>
        </w:tc>
        <w:tc>
          <w:tcPr>
            <w:tcW w:w="0" w:type="dxa"/>
            <w:vAlign w:val="bottom"/>
          </w:tcPr>
          <w:p>
            <w:pPr>
              <w:spacing w:after="0"/>
              <w:rPr>
                <w:sz w:val="1"/>
                <w:szCs w:val="1"/>
                <w:color w:val="auto"/>
              </w:rPr>
            </w:pPr>
          </w:p>
        </w:tc>
      </w:tr>
      <w:tr>
        <w:trPr>
          <w:trHeight w:val="469"/>
        </w:trPr>
        <w:tc>
          <w:tcPr>
            <w:tcW w:w="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9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5.</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Securities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73</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6.</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Reserved</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73</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7.</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74</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7A.</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85</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8.</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85</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85</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9A.</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Controls and Procedures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85</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9B.</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Information</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86</w:t>
            </w:r>
          </w:p>
        </w:tc>
        <w:tc>
          <w:tcPr>
            <w:tcW w:w="0" w:type="dxa"/>
            <w:vAlign w:val="bottom"/>
          </w:tcPr>
          <w:p>
            <w:pPr>
              <w:spacing w:after="0"/>
              <w:rPr>
                <w:sz w:val="1"/>
                <w:szCs w:val="1"/>
                <w:color w:val="auto"/>
              </w:rPr>
            </w:pPr>
          </w:p>
        </w:tc>
      </w:tr>
      <w:tr>
        <w:trPr>
          <w:trHeight w:val="266"/>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9C.</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86</w:t>
            </w:r>
          </w:p>
        </w:tc>
        <w:tc>
          <w:tcPr>
            <w:tcW w:w="0" w:type="dxa"/>
            <w:vAlign w:val="bottom"/>
          </w:tcPr>
          <w:p>
            <w:pPr>
              <w:spacing w:after="0"/>
              <w:rPr>
                <w:sz w:val="1"/>
                <w:szCs w:val="1"/>
                <w:color w:val="auto"/>
              </w:rPr>
            </w:pPr>
          </w:p>
        </w:tc>
      </w:tr>
      <w:tr>
        <w:trPr>
          <w:trHeight w:val="469"/>
        </w:trPr>
        <w:tc>
          <w:tcPr>
            <w:tcW w:w="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9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10.</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87</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11.</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Executive Compensation</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87</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12.</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87</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13.</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87</w:t>
            </w:r>
          </w:p>
        </w:tc>
        <w:tc>
          <w:tcPr>
            <w:tcW w:w="0" w:type="dxa"/>
            <w:vAlign w:val="bottom"/>
          </w:tcPr>
          <w:p>
            <w:pPr>
              <w:spacing w:after="0"/>
              <w:rPr>
                <w:sz w:val="1"/>
                <w:szCs w:val="1"/>
                <w:color w:val="auto"/>
              </w:rPr>
            </w:pPr>
          </w:p>
        </w:tc>
      </w:tr>
      <w:tr>
        <w:trPr>
          <w:trHeight w:val="266"/>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14.</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87</w:t>
            </w:r>
          </w:p>
        </w:tc>
        <w:tc>
          <w:tcPr>
            <w:tcW w:w="0" w:type="dxa"/>
            <w:vAlign w:val="bottom"/>
          </w:tcPr>
          <w:p>
            <w:pPr>
              <w:spacing w:after="0"/>
              <w:rPr>
                <w:sz w:val="1"/>
                <w:szCs w:val="1"/>
                <w:color w:val="auto"/>
              </w:rPr>
            </w:pPr>
          </w:p>
        </w:tc>
      </w:tr>
      <w:tr>
        <w:trPr>
          <w:trHeight w:val="469"/>
        </w:trPr>
        <w:tc>
          <w:tcPr>
            <w:tcW w:w="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9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15.</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Exhibits, Financial Statement Schedules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88</w:t>
            </w:r>
          </w:p>
        </w:tc>
        <w:tc>
          <w:tcPr>
            <w:tcW w:w="0" w:type="dxa"/>
            <w:vAlign w:val="bottom"/>
          </w:tcPr>
          <w:p>
            <w:pPr>
              <w:spacing w:after="0"/>
              <w:rPr>
                <w:sz w:val="1"/>
                <w:szCs w:val="1"/>
                <w:color w:val="auto"/>
              </w:rPr>
            </w:pPr>
          </w:p>
        </w:tc>
      </w:tr>
      <w:tr>
        <w:trPr>
          <w:trHeight w:val="266"/>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16</w:t>
            </w:r>
          </w:p>
        </w:tc>
        <w:tc>
          <w:tcPr>
            <w:tcW w:w="9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10-K Summary</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-4667885</wp:posOffset>
            </wp:positionV>
            <wp:extent cx="6849110" cy="4657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extLst>
                    </a:blip>
                    <a:srcRect/>
                    <a:stretch>
                      <a:fillRect/>
                    </a:stretch>
                  </pic:blipFill>
                  <pic:spPr bwMode="auto">
                    <a:xfrm>
                      <a:off x="0" y="0"/>
                      <a:ext cx="6849110" cy="4657725"/>
                    </a:xfrm>
                    <a:prstGeom prst="rect">
                      <a:avLst/>
                    </a:prstGeom>
                    <a:noFill/>
                  </pic:spPr>
                </pic:pic>
              </a:graphicData>
            </a:graphic>
          </wp:anchor>
        </w:drawing>
      </w:r>
    </w:p>
    <w:p>
      <w:pPr>
        <w:sectPr>
          <w:pgSz w:w="12960" w:h="17280" w:orient="portrait"/>
          <w:cols w:equalWidth="0" w:num="1">
            <w:col w:w="10780"/>
          </w:cols>
          <w:pgMar w:left="1100" w:top="1416"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2960" w:h="17280" w:orient="portrait"/>
          <w:cols w:equalWidth="0" w:num="1">
            <w:col w:w="10780"/>
          </w:cols>
          <w:pgMar w:left="1100" w:top="1416" w:right="1080" w:bottom="895" w:gutter="0" w:footer="0" w:header="0"/>
          <w:type w:val="continuous"/>
        </w:sectPr>
      </w:pPr>
    </w:p>
    <w:bookmarkStart w:id="2" w:name="page3"/>
    <w:bookmarkEnd w:id="2"/>
    <w:p>
      <w:pPr>
        <w:ind w:left="2580"/>
        <w:spacing w:after="0"/>
        <w:rPr>
          <w:sz w:val="20"/>
          <w:szCs w:val="20"/>
          <w:color w:val="auto"/>
        </w:rPr>
      </w:pPr>
      <w:r>
        <w:rPr>
          <w:rFonts w:ascii="Times New Roman" w:cs="Times New Roman" w:eastAsia="Times New Roman" w:hAnsi="Times New Roman"/>
          <w:sz w:val="20"/>
          <w:szCs w:val="20"/>
          <w:b w:val="1"/>
          <w:bCs w:val="1"/>
          <w:color w:val="auto"/>
        </w:rPr>
        <w:t>Summary of Material Risks Associated with Our Business</w:t>
      </w:r>
    </w:p>
    <w:p>
      <w:pPr>
        <w:spacing w:after="0" w:line="124" w:lineRule="exact"/>
        <w:rPr>
          <w:sz w:val="20"/>
          <w:szCs w:val="20"/>
          <w:color w:val="auto"/>
        </w:rPr>
      </w:pPr>
    </w:p>
    <w:p>
      <w:pPr>
        <w:ind w:left="20" w:right="40" w:firstLine="490"/>
        <w:spacing w:after="0" w:line="277" w:lineRule="auto"/>
        <w:rPr>
          <w:sz w:val="20"/>
          <w:szCs w:val="20"/>
          <w:color w:val="auto"/>
        </w:rPr>
      </w:pPr>
      <w:r>
        <w:rPr>
          <w:rFonts w:ascii="Times New Roman" w:cs="Times New Roman" w:eastAsia="Times New Roman" w:hAnsi="Times New Roman"/>
          <w:sz w:val="20"/>
          <w:szCs w:val="20"/>
          <w:color w:val="auto"/>
        </w:rPr>
        <w:t>Our business is subject to numerous material and other risks and uncertainties that you should be aware of in evaluating our business. These risks include, but are not limited to, the following:</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Limited Operating History, Financial Position and Capital Requirements</w:t>
      </w:r>
    </w:p>
    <w:p>
      <w:pPr>
        <w:spacing w:after="0" w:line="134" w:lineRule="exact"/>
        <w:rPr>
          <w:sz w:val="20"/>
          <w:szCs w:val="20"/>
          <w:color w:val="auto"/>
        </w:rPr>
      </w:pPr>
    </w:p>
    <w:p>
      <w:pPr>
        <w:ind w:left="1360" w:right="920" w:hanging="496"/>
        <w:spacing w:after="0" w:line="276" w:lineRule="auto"/>
        <w:tabs>
          <w:tab w:leader="none" w:pos="136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There is no guarantee that our acquisition of Pre-Acquisition Damora in November 2025 will increase stockholder value.</w:t>
      </w:r>
    </w:p>
    <w:p>
      <w:pPr>
        <w:spacing w:after="0" w:line="64" w:lineRule="exact"/>
        <w:rPr>
          <w:rFonts w:ascii="Arial" w:cs="Arial" w:eastAsia="Arial" w:hAnsi="Arial"/>
          <w:sz w:val="20"/>
          <w:szCs w:val="20"/>
          <w:color w:val="auto"/>
        </w:rPr>
      </w:pPr>
    </w:p>
    <w:p>
      <w:pPr>
        <w:ind w:left="1360" w:right="240" w:hanging="496"/>
        <w:spacing w:after="0" w:line="258" w:lineRule="auto"/>
        <w:tabs>
          <w:tab w:leader="none" w:pos="136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are a preclinical stage biotechnology company with a limited operating history on which to assess our business; we have no products that have been administered to humans or approved for commercial sale, which may make it difficult to evaluate our current business and likelihood of success and viability.</w:t>
      </w:r>
    </w:p>
    <w:p>
      <w:pPr>
        <w:spacing w:after="0" w:line="81" w:lineRule="exact"/>
        <w:rPr>
          <w:rFonts w:ascii="Arial" w:cs="Arial" w:eastAsia="Arial" w:hAnsi="Arial"/>
          <w:sz w:val="20"/>
          <w:szCs w:val="20"/>
          <w:color w:val="auto"/>
        </w:rPr>
      </w:pPr>
    </w:p>
    <w:p>
      <w:pPr>
        <w:jc w:val="both"/>
        <w:ind w:left="1360" w:right="360" w:hanging="496"/>
        <w:spacing w:after="0" w:line="258" w:lineRule="auto"/>
        <w:tabs>
          <w:tab w:leader="none" w:pos="136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will require substantial additional capital to finance our operations in the future. If we are unable to raise such capital when needed, or on acceptable terms, we may be forced to delay, reduce and/or eliminate one or more of our research programs or future commercialization efforts.</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Discovery, Development and Commercialization</w:t>
      </w:r>
    </w:p>
    <w:p>
      <w:pPr>
        <w:spacing w:after="0" w:line="134" w:lineRule="exact"/>
        <w:rPr>
          <w:sz w:val="20"/>
          <w:szCs w:val="20"/>
          <w:color w:val="auto"/>
        </w:rPr>
      </w:pPr>
    </w:p>
    <w:p>
      <w:pPr>
        <w:ind w:left="1360" w:right="560" w:hanging="496"/>
        <w:spacing w:after="0" w:line="276" w:lineRule="auto"/>
        <w:tabs>
          <w:tab w:leader="none" w:pos="1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face competition from entities that have developed or may develop product candidates for the diseases addressed by our product candidates.</w:t>
      </w:r>
    </w:p>
    <w:p>
      <w:pPr>
        <w:spacing w:after="0" w:line="64" w:lineRule="exact"/>
        <w:rPr>
          <w:rFonts w:ascii="Arial" w:cs="Arial" w:eastAsia="Arial" w:hAnsi="Arial"/>
          <w:sz w:val="20"/>
          <w:szCs w:val="20"/>
          <w:color w:val="auto"/>
        </w:rPr>
      </w:pPr>
    </w:p>
    <w:p>
      <w:pPr>
        <w:ind w:left="1360" w:right="200" w:hanging="496"/>
        <w:spacing w:after="0" w:line="252" w:lineRule="auto"/>
        <w:tabs>
          <w:tab w:leader="none" w:pos="1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programs are in the preclinical stages of development and may fail in development or suffer delays that materially and adversely affect our viability. If we or our current or future collaborators are unable to complete development of or commercialize our product candidates, or experience significant delays in doing so, our business will be materially harmed.</w:t>
      </w:r>
    </w:p>
    <w:p>
      <w:pPr>
        <w:spacing w:after="0" w:line="87" w:lineRule="exact"/>
        <w:rPr>
          <w:rFonts w:ascii="Arial" w:cs="Arial" w:eastAsia="Arial" w:hAnsi="Arial"/>
          <w:sz w:val="20"/>
          <w:szCs w:val="20"/>
          <w:color w:val="auto"/>
        </w:rPr>
      </w:pPr>
    </w:p>
    <w:p>
      <w:pPr>
        <w:ind w:left="1360" w:right="420" w:hanging="496"/>
        <w:spacing w:after="0" w:line="276" w:lineRule="auto"/>
        <w:tabs>
          <w:tab w:leader="none" w:pos="1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substantially dependent on the success of DMR-001, and our anticipated future clinical trials of such product candidate may not be successful.</w:t>
      </w:r>
    </w:p>
    <w:p>
      <w:pPr>
        <w:spacing w:after="0" w:line="64" w:lineRule="exact"/>
        <w:rPr>
          <w:rFonts w:ascii="Arial" w:cs="Arial" w:eastAsia="Arial" w:hAnsi="Arial"/>
          <w:sz w:val="20"/>
          <w:szCs w:val="20"/>
          <w:color w:val="auto"/>
        </w:rPr>
      </w:pPr>
    </w:p>
    <w:p>
      <w:pPr>
        <w:ind w:left="1360" w:right="440" w:hanging="496"/>
        <w:spacing w:after="0" w:line="258" w:lineRule="auto"/>
        <w:tabs>
          <w:tab w:leader="none" w:pos="1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If we do not achieve our projected development objectives in the time frames we announce and expect, the commercialization of our product candidates may be delayed which may harm our reputation and prospects, increase our expenses and cause our stock price to decline.</w:t>
      </w:r>
    </w:p>
    <w:p>
      <w:pPr>
        <w:spacing w:after="0" w:line="81" w:lineRule="exact"/>
        <w:rPr>
          <w:rFonts w:ascii="Arial" w:cs="Arial" w:eastAsia="Arial" w:hAnsi="Arial"/>
          <w:sz w:val="20"/>
          <w:szCs w:val="20"/>
          <w:color w:val="auto"/>
        </w:rPr>
      </w:pPr>
    </w:p>
    <w:p>
      <w:pPr>
        <w:ind w:left="1360" w:right="40" w:hanging="496"/>
        <w:spacing w:after="0" w:line="249" w:lineRule="auto"/>
        <w:tabs>
          <w:tab w:leader="none" w:pos="1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Preclinical and clinical development involves a lengthy and expensive process that is subject to delays and with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Reliance on Third Parties</w:t>
      </w:r>
    </w:p>
    <w:p>
      <w:pPr>
        <w:spacing w:after="0" w:line="134" w:lineRule="exact"/>
        <w:rPr>
          <w:sz w:val="20"/>
          <w:szCs w:val="20"/>
          <w:color w:val="auto"/>
        </w:rPr>
      </w:pPr>
    </w:p>
    <w:p>
      <w:pPr>
        <w:jc w:val="both"/>
        <w:ind w:left="1360" w:right="120" w:hanging="496"/>
        <w:spacing w:after="0" w:line="258" w:lineRule="auto"/>
        <w:tabs>
          <w:tab w:leader="none" w:pos="136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rely on collaborations and licensing arrangements with third parties, including Paragon. If we are unable to maintain these collaborations or licensing arrangements, or if these collaborations or licensing arrangements are not successful, our business could be negatively impacted.</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 and Operations</w:t>
      </w:r>
    </w:p>
    <w:p>
      <w:pPr>
        <w:spacing w:after="0" w:line="134" w:lineRule="exact"/>
        <w:rPr>
          <w:sz w:val="20"/>
          <w:szCs w:val="20"/>
          <w:color w:val="auto"/>
        </w:rPr>
      </w:pPr>
    </w:p>
    <w:p>
      <w:pPr>
        <w:ind w:left="1360" w:hanging="496"/>
        <w:spacing w:after="0" w:line="276" w:lineRule="auto"/>
        <w:tabs>
          <w:tab w:leader="none" w:pos="13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In order to successfully implement our plans and strategies, we will need to grow the size of our organization and we may experience difficulties in managing this growth.</w:t>
      </w:r>
    </w:p>
    <w:p>
      <w:pPr>
        <w:spacing w:after="0" w:line="64" w:lineRule="exact"/>
        <w:rPr>
          <w:rFonts w:ascii="Arial" w:cs="Arial" w:eastAsia="Arial" w:hAnsi="Arial"/>
          <w:sz w:val="20"/>
          <w:szCs w:val="20"/>
          <w:color w:val="auto"/>
        </w:rPr>
      </w:pPr>
    </w:p>
    <w:p>
      <w:pPr>
        <w:ind w:left="1360" w:right="40" w:hanging="496"/>
        <w:spacing w:after="0" w:line="258" w:lineRule="auto"/>
        <w:tabs>
          <w:tab w:leader="none" w:pos="13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81" w:lineRule="exact"/>
        <w:rPr>
          <w:rFonts w:ascii="Arial" w:cs="Arial" w:eastAsia="Arial" w:hAnsi="Arial"/>
          <w:sz w:val="20"/>
          <w:szCs w:val="20"/>
          <w:color w:val="auto"/>
        </w:rPr>
      </w:pPr>
    </w:p>
    <w:p>
      <w:pPr>
        <w:ind w:left="1360" w:hanging="496"/>
        <w:spacing w:after="0" w:line="276" w:lineRule="auto"/>
        <w:tabs>
          <w:tab w:leader="none" w:pos="13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64" w:lineRule="exact"/>
        <w:rPr>
          <w:rFonts w:ascii="Arial" w:cs="Arial" w:eastAsia="Arial" w:hAnsi="Arial"/>
          <w:sz w:val="20"/>
          <w:szCs w:val="20"/>
          <w:color w:val="auto"/>
        </w:rPr>
      </w:pPr>
    </w:p>
    <w:p>
      <w:pPr>
        <w:ind w:left="1360" w:right="220" w:hanging="496"/>
        <w:spacing w:after="0" w:line="249" w:lineRule="auto"/>
        <w:tabs>
          <w:tab w:leader="none" w:pos="13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internal information technology systems, or those of any of our CROs, manufacturers, other contractors or consultants, third-party service providers, or existing or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ectPr>
          <w:pgSz w:w="12960" w:h="17280" w:orient="portrait"/>
          <w:cols w:equalWidth="0" w:num="1">
            <w:col w:w="10440"/>
          </w:cols>
          <w:pgMar w:left="1440" w:top="1416" w:right="1080" w:bottom="9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ii</w:t>
      </w:r>
    </w:p>
    <w:p>
      <w:pPr>
        <w:sectPr>
          <w:pgSz w:w="12960" w:h="17280" w:orient="portrait"/>
          <w:cols w:equalWidth="0" w:num="1">
            <w:col w:w="10440"/>
          </w:cols>
          <w:pgMar w:left="1440" w:top="1416" w:right="1080" w:bottom="929" w:gutter="0" w:footer="0" w:header="0"/>
          <w:type w:val="continuous"/>
        </w:sectPr>
      </w:pPr>
    </w:p>
    <w:bookmarkStart w:id="3" w:name="page4"/>
    <w:bookmarkEnd w:id="3"/>
    <w:p>
      <w:pPr>
        <w:ind w:left="1360" w:right="60" w:hanging="496"/>
        <w:spacing w:after="0" w:line="252" w:lineRule="auto"/>
        <w:tabs>
          <w:tab w:leader="none" w:pos="1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Intellectual Property</w:t>
      </w:r>
    </w:p>
    <w:p>
      <w:pPr>
        <w:spacing w:after="0" w:line="134" w:lineRule="exact"/>
        <w:rPr>
          <w:sz w:val="20"/>
          <w:szCs w:val="20"/>
          <w:color w:val="auto"/>
        </w:rPr>
      </w:pPr>
    </w:p>
    <w:p>
      <w:pPr>
        <w:ind w:left="1360" w:right="460" w:hanging="496"/>
        <w:spacing w:after="0" w:line="258" w:lineRule="auto"/>
        <w:tabs>
          <w:tab w:leader="none" w:pos="136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intellectual property portfolio is at an early stage. Therefore, our ability to obtain and protect our patent rights, and protect other proprietary rights, is uncertain, exposing us to the possible loss of competitive advantage.</w:t>
      </w:r>
    </w:p>
    <w:p>
      <w:pPr>
        <w:spacing w:after="0" w:line="81" w:lineRule="exact"/>
        <w:rPr>
          <w:rFonts w:ascii="Arial" w:cs="Arial" w:eastAsia="Arial" w:hAnsi="Arial"/>
          <w:sz w:val="20"/>
          <w:szCs w:val="20"/>
          <w:color w:val="auto"/>
        </w:rPr>
      </w:pPr>
    </w:p>
    <w:p>
      <w:pPr>
        <w:ind w:left="1360" w:right="120" w:hanging="496"/>
        <w:spacing w:after="0" w:line="276" w:lineRule="auto"/>
        <w:tabs>
          <w:tab w:leader="none" w:pos="136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obtain or maintain necessary rights to our programs through acquisitions and in-licenses, our business may be materially harmed.</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Government Regulation</w:t>
      </w:r>
    </w:p>
    <w:p>
      <w:pPr>
        <w:spacing w:after="0" w:line="134" w:lineRule="exact"/>
        <w:rPr>
          <w:sz w:val="20"/>
          <w:szCs w:val="20"/>
          <w:color w:val="auto"/>
        </w:rPr>
      </w:pPr>
    </w:p>
    <w:p>
      <w:pPr>
        <w:ind w:left="1360" w:right="60" w:hanging="496"/>
        <w:spacing w:after="0" w:line="249" w:lineRule="auto"/>
        <w:tabs>
          <w:tab w:leader="none" w:pos="136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regulatory approval processes of the U.S. Food and Drug Administration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General Risk Factors</w:t>
      </w:r>
    </w:p>
    <w:p>
      <w:pPr>
        <w:spacing w:after="0" w:line="134" w:lineRule="exact"/>
        <w:rPr>
          <w:sz w:val="20"/>
          <w:szCs w:val="20"/>
          <w:color w:val="auto"/>
        </w:rPr>
      </w:pPr>
    </w:p>
    <w:p>
      <w:pPr>
        <w:jc w:val="both"/>
        <w:ind w:left="1360" w:right="360" w:hanging="496"/>
        <w:spacing w:after="0" w:line="278" w:lineRule="auto"/>
        <w:tabs>
          <w:tab w:leader="none" w:pos="136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9"/>
          <w:szCs w:val="19"/>
          <w:color w:val="auto"/>
        </w:rPr>
        <w:t>Our business could be adversely affected by economic downturns, inflation, fluctuating interest rates, natural disasters, public health crises, political crises, geopolitical events, or other macroeconomic conditions, which could have a material and adverse effect on our results of operations and financial condition.</w:t>
      </w:r>
    </w:p>
    <w:p>
      <w:pPr>
        <w:spacing w:after="0" w:line="64" w:lineRule="exact"/>
        <w:rPr>
          <w:rFonts w:ascii="Arial" w:cs="Arial" w:eastAsia="Arial" w:hAnsi="Arial"/>
          <w:sz w:val="19"/>
          <w:szCs w:val="19"/>
          <w:color w:val="auto"/>
        </w:rPr>
      </w:pPr>
    </w:p>
    <w:p>
      <w:pPr>
        <w:ind w:left="1360" w:hanging="496"/>
        <w:spacing w:after="0"/>
        <w:tabs>
          <w:tab w:leader="none" w:pos="136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Litigation costs and the outcome of litigation could have a material adverse effect on our business.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the Ownership of Our Common Stock</w:t>
      </w:r>
    </w:p>
    <w:p>
      <w:pPr>
        <w:spacing w:after="0" w:line="134" w:lineRule="exact"/>
        <w:rPr>
          <w:sz w:val="20"/>
          <w:szCs w:val="20"/>
          <w:color w:val="auto"/>
        </w:rPr>
      </w:pPr>
    </w:p>
    <w:p>
      <w:pPr>
        <w:ind w:left="1360" w:hanging="496"/>
        <w:spacing w:after="0"/>
        <w:tabs>
          <w:tab w:leader="none" w:pos="136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market price of our common stock has been and is expected to continue to be volatile.</w:t>
      </w:r>
    </w:p>
    <w:p>
      <w:pPr>
        <w:spacing w:after="0" w:line="133" w:lineRule="exact"/>
        <w:rPr>
          <w:rFonts w:ascii="Arial" w:cs="Arial" w:eastAsia="Arial" w:hAnsi="Arial"/>
          <w:sz w:val="20"/>
          <w:szCs w:val="20"/>
          <w:color w:val="auto"/>
        </w:rPr>
      </w:pPr>
    </w:p>
    <w:p>
      <w:pPr>
        <w:ind w:left="1360" w:right="180" w:hanging="496"/>
        <w:spacing w:after="0" w:line="276" w:lineRule="auto"/>
        <w:tabs>
          <w:tab w:leader="none" w:pos="136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maintain proper and effective internal controls, our ability to produce accurate financial statements on a timely basis could be impaired.</w:t>
      </w:r>
    </w:p>
    <w:p>
      <w:pPr>
        <w:spacing w:after="0" w:line="64" w:lineRule="exact"/>
        <w:rPr>
          <w:rFonts w:ascii="Arial" w:cs="Arial" w:eastAsia="Arial" w:hAnsi="Arial"/>
          <w:sz w:val="20"/>
          <w:szCs w:val="20"/>
          <w:color w:val="auto"/>
        </w:rPr>
      </w:pPr>
    </w:p>
    <w:p>
      <w:pPr>
        <w:ind w:left="1360" w:hanging="496"/>
        <w:spacing w:after="0"/>
        <w:tabs>
          <w:tab w:leader="none" w:pos="136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Conflicts of interest may arise between us and Paragon or us and Fairmount.</w:t>
      </w:r>
    </w:p>
    <w:p>
      <w:pPr>
        <w:spacing w:after="0" w:line="119" w:lineRule="exact"/>
        <w:rPr>
          <w:sz w:val="20"/>
          <w:szCs w:val="20"/>
          <w:color w:val="auto"/>
        </w:rPr>
      </w:pPr>
    </w:p>
    <w:p>
      <w:pPr>
        <w:ind w:left="20" w:firstLine="490"/>
        <w:spacing w:after="0" w:line="246" w:lineRule="auto"/>
        <w:rPr>
          <w:sz w:val="20"/>
          <w:szCs w:val="20"/>
          <w:color w:val="auto"/>
        </w:rPr>
      </w:pPr>
      <w:r>
        <w:rPr>
          <w:rFonts w:ascii="Times New Roman" w:cs="Times New Roman" w:eastAsia="Times New Roman" w:hAnsi="Times New Roman"/>
          <w:sz w:val="20"/>
          <w:szCs w:val="20"/>
          <w:color w:val="auto"/>
        </w:rPr>
        <w:t>The material and other risks summarized above should be read together with the text of the full risk factors below and in the other information set forth in this Annual Report on Form 10-K, including our consolidated financial statements and the related notes, as well as in other documents that we file with the Securities and Exchange Commission (the “SEC”). If any such material and other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3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24" w:lineRule="exact"/>
        <w:rPr>
          <w:sz w:val="20"/>
          <w:szCs w:val="20"/>
          <w:color w:val="auto"/>
        </w:rPr>
      </w:pPr>
    </w:p>
    <w:p>
      <w:pPr>
        <w:ind w:left="20" w:right="40" w:firstLine="490"/>
        <w:spacing w:after="0" w:line="244" w:lineRule="auto"/>
        <w:rPr>
          <w:sz w:val="20"/>
          <w:szCs w:val="20"/>
          <w:color w:val="auto"/>
        </w:rPr>
      </w:pPr>
      <w:r>
        <w:rPr>
          <w:rFonts w:ascii="Times New Roman" w:cs="Times New Roman" w:eastAsia="Times New Roman" w:hAnsi="Times New Roman"/>
          <w:sz w:val="20"/>
          <w:szCs w:val="20"/>
          <w:color w:val="auto"/>
        </w:rPr>
        <w:t>This Annual Report on Form 10-K, including “Business” in Item 1, “Risk Factors” in Item 1A and “Management’s Discussion and Analysis of Financial Condition and Results of Operations” in Item 7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Annual Report on Form 10-K.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regarding:</w:t>
      </w:r>
    </w:p>
    <w:p>
      <w:pPr>
        <w:spacing w:after="0" w:line="100" w:lineRule="exact"/>
        <w:rPr>
          <w:sz w:val="20"/>
          <w:szCs w:val="20"/>
          <w:color w:val="auto"/>
        </w:rPr>
      </w:pPr>
    </w:p>
    <w:p>
      <w:pPr>
        <w:ind w:left="1100" w:right="200" w:hanging="366"/>
        <w:spacing w:after="0" w:line="276" w:lineRule="auto"/>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execute on our strategy for the discovery and development of DMR-001, DMR-002 and DMR-003;</w:t>
      </w:r>
    </w:p>
    <w:p>
      <w:pPr>
        <w:sectPr>
          <w:pgSz w:w="12960" w:h="17280" w:orient="portrait"/>
          <w:cols w:equalWidth="0" w:num="1">
            <w:col w:w="10440"/>
          </w:cols>
          <w:pgMar w:left="1440" w:top="1434"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iii</w:t>
      </w:r>
    </w:p>
    <w:p>
      <w:pPr>
        <w:sectPr>
          <w:pgSz w:w="12960" w:h="17280" w:orient="portrait"/>
          <w:cols w:equalWidth="0" w:num="1">
            <w:col w:w="10440"/>
          </w:cols>
          <w:pgMar w:left="1440" w:top="1434" w:right="1080" w:bottom="895" w:gutter="0" w:footer="0" w:header="0"/>
          <w:type w:val="continuous"/>
        </w:sectPr>
      </w:pPr>
    </w:p>
    <w:bookmarkStart w:id="4" w:name="page5"/>
    <w:bookmarkEnd w:id="4"/>
    <w:p>
      <w:pPr>
        <w:jc w:val="both"/>
        <w:ind w:left="1100" w:right="200" w:hanging="366"/>
        <w:spacing w:after="0" w:line="258" w:lineRule="auto"/>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cost and timing of our planned filing of investigational drug applications or their equivalents, planned product development activities, and initiation of clinical trials of our current product candidates, including DMR-001, DMR-002, and DMR-003, and any future product candidates;</w:t>
      </w:r>
    </w:p>
    <w:p>
      <w:pPr>
        <w:spacing w:after="0" w:line="81" w:lineRule="exact"/>
        <w:rPr>
          <w:rFonts w:ascii="Arial" w:cs="Arial" w:eastAsia="Arial" w:hAnsi="Arial"/>
          <w:sz w:val="20"/>
          <w:szCs w:val="20"/>
          <w:color w:val="auto"/>
        </w:rPr>
      </w:pPr>
    </w:p>
    <w:p>
      <w:pPr>
        <w:ind w:left="1100" w:hanging="366"/>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retain the continued service of our directors, officers, key employees and consultants;</w:t>
      </w:r>
    </w:p>
    <w:p>
      <w:pPr>
        <w:spacing w:after="0" w:line="133" w:lineRule="exact"/>
        <w:rPr>
          <w:rFonts w:ascii="Arial" w:cs="Arial" w:eastAsia="Arial" w:hAnsi="Arial"/>
          <w:sz w:val="20"/>
          <w:szCs w:val="20"/>
          <w:color w:val="auto"/>
        </w:rPr>
      </w:pPr>
    </w:p>
    <w:p>
      <w:pPr>
        <w:ind w:left="1100" w:hanging="366"/>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continue to grow and manage our growth effectively;</w:t>
      </w:r>
    </w:p>
    <w:p>
      <w:pPr>
        <w:spacing w:after="0" w:line="133" w:lineRule="exact"/>
        <w:rPr>
          <w:rFonts w:ascii="Arial" w:cs="Arial" w:eastAsia="Arial" w:hAnsi="Arial"/>
          <w:sz w:val="20"/>
          <w:szCs w:val="20"/>
          <w:color w:val="auto"/>
        </w:rPr>
      </w:pPr>
    </w:p>
    <w:p>
      <w:pPr>
        <w:ind w:left="1100" w:right="700" w:hanging="366"/>
        <w:spacing w:after="0" w:line="276" w:lineRule="auto"/>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regulatory approval for our current or future product candidates that we may identify or develop;</w:t>
      </w:r>
    </w:p>
    <w:p>
      <w:pPr>
        <w:spacing w:after="0" w:line="64" w:lineRule="exact"/>
        <w:rPr>
          <w:rFonts w:ascii="Arial" w:cs="Arial" w:eastAsia="Arial" w:hAnsi="Arial"/>
          <w:sz w:val="20"/>
          <w:szCs w:val="20"/>
          <w:color w:val="auto"/>
        </w:rPr>
      </w:pPr>
    </w:p>
    <w:p>
      <w:pPr>
        <w:ind w:left="1100" w:hanging="366"/>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ensure adequate supply of our current or future product candidates;</w:t>
      </w:r>
    </w:p>
    <w:p>
      <w:pPr>
        <w:spacing w:after="0" w:line="133" w:lineRule="exact"/>
        <w:rPr>
          <w:rFonts w:ascii="Arial" w:cs="Arial" w:eastAsia="Arial" w:hAnsi="Arial"/>
          <w:sz w:val="20"/>
          <w:szCs w:val="20"/>
          <w:color w:val="auto"/>
        </w:rPr>
      </w:pPr>
    </w:p>
    <w:p>
      <w:pPr>
        <w:ind w:left="1100" w:hanging="366"/>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third-party relationships necessary to conduct our business;</w:t>
      </w:r>
    </w:p>
    <w:p>
      <w:pPr>
        <w:spacing w:after="0" w:line="133" w:lineRule="exact"/>
        <w:rPr>
          <w:rFonts w:ascii="Arial" w:cs="Arial" w:eastAsia="Arial" w:hAnsi="Arial"/>
          <w:sz w:val="20"/>
          <w:szCs w:val="20"/>
          <w:color w:val="auto"/>
        </w:rPr>
      </w:pPr>
    </w:p>
    <w:p>
      <w:pPr>
        <w:ind w:left="1100" w:right="380" w:hanging="366"/>
        <w:spacing w:after="0" w:line="276" w:lineRule="auto"/>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 adequate safety or efficacy profile for our current or future product candidates that we may pursue;</w:t>
      </w:r>
    </w:p>
    <w:p>
      <w:pPr>
        <w:spacing w:after="0" w:line="64" w:lineRule="exact"/>
        <w:rPr>
          <w:rFonts w:ascii="Arial" w:cs="Arial" w:eastAsia="Arial" w:hAnsi="Arial"/>
          <w:sz w:val="20"/>
          <w:szCs w:val="20"/>
          <w:color w:val="auto"/>
        </w:rPr>
      </w:pPr>
    </w:p>
    <w:p>
      <w:pPr>
        <w:ind w:left="1100" w:hanging="366"/>
        <w:spacing w:after="0" w:line="276" w:lineRule="auto"/>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implementation and execution of our strategic plans for our business, our current or future product candidates we may develop and our technology;</w:t>
      </w:r>
    </w:p>
    <w:p>
      <w:pPr>
        <w:spacing w:after="0" w:line="64" w:lineRule="exact"/>
        <w:rPr>
          <w:rFonts w:ascii="Arial" w:cs="Arial" w:eastAsia="Arial" w:hAnsi="Arial"/>
          <w:sz w:val="20"/>
          <w:szCs w:val="20"/>
          <w:color w:val="auto"/>
        </w:rPr>
      </w:pPr>
    </w:p>
    <w:p>
      <w:pPr>
        <w:ind w:left="1100" w:right="700" w:hanging="366"/>
        <w:spacing w:after="0" w:line="276" w:lineRule="auto"/>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intellectual property position, including the scope of protection we are able to establish and maintain for intellectual property rights covering our product candidates and technology;</w:t>
      </w:r>
    </w:p>
    <w:p>
      <w:pPr>
        <w:spacing w:after="0" w:line="64" w:lineRule="exact"/>
        <w:rPr>
          <w:rFonts w:ascii="Arial" w:cs="Arial" w:eastAsia="Arial" w:hAnsi="Arial"/>
          <w:sz w:val="20"/>
          <w:szCs w:val="20"/>
          <w:color w:val="auto"/>
        </w:rPr>
      </w:pPr>
    </w:p>
    <w:p>
      <w:pPr>
        <w:ind w:left="1100" w:right="380" w:hanging="366"/>
        <w:spacing w:after="0" w:line="276" w:lineRule="auto"/>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rate and degree of market acceptance and clinical utility for our current or future product candidates we may develop;</w:t>
      </w:r>
    </w:p>
    <w:p>
      <w:pPr>
        <w:spacing w:after="0" w:line="64" w:lineRule="exact"/>
        <w:rPr>
          <w:rFonts w:ascii="Arial" w:cs="Arial" w:eastAsia="Arial" w:hAnsi="Arial"/>
          <w:sz w:val="20"/>
          <w:szCs w:val="20"/>
          <w:color w:val="auto"/>
        </w:rPr>
      </w:pPr>
    </w:p>
    <w:p>
      <w:pPr>
        <w:ind w:left="1100" w:hanging="366"/>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estimates about the size of our market opportunity;</w:t>
      </w:r>
    </w:p>
    <w:p>
      <w:pPr>
        <w:spacing w:after="0" w:line="133" w:lineRule="exact"/>
        <w:rPr>
          <w:rFonts w:ascii="Arial" w:cs="Arial" w:eastAsia="Arial" w:hAnsi="Arial"/>
          <w:sz w:val="20"/>
          <w:szCs w:val="20"/>
          <w:color w:val="auto"/>
        </w:rPr>
      </w:pPr>
    </w:p>
    <w:p>
      <w:pPr>
        <w:ind w:left="1100" w:hanging="366"/>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estimates of expenses, future revenues, capital requirements and our needs for additional financing;</w:t>
      </w:r>
    </w:p>
    <w:p>
      <w:pPr>
        <w:spacing w:after="0" w:line="133" w:lineRule="exact"/>
        <w:rPr>
          <w:rFonts w:ascii="Arial" w:cs="Arial" w:eastAsia="Arial" w:hAnsi="Arial"/>
          <w:sz w:val="20"/>
          <w:szCs w:val="20"/>
          <w:color w:val="auto"/>
        </w:rPr>
      </w:pPr>
    </w:p>
    <w:p>
      <w:pPr>
        <w:ind w:left="1100" w:hanging="366"/>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and establish collaborations;</w:t>
      </w:r>
    </w:p>
    <w:p>
      <w:pPr>
        <w:spacing w:after="0" w:line="133" w:lineRule="exact"/>
        <w:rPr>
          <w:rFonts w:ascii="Arial" w:cs="Arial" w:eastAsia="Arial" w:hAnsi="Arial"/>
          <w:sz w:val="20"/>
          <w:szCs w:val="20"/>
          <w:color w:val="auto"/>
        </w:rPr>
      </w:pPr>
    </w:p>
    <w:p>
      <w:pPr>
        <w:ind w:left="1100" w:hanging="366"/>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financial performance and liquidity;</w:t>
      </w:r>
    </w:p>
    <w:p>
      <w:pPr>
        <w:spacing w:after="0" w:line="133" w:lineRule="exact"/>
        <w:rPr>
          <w:rFonts w:ascii="Arial" w:cs="Arial" w:eastAsia="Arial" w:hAnsi="Arial"/>
          <w:sz w:val="20"/>
          <w:szCs w:val="20"/>
          <w:color w:val="auto"/>
        </w:rPr>
      </w:pPr>
    </w:p>
    <w:p>
      <w:pPr>
        <w:ind w:left="1100" w:hanging="366"/>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relating to our competitors and our industry, including the impact of government regulation;</w:t>
      </w:r>
    </w:p>
    <w:p>
      <w:pPr>
        <w:spacing w:after="0" w:line="133" w:lineRule="exact"/>
        <w:rPr>
          <w:rFonts w:ascii="Arial" w:cs="Arial" w:eastAsia="Arial" w:hAnsi="Arial"/>
          <w:sz w:val="20"/>
          <w:szCs w:val="20"/>
          <w:color w:val="auto"/>
        </w:rPr>
      </w:pPr>
    </w:p>
    <w:p>
      <w:pPr>
        <w:ind w:left="1100" w:right="320" w:hanging="366"/>
        <w:spacing w:after="0" w:line="276" w:lineRule="auto"/>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retain the continued service of our key professionals and consultants and to identify, hire and retain additional qualified professionals;</w:t>
      </w:r>
    </w:p>
    <w:p>
      <w:pPr>
        <w:spacing w:after="0" w:line="64" w:lineRule="exact"/>
        <w:rPr>
          <w:rFonts w:ascii="Arial" w:cs="Arial" w:eastAsia="Arial" w:hAnsi="Arial"/>
          <w:sz w:val="20"/>
          <w:szCs w:val="20"/>
          <w:color w:val="auto"/>
        </w:rPr>
      </w:pPr>
    </w:p>
    <w:p>
      <w:pPr>
        <w:ind w:left="1100" w:hanging="366"/>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adequate internal controls over financial reporting;</w:t>
      </w:r>
    </w:p>
    <w:p>
      <w:pPr>
        <w:spacing w:after="0" w:line="133" w:lineRule="exact"/>
        <w:rPr>
          <w:rFonts w:ascii="Arial" w:cs="Arial" w:eastAsia="Arial" w:hAnsi="Arial"/>
          <w:sz w:val="20"/>
          <w:szCs w:val="20"/>
          <w:color w:val="auto"/>
        </w:rPr>
      </w:pPr>
    </w:p>
    <w:p>
      <w:pPr>
        <w:jc w:val="both"/>
        <w:ind w:left="1100" w:right="60" w:hanging="366"/>
        <w:spacing w:after="0" w:line="258" w:lineRule="auto"/>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effects of global economic uncertainty and financial market volatility caused by economic effects of volatility in inflation and interest rates, tariffs, geopolitical instability, changes in international trade relationships and conflicts; and</w:t>
      </w:r>
    </w:p>
    <w:p>
      <w:pPr>
        <w:spacing w:after="0" w:line="81" w:lineRule="exact"/>
        <w:rPr>
          <w:rFonts w:ascii="Arial" w:cs="Arial" w:eastAsia="Arial" w:hAnsi="Arial"/>
          <w:sz w:val="20"/>
          <w:szCs w:val="20"/>
          <w:color w:val="auto"/>
        </w:rPr>
      </w:pPr>
    </w:p>
    <w:p>
      <w:pPr>
        <w:ind w:left="1100" w:hanging="366"/>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other risks and uncertainties, including those listed under the section titled “Risk Factors.”</w:t>
      </w:r>
    </w:p>
    <w:p>
      <w:pPr>
        <w:spacing w:after="0" w:line="119" w:lineRule="exact"/>
        <w:rPr>
          <w:sz w:val="20"/>
          <w:szCs w:val="20"/>
          <w:color w:val="auto"/>
        </w:rPr>
      </w:pPr>
    </w:p>
    <w:p>
      <w:pPr>
        <w:ind w:left="20" w:right="100" w:firstLine="490"/>
        <w:spacing w:after="0" w:line="244" w:lineRule="auto"/>
        <w:rPr>
          <w:sz w:val="20"/>
          <w:szCs w:val="20"/>
          <w:color w:val="auto"/>
        </w:rPr>
      </w:pPr>
      <w:r>
        <w:rPr>
          <w:rFonts w:ascii="Times New Roman" w:cs="Times New Roman" w:eastAsia="Times New Roman" w:hAnsi="Times New Roman"/>
          <w:sz w:val="20"/>
          <w:szCs w:val="20"/>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set forth in Part I, Item 1A – “Risk Factors” below and for the reasons described elsewhere in this Annual Report on Form 10-K. Any forward-looking statement in this Annual Report on Form 10-K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82" w:lineRule="exact"/>
        <w:rPr>
          <w:sz w:val="20"/>
          <w:szCs w:val="20"/>
          <w:color w:val="auto"/>
        </w:rPr>
      </w:pPr>
    </w:p>
    <w:p>
      <w:pPr>
        <w:ind w:left="20" w:right="60" w:firstLine="490"/>
        <w:spacing w:after="0" w:line="245" w:lineRule="auto"/>
        <w:rPr>
          <w:sz w:val="20"/>
          <w:szCs w:val="20"/>
          <w:color w:val="auto"/>
        </w:rPr>
      </w:pPr>
      <w:r>
        <w:rPr>
          <w:rFonts w:ascii="Times New Roman" w:cs="Times New Roman" w:eastAsia="Times New Roman" w:hAnsi="Times New Roman"/>
          <w:sz w:val="20"/>
          <w:szCs w:val="20"/>
          <w:color w:val="auto"/>
        </w:rPr>
        <w:t>This Annual Report on Form 10-K also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ectPr>
          <w:pgSz w:w="12960" w:h="17280" w:orient="portrait"/>
          <w:cols w:equalWidth="0" w:num="1">
            <w:col w:w="10440"/>
          </w:cols>
          <w:pgMar w:left="1440" w:top="1434"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iv</w:t>
      </w:r>
    </w:p>
    <w:p>
      <w:pPr>
        <w:sectPr>
          <w:pgSz w:w="12960" w:h="17280" w:orient="portrait"/>
          <w:cols w:equalWidth="0" w:num="1">
            <w:col w:w="10440"/>
          </w:cols>
          <w:pgMar w:left="1440" w:top="1434" w:right="1080" w:bottom="895" w:gutter="0" w:footer="0" w:header="0"/>
          <w:type w:val="continuous"/>
        </w:sectPr>
      </w:pPr>
    </w:p>
    <w:bookmarkStart w:id="5" w:name="page6"/>
    <w:bookmarkEnd w:id="5"/>
    <w:p>
      <w:pPr>
        <w:ind w:left="20" w:right="140" w:firstLine="490"/>
        <w:spacing w:after="0" w:line="277" w:lineRule="auto"/>
        <w:rPr>
          <w:sz w:val="20"/>
          <w:szCs w:val="20"/>
          <w:color w:val="auto"/>
        </w:rPr>
      </w:pPr>
      <w:r>
        <w:rPr>
          <w:rFonts w:ascii="Times New Roman" w:cs="Times New Roman" w:eastAsia="Times New Roman" w:hAnsi="Times New Roman"/>
          <w:sz w:val="20"/>
          <w:szCs w:val="20"/>
          <w:color w:val="auto"/>
        </w:rPr>
        <w:t>Except where the context otherwise requires, in this Annual Report on Form 10-K, “we,” “us,” “our,” “Damora,” and the “Company” refer to Damora Therapeutics, Inc. and, where appropriate, its consolidated subsidiaries.</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b w:val="1"/>
          <w:bCs w:val="1"/>
          <w:i w:val="1"/>
          <w:iCs w:val="1"/>
          <w:color w:val="auto"/>
        </w:rPr>
        <w:t>Trademarks</w:t>
      </w:r>
    </w:p>
    <w:p>
      <w:pPr>
        <w:spacing w:after="0" w:line="120" w:lineRule="exact"/>
        <w:rPr>
          <w:sz w:val="20"/>
          <w:szCs w:val="20"/>
          <w:color w:val="auto"/>
        </w:rPr>
      </w:pPr>
    </w:p>
    <w:p>
      <w:pPr>
        <w:ind w:left="20" w:firstLine="490"/>
        <w:spacing w:after="0" w:line="247" w:lineRule="auto"/>
        <w:rPr>
          <w:sz w:val="20"/>
          <w:szCs w:val="20"/>
          <w:color w:val="auto"/>
        </w:rPr>
      </w:pPr>
      <w:r>
        <w:rPr>
          <w:rFonts w:ascii="Times New Roman" w:cs="Times New Roman" w:eastAsia="Times New Roman" w:hAnsi="Times New Roman"/>
          <w:sz w:val="20"/>
          <w:szCs w:val="20"/>
          <w:color w:val="auto"/>
        </w:rPr>
        <w:t>We have applied for various trademarks that we use in connection with the operation of our business. This Annual Report on Form 10-K includes trademarks, service marks, and trade names owned by us or other companies. All trademarks, service marks, and trade names included in this Annual Report on Form 10-K are the property of their respective owners. Solely for convenience, the trademarks and trade names in this report may be referred to without the ® and ™ symbols, but such references should not be construed as any indicator that their respective owners will not assert, to the fullest extent under applicable law, their rights thereto.</w:t>
      </w:r>
    </w:p>
    <w:p>
      <w:pPr>
        <w:sectPr>
          <w:pgSz w:w="12960" w:h="17280" w:orient="portrait"/>
          <w:cols w:equalWidth="0" w:num="1">
            <w:col w:w="10340"/>
          </w:cols>
          <w:pgMar w:left="1440" w:top="1420" w:right="11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v</w:t>
      </w:r>
    </w:p>
    <w:p>
      <w:pPr>
        <w:sectPr>
          <w:pgSz w:w="12960" w:h="17280" w:orient="portrait"/>
          <w:cols w:equalWidth="0" w:num="1">
            <w:col w:w="10340"/>
          </w:cols>
          <w:pgMar w:left="1440" w:top="1420" w:right="1180" w:bottom="895"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We are a biopharmaceutical company developing therapies for the treatment of hematologic disorders. In our previously announced Asset Acquisition (as defined below), we bolstered our pipeline with the addition of three product candidates designed to treat myeloproliferative neoplasms (“MPNs”), a group of related, chronic disorders of the bone marrow. Our lead product candidate, DMR-001, targets mutant forms of the calcium binding protein calreticulin (“CALR”), which are collectively known as mutCALR. We have exercised our Option to license exclusive worldwide development and commercialization rights to DMR- 001 from Paragon Therapeutics, Inc. (“Paragon”), pursuant to the Antibody Discovery and Option Agreement, dated as of October 7, 2025, by and among Paragon, Paramora Holding LLC (“Paramora”) and Pre-Acquisition Damora (as defined below) (the “Paragon Option Agreement”). We intend to develop DMR-001 for the treatment of essential thrombocythemia (“ET”), an MPN associated with the overproduction of platelets, and myelofibrosis (“MF”), an MPN involving the overproliferation of blood cells and deposition of fibrous material in the bone marrow and spleen. Approximately 25% and 35% of cases of ET and MF, respectively, are caused by mutCALR rather than mutations in Janus-associated kinase 2 (“JAK2”). In contrast to marketed therapies for ET and MF, DMR-001 is designed to selectively target cells that express mutCALR while avoiding the adverse effects associated with non-specific cytoreductive drugs. Furthermore, DMR-001 was designed to have increased affinity, potency and a prolonged half-life when compared with other antibodies in development that target mutCALR. We believe that the potential combination of increased clinical activity and improved pharmacokinetics of DMR-001 positions it as a potential best-in-class therapy for ET and MF. We also have the option to license exclusive worldwide development and commercialization rights from Paragon of two other mutCALR-targeting product candidates, DMR-002 and DMR-003, pursuant to the Paragon Option Agreement. We intend to submit an Investigational New Drug Application (“IND”) or Clinical Trial Application (“CTA”) for DMR-001 and DMR-002 in mid-2026 and the second half of 2026, respectively, and for DMR-003 in 2027. Pursuant to the Paragon Option Agreement, we have engaged Paragon to execute a mutually agreed research plan for DMR-001, DMR-002, and DMR-003 aimed at producing potential product candidates to be licensed for further development, manufacture and commercialization by us. The research plan activities performed by Paragon are overseen by a joint development committee comprised of our employees and employees of Paragon.</w:t>
      </w:r>
    </w:p>
    <w:p>
      <w:pPr>
        <w:spacing w:after="0" w:line="21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MPNs are caused by excessive proliferation of myeloid cells. In some patients, including ET patients, MPNs are considered chronic diseases that lead to significant decreases in quality of life. MPNs also include MF, which is associated with poor prognosis and increased mortality. One feature that makes MPNs attractive indications for drug development is that mutations in just a small number of genes are responsible for a significant percentage of cases, which enables the opportunity to develop targeted therapies. Our ultimate goal is to develop a portfolio of targeted mutation-directed candidates to address the full spectrum of MPN disease.</w:t>
      </w:r>
    </w:p>
    <w:p>
      <w:pPr>
        <w:spacing w:after="0" w:line="20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DMR-001 is a monoclonal antibody that targets mutations in CALR, including the two major forms of CALR mutations referred to as Type 1 and Type 2 mutCALR. CALR mutations are the drivers of about a quarter of all cases of ET, a disease with a prevalence in the United States of about 140,000 patients. ET is characterized by excessive production of platelets, leading to symptoms that range from tingling or burning in the hands and feet to headache, visual problems, weakness, dizziness and increased risk of blood clots, causing heart attacks, strokes and other thromboses. CALR mutations are the drivers of about 35% of all cases of MF, a disease with a prevalence in the United States of about 20,000 patients. MF is characterized by abnormal myeloid cell proliferation leading to inflammation and a fibrotic response in the bone marrow. This results in bone marrow scarring, splenomegaly, elevated cytokine levels, and bone marrow dysfunction. Symptoms include fatigue, easy bruising and bleeding, night sweats and fever. Approximately 17% of ET patients who have CALR mutations progress to MF. We believe there exists at least a $5 billion addressable market in the United States for mutCALR driven ET and MF.</w:t>
      </w:r>
    </w:p>
    <w:p>
      <w:pPr>
        <w:spacing w:after="0" w:line="202"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auto"/>
        </w:rPr>
        <w:t>We believe that DMR-001 has the potential to become a best-in-class anti-mutCALR therapy due to two differentiating features compared to marketed therapies and therapies in development, including INCA033989. First, our preclinical studies demonstrated that DMR-001 is a more potent inhibitor of mutCALR-dependent cell proliferation compared to a reference mutCALR targeted monoclonal antibody. This is especially relevant with regard to patients with Type 2 mutCALR, which represent about a third of mutCALR patients. Whereas Type 1 mutations are characterized by a deletion of 52 base pairs in the gene for CALR, Type 2 mutations have an insertion of 5 base pairs. Our preclinical assays demonstrated that DMR-001 has approximately ten-fold higher potency on Type 2 mutCALR than a reference mutCALR antibody with the same mechanism of action as INCA033989. Second, DMR-001 was engineered to have an increased half-life in circulation through the incorporation of sequence modifications that have previously been shown to improve pharmacokinetics in humans. Our preclinical data generated in non-human primates (“NHPs”), confirmed the improved half-life of DMR-001 compared to a reference antibody.</w:t>
      </w:r>
    </w:p>
    <w:p>
      <w:pPr>
        <w:sectPr>
          <w:pgSz w:w="12960" w:h="17280" w:orient="portrait"/>
          <w:cols w:equalWidth="0" w:num="1">
            <w:col w:w="10520"/>
          </w:cols>
          <w:pgMar w:left="1360" w:top="1416"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960" w:h="17280" w:orient="portrait"/>
          <w:cols w:equalWidth="0" w:num="1">
            <w:col w:w="10520"/>
          </w:cols>
          <w:pgMar w:left="1360" w:top="1416" w:right="1080" w:bottom="895" w:gutter="0" w:footer="0" w:header="0"/>
          <w:type w:val="continuous"/>
        </w:sectPr>
      </w:pPr>
    </w:p>
    <w:bookmarkStart w:id="7" w:name="page8"/>
    <w:bookmarkEnd w:id="7"/>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The expected combination of increased clinical activity and longer half-life is predicted to enable the delivery of sufficient amounts of DMR-001 via subcutaneous injection to match and potentially exceed the reported efficacy of INCA033989 that was intravenously administered in Incyte Corporation’s (“Incyte”) Phase 1 trial. We believe such a subcutaneous formulation is critically important because it provides a more convenient dosing option for ET and MF patients, most of whom have a long life expectancy after diagnosis and thus require long-term treatment. We intend to file an IND or CTA for DMR-001 in mid-2026 and initiate a Phase 1 trial in ET and MF patients with a subcutaneous formulation thereafter, subject to regulatory approval, with two proof-of-concept readouts expected beginning mid-2027.</w:t>
      </w:r>
    </w:p>
    <w:p>
      <w:pPr>
        <w:spacing w:after="0" w:line="200"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auto"/>
        </w:rPr>
        <w:t>In addition, we are developing DMR-002 and DMR-003, both anti-mutCALR-based therapies, with the intent to ultimately address the full spectrum of mutCALR MPN patients. We intend to file an IND or CTA for DMR-002 in the second half of 2026 and for DMR-003 in 2027.</w:t>
      </w:r>
    </w:p>
    <w:p>
      <w:pPr>
        <w:spacing w:after="0" w:line="18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We periodically evaluate our product pipeline to assess whether development of certain assets in our portfolio align with our strategic objectives. Following a recent review of our product candidate portfolio, we have determined to focus on our mutCALR portfolio to address the full mutCALR MPN disease spectrum and have deprioritized continued development of GB3226, a small molecule inhibitor of ENL-YEATS and FLT3 for the treatment of acute myeloid leukemia (“AML”). We intend to explore entering into one or more corporate partnerships or collaboration arrangements to advance the development and commercialization of our legacy assets, including GB3226, GB1211 (galectin-3 inhibitor candidate), and GB2064 (LOXL-2 inhibitor candidate).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Pipeline</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our product candidates and programs and their current stage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6667500" cy="3381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extLst>
                    </a:blip>
                    <a:srcRect/>
                    <a:stretch>
                      <a:fillRect/>
                    </a:stretch>
                  </pic:blipFill>
                  <pic:spPr bwMode="auto">
                    <a:xfrm>
                      <a:off x="0" y="0"/>
                      <a:ext cx="6667500" cy="338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Our Strategy</w:t>
      </w:r>
    </w:p>
    <w:p>
      <w:pPr>
        <w:spacing w:after="0" w:line="120"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auto"/>
        </w:rPr>
        <w:t>Our goal is to develop potential best-in-class therapies to treat a range of hematologic disorders, including MPNs such as ET and MF. Our strategy to achieve this is as follows:</w:t>
      </w:r>
    </w:p>
    <w:p>
      <w:pPr>
        <w:spacing w:after="0" w:line="45" w:lineRule="exact"/>
        <w:rPr>
          <w:sz w:val="20"/>
          <w:szCs w:val="20"/>
          <w:color w:val="auto"/>
        </w:rPr>
      </w:pPr>
    </w:p>
    <w:p>
      <w:pPr>
        <w:ind w:left="1100" w:right="340" w:hanging="358"/>
        <w:spacing w:after="0" w:line="248" w:lineRule="auto"/>
        <w:tabs>
          <w:tab w:leader="none" w:pos="11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Initiate clinical development of DMR-001. </w:t>
      </w:r>
      <w:r>
        <w:rPr>
          <w:rFonts w:ascii="Times New Roman" w:cs="Times New Roman" w:eastAsia="Times New Roman" w:hAnsi="Times New Roman"/>
          <w:sz w:val="20"/>
          <w:szCs w:val="20"/>
          <w:color w:val="auto"/>
        </w:rPr>
        <w:t>Our preclinical results have shown that DMR-001 has improved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potency and pharmacokinetics compared to a reference antibody with the same mechanism of action as INCA033989, a molecule for which impressive Phase 1 clinical results in the treatment of ET and MF have been reported. We plan to file an IND or CTA for DMR-001 for the treatment of ET and MF patients in mid-2026 and initiate a Phase 1 trial in ET and MF patients with a subcutaneous formulation thereafter, subject to regulatory approval, with two proof-of-concept readouts expected beginning mid-2027.</w:t>
      </w:r>
    </w:p>
    <w:p>
      <w:pPr>
        <w:sectPr>
          <w:pgSz w:w="12960" w:h="17280" w:orient="portrait"/>
          <w:cols w:equalWidth="0" w:num="1">
            <w:col w:w="10500"/>
          </w:cols>
          <w:pgMar w:left="1360" w:top="142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2960" w:h="17280" w:orient="portrait"/>
          <w:cols w:equalWidth="0" w:num="1">
            <w:col w:w="10500"/>
          </w:cols>
          <w:pgMar w:left="1360" w:top="1420" w:right="1100" w:bottom="895" w:gutter="0" w:footer="0" w:header="0"/>
          <w:type w:val="continuous"/>
        </w:sectPr>
      </w:pPr>
    </w:p>
    <w:bookmarkStart w:id="8" w:name="page9"/>
    <w:bookmarkEnd w:id="8"/>
    <w:p>
      <w:pPr>
        <w:ind w:left="1100" w:right="320" w:hanging="358"/>
        <w:spacing w:after="0" w:line="254" w:lineRule="auto"/>
        <w:tabs>
          <w:tab w:leader="none" w:pos="11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Invest early in preparation for late-stage development of DMR-001. </w:t>
      </w:r>
      <w:r>
        <w:rPr>
          <w:rFonts w:ascii="Times New Roman" w:cs="Times New Roman" w:eastAsia="Times New Roman" w:hAnsi="Times New Roman"/>
          <w:sz w:val="20"/>
          <w:szCs w:val="20"/>
          <w:color w:val="auto"/>
        </w:rPr>
        <w:t>Although DMR-001 is not the first anti-mutCALR antibody to enter the clinic, we believe that it has the potential to be best-in-class. We intend to be in a position to execute additional clinical trials for DMR-001 in response to both the results that we generate and to those of our competitors, with the intent of minimizing unnecessary delays.</w:t>
      </w:r>
    </w:p>
    <w:p>
      <w:pPr>
        <w:spacing w:after="0" w:line="66" w:lineRule="exact"/>
        <w:rPr>
          <w:rFonts w:ascii="Times New Roman" w:cs="Times New Roman" w:eastAsia="Times New Roman" w:hAnsi="Times New Roman"/>
          <w:sz w:val="20"/>
          <w:szCs w:val="20"/>
          <w:color w:val="auto"/>
        </w:rPr>
      </w:pPr>
    </w:p>
    <w:p>
      <w:pPr>
        <w:ind w:left="1100" w:hanging="358"/>
        <w:spacing w:after="0" w:line="254" w:lineRule="auto"/>
        <w:tabs>
          <w:tab w:leader="none" w:pos="11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Advance DMR-002 and DMR-003 into clinical development. </w:t>
      </w:r>
      <w:r>
        <w:rPr>
          <w:rFonts w:ascii="Times New Roman" w:cs="Times New Roman" w:eastAsia="Times New Roman" w:hAnsi="Times New Roman"/>
          <w:sz w:val="20"/>
          <w:szCs w:val="20"/>
          <w:color w:val="auto"/>
        </w:rPr>
        <w:t>We are developing mutCALR targeted therapies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designed to be even more potent than DMR-001 with the goal of addressing the full spectrum of mutCALR-driven MPNs. We anticipate filing an IND or CTA for DMR-002 in the second half of 2026 and for DMR-003 in 2027.</w:t>
      </w:r>
    </w:p>
    <w:p>
      <w:pPr>
        <w:spacing w:after="0" w:line="66" w:lineRule="exact"/>
        <w:rPr>
          <w:rFonts w:ascii="Times New Roman" w:cs="Times New Roman" w:eastAsia="Times New Roman" w:hAnsi="Times New Roman"/>
          <w:sz w:val="20"/>
          <w:szCs w:val="20"/>
          <w:color w:val="auto"/>
        </w:rPr>
      </w:pPr>
    </w:p>
    <w:p>
      <w:pPr>
        <w:ind w:left="1100" w:right="40" w:hanging="358"/>
        <w:spacing w:after="0" w:line="261" w:lineRule="auto"/>
        <w:tabs>
          <w:tab w:leader="none" w:pos="11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Build focused company infrastructure and foster a positive corporate culture. </w:t>
      </w:r>
      <w:r>
        <w:rPr>
          <w:rFonts w:ascii="Times New Roman" w:cs="Times New Roman" w:eastAsia="Times New Roman" w:hAnsi="Times New Roman"/>
          <w:sz w:val="20"/>
          <w:szCs w:val="20"/>
          <w:color w:val="auto"/>
        </w:rPr>
        <w:t>We are building the infrastructure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Damora by incorporating our commitments to science-driven drug development and rapidly addressing the needs of patients with hematologic disorders.</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MPNs - a spectrum of diseases with high unmet medical need</w:t>
      </w:r>
    </w:p>
    <w:p>
      <w:pPr>
        <w:spacing w:after="0" w:line="124"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MPNs are a group of rare blood cancers in which excess red blood cells, white blood cells or platelets are produced in the bone marrow. The three most common MPNs are MF, ET, and polycythemia vera (“PV”). Common symptoms of MPNs include fatigue, itching, weight loss, night sweats, fever, difficulty breathing, abdominal swelling and discomfort due to spleen enlargement, bruising and stroke, all of which can be devastating and debilitating. Patients with ET and PV can progress to MF, and all MPN patients have a risk that their cancer progresses into AML, a hematological malignancy with a five-year survival rate of 33%.</w:t>
      </w:r>
    </w:p>
    <w:p>
      <w:pPr>
        <w:spacing w:after="0" w:line="200" w:lineRule="exact"/>
        <w:rPr>
          <w:sz w:val="20"/>
          <w:szCs w:val="20"/>
          <w:color w:val="auto"/>
        </w:rPr>
      </w:pPr>
    </w:p>
    <w:p>
      <w:pPr>
        <w:ind w:right="160" w:firstLine="490"/>
        <w:spacing w:after="0" w:line="278" w:lineRule="auto"/>
        <w:rPr>
          <w:sz w:val="20"/>
          <w:szCs w:val="20"/>
          <w:color w:val="auto"/>
        </w:rPr>
      </w:pPr>
      <w:r>
        <w:rPr>
          <w:rFonts w:ascii="Times New Roman" w:cs="Times New Roman" w:eastAsia="Times New Roman" w:hAnsi="Times New Roman"/>
          <w:sz w:val="19"/>
          <w:szCs w:val="19"/>
          <w:color w:val="auto"/>
        </w:rPr>
        <w:t>MPNs generally arise from mutations in the blood-forming stem cells of the bone marrow. The most commonly mutated genes observed in MPNs are JAK2, CALR, and myeloproliferative leukemia virus oncogene (“MPL”). These mutations lead to constitutive or always-on activation of signaling pathways that, when over-activated, drive the aberrant production of blood cells.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DMR-001, a product candidate designed to treat mutCALR-driven MPNs</w:t>
      </w:r>
    </w:p>
    <w:p>
      <w:pPr>
        <w:spacing w:after="0" w:line="124"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DMR-001 is a monoclonal antibody that targets mutCALR, a mutant protein that is believed to be a critical driver of approximately 25% of ET cases and 35% of MF cases. Third-party Phase 1 clinical data for INCA033989, an anti-mutCALR antibody, demonstrated that direct targeting of mutCALR can lead to rapid and sustained reduction in excess platelets, the key pathology in ET, and reduction in spleen volume and symptom improvement in MF. DMR-001 is designed to improve on the clinical activity and pharmacokinetics of INCA033989, which we believe will provide the opportunity to capture a sizable portion of the mutCALR market. We anticipate filing an IND or CTA for DMR-001 in mid-2026 and initiating a Phase 1 trial in ET and MF patients with a subcutaneous formulation thereafter, subject to regulatory approval, with two proof-of-concept readouts expected beginning mid-2027.</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ET background</w:t>
      </w:r>
    </w:p>
    <w:p>
      <w:pPr>
        <w:spacing w:after="0" w:line="120"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auto"/>
        </w:rPr>
        <w:t>ET, an MPN characterized by excessive platelet production, is associated with an increased risk of thrombosis and bleeding. The annual incidence of ET in the United States is 1.5/100,000 persons. The prevalence in the United States is approximately 140,000 patients.</w:t>
      </w:r>
    </w:p>
    <w:p>
      <w:pPr>
        <w:spacing w:after="0" w:line="18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Excessive levels of platelets in ET are associated with increased risk of serious conditions such as arterial thrombosis, venous thrombosis and hemorrhagic complications. In addition, patients with ET can experience symptoms that include tingling or burning in the hands and feet, headache, visual problems, weakness and dizziness. These symptoms and others result from excessive numbers of platelets causing blockages in small or large blood vessels in different parts of the body that can reduce patients’ quality of life. More serious potential complications include an increased risk of blood clots, causing heart attacks and strokes, as well as an increase in the risk of hemorrhage that rises with the platelet count. The median age at diagnosis of ET is 59 years. A significant fraction of ET patients progress to more aggressive cancers, including 17% who have CALR mutations who develop MF and 3% who develop AML.</w:t>
      </w:r>
    </w:p>
    <w:p>
      <w:pPr>
        <w:spacing w:after="0" w:line="202"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Approximately 90% of individuals with ET have genetic variants that upregulate the Janus-associated kinase/signal transducer and activator of transcription (“JAK-STAT”) signaling pathway, including JAK2, CALR or MPL, which encodes the thrombopoietin (“TPO”) receptor.</w:t>
      </w:r>
    </w:p>
    <w:p>
      <w:pPr>
        <w:sectPr>
          <w:pgSz w:w="12960" w:h="17280" w:orient="portrait"/>
          <w:cols w:equalWidth="0" w:num="1">
            <w:col w:w="10520"/>
          </w:cols>
          <w:pgMar w:left="1360" w:top="1416"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960" w:h="17280" w:orient="portrait"/>
          <w:cols w:equalWidth="0" w:num="1">
            <w:col w:w="10520"/>
          </w:cols>
          <w:pgMar w:left="1360" w:top="1416" w:right="1080" w:bottom="895"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1443990</wp:posOffset>
            </wp:positionH>
            <wp:positionV relativeFrom="page">
              <wp:posOffset>1212850</wp:posOffset>
            </wp:positionV>
            <wp:extent cx="5524500" cy="4610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524500" cy="4610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Figure 1. Mutations that drive JAK/STAT signaling, including those in JAK2, CALR and MPL are the primary causes of ET</w:t>
      </w:r>
    </w:p>
    <w:p>
      <w:pPr>
        <w:spacing w:after="0" w:line="23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main treatment objectives for patients with ET are to lower platelet levels to the normal range, lower the risk of fibrosis and lower the risk of progression to MF. About 30% to 40% of ET patients are classified as lower-risk patients who have elevated platelet counts without a history of clotting events. These patients are often treated with aspirin alone. The remaining ET patients carry a higher risk of clotting and bleeding. These patients are generally treated with hydroxyurea, which is not approved for the treatment of ET in the United States. Hydroxyurea does not alter the underlying disease process and, as a result, disease progression may continue in some patients. Long-term use of hydroxyurea is also associated with the development of mucosal ulcers, actinic keratosis and an increased risk of skin cancer. Anagrelide, an inhibitor of the maturation of megakaryocytes to platelets, is approved to treat ET but is associated with cardiotoxicity. Current treatments, including drugs such as hydroxyurea and anagrelide, are not selective for platelets affected by mutCALR. Although 59% of ET patients have mutations in JAK2, inhibitors of JAK, such as ruxolitinib, are not routinely used. Ruxolitinib is not approved to treat ET, as it failed to improve response rates and is associated with a number of toxicities that are barriers to widespread use. Interferon has also been reported to reduce platelet counts in ET patients in a small number of clinical trials, but it has not been approved for this indication.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MF disease overview</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MF is a MPN characterized by abnormal myeloid cell proliferation leading to inflammation and a fibrotic response in the bone marrow. This results in bone marrow scarring, splenomegaly, elevated cytokine levels, and marrow dysfunction. Symptoms include fatigue, easy bruising and bleeding, night sweats and fever. At the time of diagnosis, 35% to 54% of patients with MF have anemia. Within a year of diagnosis, 60% of patients develop anemia and 46% of all patients require treatment with red blood transfusions. Anemia is the disease feature most consistently associated with poor prognosis in MF. Up to 20% of MF patients will ultimately develop AML.</w:t>
      </w:r>
    </w:p>
    <w:p>
      <w:pPr>
        <w:spacing w:after="0" w:line="80"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auto"/>
        </w:rPr>
        <w:t>Because the median age of MF diagnosis is around 65 years, disease-associated complications are often compounded by concurring medical conditions such as diabetes, hypertension, atherosclerotic or pulmonary disease, and obesity. Patients with</w:t>
      </w:r>
    </w:p>
    <w:p>
      <w:pPr>
        <w:sectPr>
          <w:pgSz w:w="12960" w:h="17280" w:orient="portrait"/>
          <w:cols w:equalWidth="0" w:num="1">
            <w:col w:w="10520"/>
          </w:cols>
          <w:pgMar w:left="1360" w:top="1440" w:right="1080" w:bottom="895"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960" w:h="17280" w:orient="portrait"/>
          <w:cols w:equalWidth="0" w:num="1">
            <w:col w:w="10520"/>
          </w:cols>
          <w:pgMar w:left="1360" w:top="1440" w:right="1080" w:bottom="895" w:gutter="0" w:footer="0" w:header="0"/>
          <w:type w:val="continuous"/>
        </w:sectPr>
      </w:pPr>
    </w:p>
    <w:bookmarkStart w:id="10" w:name="page11"/>
    <w:bookmarkEnd w:id="10"/>
    <w:p>
      <w:pPr>
        <w:ind w:right="40"/>
        <w:spacing w:after="0" w:line="258" w:lineRule="auto"/>
        <w:rPr>
          <w:sz w:val="20"/>
          <w:szCs w:val="20"/>
          <w:color w:val="auto"/>
        </w:rPr>
      </w:pPr>
      <w:r>
        <w:rPr>
          <w:rFonts w:ascii="Times New Roman" w:cs="Times New Roman" w:eastAsia="Times New Roman" w:hAnsi="Times New Roman"/>
          <w:sz w:val="20"/>
          <w:szCs w:val="20"/>
          <w:color w:val="auto"/>
        </w:rPr>
        <w:t>intermediate-risk disease have a median overall survival of about five years which decreases to two years in those with high-risk disease. Common fatal complications include transformation into AML, thrombohemorrhagic events, organ failure, and infections. The prevalence of MF in the United States is estimated at 20,000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1242060</wp:posOffset>
            </wp:positionH>
            <wp:positionV relativeFrom="paragraph">
              <wp:posOffset>169545</wp:posOffset>
            </wp:positionV>
            <wp:extent cx="4200525" cy="2847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extLst>
                    </a:blip>
                    <a:srcRect/>
                    <a:stretch>
                      <a:fillRect/>
                    </a:stretch>
                  </pic:blipFill>
                  <pic:spPr bwMode="auto">
                    <a:xfrm>
                      <a:off x="0" y="0"/>
                      <a:ext cx="4200525" cy="284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Figure 2. Median overall survival for patients with MF</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treatments for MF</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The only current curative treatment for MF is allogeneic hematopoietic stem cell transplantation (“HSCT”); however, this procedure has both significant morbidity and a high mortality rate. Because many patients diagnosed with MF are elderly and have other comorbidities, only a minority are eligible for this treatment. In other patients, inhibitors of cell proliferation are used such as JAK inhibitors or chemotherapy agents.</w:t>
      </w:r>
    </w:p>
    <w:p>
      <w:pPr>
        <w:spacing w:after="0" w:line="194"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auto"/>
        </w:rPr>
        <w:t>These therapies, however, increase the risk of anemia, reduce platelet counts causing increased risk of bleeding and bruising, and reduce white blood cell counts, a condition known as neutropenia, resulting in increased risk of serious infections.</w:t>
      </w:r>
    </w:p>
    <w:p>
      <w:pPr>
        <w:spacing w:after="0" w:line="169"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Management of anemia can be one of the most challenging aspects of treating patients with MF. In patients with mild anemia, erythropoiesis stimulating agents, are used to stimulate red blood cell formation. Other patients are treated with steroids, including danazol, which lead to increases in hemoglobin (“Hb”), levels with a mean response time of five months in 30% of patients. Patients with more serious anemia are treated with blood transfusions, but over time, repeated transfusions lead to the development of iron overload, alloantibodies, and other toxicities.</w:t>
      </w:r>
    </w:p>
    <w:p>
      <w:pPr>
        <w:spacing w:after="0" w:line="16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We believe there remains a substantial unmet need for new therapies that can reduce disease symptoms and slow progression for MF patients.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Potential of targeting mutCALR</w:t>
      </w:r>
    </w:p>
    <w:p>
      <w:pPr>
        <w:spacing w:after="0" w:line="124"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We believe that mutCALR is a highly desirable target in oncology given its clear role as a disease driver. CALR normally functions as a calcium-binding chaperone that is active in three areas: intracellularly, on the cell surface, and extracellularly. However, in patients who have deleterious mutations, the gene for CALR is mutated so that the DNA transcription machinery does not stick to the normal reading frame. This so-called frameshift occurs in the protein-coding region of the gene and it results in the synthesis of mutCALR proteins that contain an amino acid sequence at the C-terminal end of the protein that is not present in normal CALR. In response to this additional sequence, these mutCALR proteins begin to drive abnormal cell proliferation by gaining the ability to bind to and stimulate signaling through a receptor known as the TPO receptor. TPO activation, in turn, activates the JAK/STAT pathway, a well-known pathway leading to cell proliferation. It is this JAK/STAT pathway activation which, in turn, drives the unhealthy proliferation of myeloid cells.</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960" w:h="17280" w:orient="portrait"/>
          <w:cols w:equalWidth="0" w:num="1">
            <w:col w:w="10520"/>
          </w:cols>
          <w:pgMar w:left="1360" w:top="1420" w:right="1080" w:bottom="895"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1553210</wp:posOffset>
            </wp:positionH>
            <wp:positionV relativeFrom="page">
              <wp:posOffset>1104265</wp:posOffset>
            </wp:positionV>
            <wp:extent cx="5305425" cy="4010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305425" cy="4010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i w:val="1"/>
          <w:iCs w:val="1"/>
          <w:color w:val="auto"/>
        </w:rPr>
        <w:t>Figure 3. mutCALR leads to TPO-independent activation of JAK/STAT signaling</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6</w:t>
      </w:r>
    </w:p>
    <w:p>
      <w:pPr>
        <w:sectPr>
          <w:pgSz w:w="12960" w:h="17280" w:orient="portrait"/>
          <w:cols w:equalWidth="0" w:num="1">
            <w:col w:w="10080"/>
          </w:cols>
          <w:pgMar w:left="1440" w:top="1440" w:right="1440" w:bottom="895" w:gutter="0" w:footer="0" w:header="0"/>
          <w:type w:val="continuous"/>
        </w:sectPr>
      </w:pPr>
    </w:p>
    <w:bookmarkStart w:id="12" w:name="page13"/>
    <w:bookmarkEnd w:id="12"/>
    <w:p>
      <w:pPr>
        <w:ind w:firstLine="490"/>
        <w:spacing w:after="0" w:line="258" w:lineRule="auto"/>
        <w:rPr>
          <w:sz w:val="20"/>
          <w:szCs w:val="20"/>
          <w:color w:val="auto"/>
        </w:rPr>
      </w:pPr>
      <w:r>
        <w:rPr>
          <w:rFonts w:ascii="Times New Roman" w:cs="Times New Roman" w:eastAsia="Times New Roman" w:hAnsi="Times New Roman"/>
          <w:sz w:val="20"/>
          <w:szCs w:val="20"/>
          <w:color w:val="auto"/>
        </w:rPr>
        <w:t>The majority of CALR mutations associated with ET are classified as Type 1 mutations (52 bp deletion) or Type 2 mutations (5 bp insertion) depending on the size and location of the frameshift causing genetic changes. Both Type 1 and Type 2 mutations result in a novel, shared mutant C-terminal domain.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1499235</wp:posOffset>
            </wp:positionH>
            <wp:positionV relativeFrom="paragraph">
              <wp:posOffset>169545</wp:posOffset>
            </wp:positionV>
            <wp:extent cx="3686175" cy="3724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extLst>
                    </a:blip>
                    <a:srcRect/>
                    <a:stretch>
                      <a:fillRect/>
                    </a:stretch>
                  </pic:blipFill>
                  <pic:spPr bwMode="auto">
                    <a:xfrm>
                      <a:off x="0" y="0"/>
                      <a:ext cx="3686175" cy="3724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Figure 4. Two types of mutCALR account for 85% of CALR mutations in ET</w:t>
      </w:r>
    </w:p>
    <w:p>
      <w:pPr>
        <w:spacing w:after="0" w:line="23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 addition to the critical role of mutCALR in stimulating cell proliferation, several other factors make mutCALR an especially attractive drug target. First, the frameshift mutations that create mutCALR lead to the expression of a protein domain that is not present in wild-type (“WT”) CALR, thereby providing an opportunity to specifically target mutCALR and avoid potential consequences of binding to CALR on healthy cells. Second, due to the deletion of the endoplasmic reticulum-localization signal that occurs when mutated, mutCALR localizes to the cell surface while WT CALR does not. Third, the pathology of mutCALR appears to be limited to its ability to activate the TPO receptor which is primarily expressed on platelets and hematopoietic progenitor cells that give rise to platelets, providing the ability to selectively and specifically target the root cause of the pathological cell proliferation. Fourth, mutations in CALR are mutually exclusive with other driver mutations, providing an opportunity to block oncogenic signaling through selective mutCALR inhibition with less potential for resistance.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recent third-party advancement in the treatment of ET and MF</w:t>
      </w:r>
    </w:p>
    <w:p>
      <w:pPr>
        <w:spacing w:after="0" w:line="120"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auto"/>
        </w:rPr>
        <w:t>In 2025, Incyte announced preliminary data from multiple Phase 1 clinical trials of INCA033989 in ET patients resistant or intolerant to prior cytoreductive therapy and MF patients resistant, intolerant or ineligible for JAK inhibitor treatment. Results from these trials demonstrated:</w:t>
      </w:r>
    </w:p>
    <w:p>
      <w:pPr>
        <w:spacing w:after="0" w:line="79" w:lineRule="exact"/>
        <w:rPr>
          <w:sz w:val="20"/>
          <w:szCs w:val="20"/>
          <w:color w:val="auto"/>
        </w:rPr>
      </w:pPr>
    </w:p>
    <w:p>
      <w:pPr>
        <w:ind w:left="1100" w:right="40" w:hanging="358"/>
        <w:spacing w:after="0" w:line="260" w:lineRule="auto"/>
        <w:tabs>
          <w:tab w:leader="none" w:pos="11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Clinical proof-of-concept for targeting mutCALR</w:t>
      </w:r>
      <w:r>
        <w:rPr>
          <w:rFonts w:ascii="Times New Roman" w:cs="Times New Roman" w:eastAsia="Times New Roman" w:hAnsi="Times New Roman"/>
          <w:sz w:val="20"/>
          <w:szCs w:val="20"/>
          <w:color w:val="auto"/>
        </w:rPr>
        <w:t>. In ET patients, INCA033989 induced rapid decreases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platelets and a trend toward normalization of healthy hematopoiesis. In MF patients, INCA033989 treatment resulted in rapid and robust spleen and anemia responses, as well as symptom improvements.</w:t>
      </w:r>
    </w:p>
    <w:p>
      <w:pPr>
        <w:spacing w:after="0" w:line="76" w:lineRule="exact"/>
        <w:rPr>
          <w:rFonts w:ascii="Arial" w:cs="Arial" w:eastAsia="Arial" w:hAnsi="Arial"/>
          <w:sz w:val="20"/>
          <w:szCs w:val="20"/>
          <w:color w:val="auto"/>
        </w:rPr>
      </w:pPr>
    </w:p>
    <w:p>
      <w:pPr>
        <w:ind w:left="1100" w:right="540" w:hanging="358"/>
        <w:spacing w:after="0" w:line="281" w:lineRule="auto"/>
        <w:tabs>
          <w:tab w:leader="none" w:pos="11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Evidence of disease modification with anti-mutCALR therapy</w:t>
      </w:r>
      <w:r>
        <w:rPr>
          <w:rFonts w:ascii="Times New Roman" w:cs="Times New Roman" w:eastAsia="Times New Roman" w:hAnsi="Times New Roman"/>
          <w:sz w:val="20"/>
          <w:szCs w:val="20"/>
          <w:color w:val="auto"/>
        </w:rPr>
        <w:t>. In ET patients, INCA033989 induced dose-dependent reductions in mutCALR variant allele frequency (“VAF”).</w:t>
      </w:r>
    </w:p>
    <w:p>
      <w:pPr>
        <w:spacing w:after="0" w:line="54" w:lineRule="exact"/>
        <w:rPr>
          <w:rFonts w:ascii="Arial" w:cs="Arial" w:eastAsia="Arial" w:hAnsi="Arial"/>
          <w:sz w:val="20"/>
          <w:szCs w:val="20"/>
          <w:color w:val="auto"/>
        </w:rPr>
      </w:pPr>
    </w:p>
    <w:p>
      <w:pPr>
        <w:ind w:left="1100" w:right="720" w:hanging="358"/>
        <w:spacing w:after="0" w:line="285" w:lineRule="auto"/>
        <w:tabs>
          <w:tab w:leader="none" w:pos="11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Favorable safety and tolerability with no evidence of on-target toxicity associated with anti-mutCALR therap</w:t>
      </w:r>
      <w:r>
        <w:rPr>
          <w:rFonts w:ascii="Times New Roman" w:cs="Times New Roman" w:eastAsia="Times New Roman" w:hAnsi="Times New Roman"/>
          <w:sz w:val="20"/>
          <w:szCs w:val="20"/>
          <w:color w:val="auto"/>
        </w:rPr>
        <w:t>y. INCA033989 was well tolerated with no dose-limiting toxicities.</w:t>
      </w:r>
    </w:p>
    <w:p>
      <w:pPr>
        <w:spacing w:after="0" w:line="47" w:lineRule="exact"/>
        <w:rPr>
          <w:rFonts w:ascii="Arial" w:cs="Arial" w:eastAsia="Arial" w:hAnsi="Arial"/>
          <w:sz w:val="20"/>
          <w:szCs w:val="20"/>
          <w:color w:val="auto"/>
        </w:rPr>
      </w:pPr>
    </w:p>
    <w:p>
      <w:pPr>
        <w:jc w:val="both"/>
        <w:ind w:left="1100" w:right="220" w:hanging="358"/>
        <w:spacing w:after="0" w:line="260" w:lineRule="auto"/>
        <w:tabs>
          <w:tab w:leader="none" w:pos="11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Opportunity for improvement with optimized anti-mutCALR therapy</w:t>
      </w:r>
      <w:r>
        <w:rPr>
          <w:rFonts w:ascii="Times New Roman" w:cs="Times New Roman" w:eastAsia="Times New Roman" w:hAnsi="Times New Roman"/>
          <w:sz w:val="20"/>
          <w:szCs w:val="20"/>
          <w:color w:val="auto"/>
        </w:rPr>
        <w:t>. In the INCA033989 trials, MF patients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non-Type 1 CALR mutations generally had poorer outcomes compared to patients with Type 1 mutations. In addition, the trials required IV doses of INCA033989 of up to 2,500 mg.</w:t>
      </w:r>
    </w:p>
    <w:p>
      <w:pPr>
        <w:sectPr>
          <w:pgSz w:w="12960" w:h="17280" w:orient="portrait"/>
          <w:cols w:equalWidth="0" w:num="1">
            <w:col w:w="10520"/>
          </w:cols>
          <w:pgMar w:left="1360" w:top="1420" w:right="1080" w:bottom="895"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960" w:h="17280" w:orient="portrait"/>
          <w:cols w:equalWidth="0" w:num="1">
            <w:col w:w="10520"/>
          </w:cols>
          <w:pgMar w:left="1360" w:top="1420" w:right="1080" w:bottom="895" w:gutter="0" w:footer="0" w:header="0"/>
          <w:type w:val="continuous"/>
        </w:sectPr>
      </w:pPr>
    </w:p>
    <w:bookmarkStart w:id="13" w:name="page14"/>
    <w:bookmarkEnd w:id="13"/>
    <w:p>
      <w:pPr>
        <w:jc w:val="both"/>
        <w:ind w:right="120" w:firstLine="490"/>
        <w:spacing w:after="0" w:line="252" w:lineRule="auto"/>
        <w:rPr>
          <w:sz w:val="20"/>
          <w:szCs w:val="20"/>
          <w:color w:val="auto"/>
        </w:rPr>
      </w:pPr>
      <w:r>
        <w:rPr>
          <w:rFonts w:ascii="Times New Roman" w:cs="Times New Roman" w:eastAsia="Times New Roman" w:hAnsi="Times New Roman"/>
          <w:sz w:val="20"/>
          <w:szCs w:val="20"/>
          <w:color w:val="auto"/>
        </w:rPr>
        <w:t>We believe the INCA033989 data provide important clinical validation for our therapeutic approach of potent and selective targeting of mutCALR in patients with mutCALR-driven ET and MF. In addition, we believe the data highlight an opportunity to achieve a best-in-class profile with an optimized therapy that potently inhibits both Type 1 and Type 2 CALR mutations with an extended half-life enabling convenient, infrequent and low-volume subcutaneous dosing.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solution, DMR-001</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DMR-001 is an anti-mutCALR monoclonal antibody designed to improve the ability to treat all patients that have either Type 1 or Type 2 mutCALR. DMR-001 is engineered to have improved potency against both Type 1 and Type 2 mutCALR, which we believe will provide the potential to treat patients with both classes of mutations at lower doses than may be required using INCA033989. Furthermore, DMR-001 contains modifications that are known to increase the half-life of antibodies in circulation. We believe that the increased potency and associated improvements in the half-life of DMR-001 will enable infrequent subcutaneous dosing and result in more convenience for patients compared to treatment with INCA033989, which is currently dosed by intravenous infusion every two weeks.</w:t>
      </w:r>
    </w:p>
    <w:p>
      <w:pPr>
        <w:spacing w:after="0" w:line="80"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 xml:space="preserve">In our preclinical studies, DMR-001 demonstrated approximately three-fold greater inhibition of cell proliferation of a cell line that is dependent on Type 1 mutCALR than a reference mutCALR antibody with the same mechanism of action as INCA033989. In this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assay, the proliferation of Ba/F3 cells was engineered to be dependent on Type 1 mutCALR and the TPO receptor. At 72 hours, DMR-001 led to more potent inhibition of proliferation than the reference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302260</wp:posOffset>
            </wp:positionV>
            <wp:extent cx="5495925" cy="4562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5495925" cy="456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Figure 5. DMR-001 was more potent than a reference mutCALR antibody in a Type 1 mutCALR-dependent cell assay</w:t>
      </w:r>
    </w:p>
    <w:p>
      <w:pPr>
        <w:sectPr>
          <w:pgSz w:w="12960" w:h="17280" w:orient="portrait"/>
          <w:cols w:equalWidth="0" w:num="1">
            <w:col w:w="10500"/>
          </w:cols>
          <w:pgMar w:left="1360" w:top="142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2960" w:h="17280" w:orient="portrait"/>
          <w:cols w:equalWidth="0" w:num="1">
            <w:col w:w="10500"/>
          </w:cols>
          <w:pgMar w:left="1360" w:top="1420" w:right="1100" w:bottom="895" w:gutter="0" w:footer="0" w:header="0"/>
          <w:type w:val="continuous"/>
        </w:sectPr>
      </w:pPr>
    </w:p>
    <w:bookmarkStart w:id="14" w:name="page15"/>
    <w:bookmarkEnd w:id="14"/>
    <w:p>
      <w:pPr>
        <w:ind w:right="560" w:firstLine="490"/>
        <w:spacing w:after="0" w:line="277" w:lineRule="auto"/>
        <w:rPr>
          <w:sz w:val="20"/>
          <w:szCs w:val="20"/>
          <w:color w:val="auto"/>
        </w:rPr>
      </w:pPr>
      <w:r>
        <w:rPr>
          <w:rFonts w:ascii="Times New Roman" w:cs="Times New Roman" w:eastAsia="Times New Roman" w:hAnsi="Times New Roman"/>
          <w:sz w:val="20"/>
          <w:szCs w:val="20"/>
          <w:color w:val="auto"/>
        </w:rPr>
        <w:t>In a similar assay in which the Ba/F3 cells were engineered to be dependent on a Type 2 mutCALR, DMR-001 had an approximately ten-fold greater inhibition of cell proliferation than the reference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157480</wp:posOffset>
            </wp:positionV>
            <wp:extent cx="5476875" cy="4371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5476875" cy="437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i w:val="1"/>
          <w:iCs w:val="1"/>
          <w:color w:val="auto"/>
        </w:rPr>
        <w:t>Figure 6. DMR-001 was more potent than a reference mutCALR antibody in a Type 2 mutCALR-dependent cell assay</w:t>
      </w:r>
    </w:p>
    <w:p>
      <w:pPr>
        <w:spacing w:after="0" w:line="23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High-molecular-weight biologics, such as antibodies, are routinely dosed via intravenous or subcutaneous administration. Subcutaneous administration has certain advantages in that patients can be dosed either during a clinic visit or via self-administered dosing at home, e.g., with an auto-injector, instead of receiving an hours-long intravenous administration in a hospital or infusion center. Subcutaneous administration is not only more convenient and desirable to patients, it also reduces the burden on healthcare facilities by lowering the cost of administration and increasing the number of patients who can be treated in a given time. The ability to administer treatment by subcutaneous injection is especially important for the treatment of chronic diseases, such as ET and MF, for which most patients have a long life expectancy after diagnosis and thus require long-term treatment.</w:t>
      </w:r>
    </w:p>
    <w:p>
      <w:pPr>
        <w:spacing w:after="0" w:line="20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DMR-001 has been engineered to have an extended half-life based on specific modifications that have been shown to extend the half-life of antibodies by three- to four-fold in other third-party therapies. In our preclinical studies, DMR-001 had a five-fold longer half-life in NHPs compared to a reference mutCALR antibody that lacked these modifications. We believe that the extended half-life observed in NHPs with DMR-001 has the potential to carry over into clinical development, as the half-life of other antibodies in NHPs, including those engineered to have extended half-lives, has been shown to correlate with that observed in humans.</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960" w:h="17280" w:orient="portrait"/>
          <w:cols w:equalWidth="0" w:num="1">
            <w:col w:w="10520"/>
          </w:cols>
          <w:pgMar w:left="1360" w:top="1420" w:right="1080" w:bottom="895"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1443990</wp:posOffset>
            </wp:positionH>
            <wp:positionV relativeFrom="page">
              <wp:posOffset>1104265</wp:posOffset>
            </wp:positionV>
            <wp:extent cx="5524500" cy="3962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524500" cy="396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Figure 7. DMR-001 had a five-fold longer half-life in non-human primates than a reference mutCALR antibody</w:t>
      </w:r>
    </w:p>
    <w:p>
      <w:pPr>
        <w:spacing w:after="0" w:line="23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We believe that the potential combination of the increased potency of DMR-001 combined with its longer half-life provides the opportunity to gain a competitive advantage to existing anti-mutCALR antibodies in development. We believe the combination of these enhancements provides the opportunity for low doses of DMR-001 to be administered subcutaneously using an autoinjector and for DMR-001 potentially to be administered less frequently than INCA033989.</w:t>
      </w:r>
    </w:p>
    <w:p>
      <w:pPr>
        <w:spacing w:after="0" w:line="19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To estimate the potential impact of the increased potency and the improved half-life of DMR -001, we modeled the pharmacokinetics of DMR-001 and compared that to the maximum dose of 2500 mg INCA033989 that was tested and led to clinical responses in Incyte’s Phase 1 trials. We believe that it is feasible for subcutaneous doses administered approximately every</w:t>
      </w:r>
    </w:p>
    <w:p>
      <w:pPr>
        <w:spacing w:after="0" w:line="2"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four weeks or less frequently to deliver sufficient DMR-001 to match what is known as the C</w:t>
      </w:r>
      <w:r>
        <w:rPr>
          <w:rFonts w:ascii="Times New Roman" w:cs="Times New Roman" w:eastAsia="Times New Roman" w:hAnsi="Times New Roman"/>
          <w:sz w:val="13"/>
          <w:szCs w:val="13"/>
          <w:color w:val="auto"/>
        </w:rPr>
        <w:t>trough</w:t>
      </w:r>
      <w:r>
        <w:rPr>
          <w:rFonts w:ascii="Times New Roman" w:cs="Times New Roman" w:eastAsia="Times New Roman" w:hAnsi="Times New Roman"/>
          <w:sz w:val="20"/>
          <w:szCs w:val="20"/>
          <w:color w:val="auto"/>
        </w:rPr>
        <w:t>, the lowest concentration of drug substance before administration of the subsequent dose, of 2500 mg of INCA033989 when INCA033989 is delivered</w:t>
      </w:r>
    </w:p>
    <w:p>
      <w:pPr>
        <w:ind w:right="60"/>
        <w:spacing w:after="0" w:line="248" w:lineRule="auto"/>
        <w:rPr>
          <w:sz w:val="20"/>
          <w:szCs w:val="20"/>
          <w:color w:val="auto"/>
        </w:rPr>
      </w:pPr>
      <w:r>
        <w:rPr>
          <w:rFonts w:ascii="Times New Roman" w:cs="Times New Roman" w:eastAsia="Times New Roman" w:hAnsi="Times New Roman"/>
          <w:sz w:val="20"/>
          <w:szCs w:val="20"/>
          <w:color w:val="auto"/>
        </w:rPr>
        <w:t xml:space="preserve">intravenously biweekly. We note that this analysis is based on an improvement in activity against Type 2 mutCALR for DMR-001 of only two-fold, which is substantially lower than the ten-fold improvement that we observed in our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experiments.</w:t>
      </w:r>
    </w:p>
    <w:p>
      <w:pPr>
        <w:spacing w:after="0" w:line="197"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We believe that the increased potency and improved pharmacokinetics of DMR-001 as well as the anticipated subcutaneous doses have the potential for DMR-001 to match doses of INCA033989 that have demonstrated meaningful clinical results in third-party clinical trials. We believe that the improved properties of DMR-001 may provide the opportunity to not only simplify dosing, but also to increase the response rates in patients with Type 2 mutCALR mutations.</w:t>
      </w:r>
    </w:p>
    <w:p>
      <w:pPr>
        <w:sectPr>
          <w:pgSz w:w="12960" w:h="17280" w:orient="portrait"/>
          <w:cols w:equalWidth="0" w:num="1">
            <w:col w:w="10520"/>
          </w:cols>
          <w:pgMar w:left="136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960" w:h="17280" w:orient="portrait"/>
          <w:cols w:equalWidth="0" w:num="1">
            <w:col w:w="10520"/>
          </w:cols>
          <w:pgMar w:left="1360" w:top="1440" w:right="1080" w:bottom="895"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1448435</wp:posOffset>
            </wp:positionH>
            <wp:positionV relativeFrom="page">
              <wp:posOffset>1104265</wp:posOffset>
            </wp:positionV>
            <wp:extent cx="5514975" cy="395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514975" cy="395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1480" w:right="60"/>
        <w:spacing w:after="0" w:line="275" w:lineRule="auto"/>
        <w:rPr>
          <w:sz w:val="20"/>
          <w:szCs w:val="20"/>
          <w:color w:val="auto"/>
        </w:rPr>
      </w:pPr>
      <w:r>
        <w:rPr>
          <w:rFonts w:ascii="Times New Roman" w:cs="Times New Roman" w:eastAsia="Times New Roman" w:hAnsi="Times New Roman"/>
          <w:sz w:val="20"/>
          <w:szCs w:val="20"/>
          <w:i w:val="1"/>
          <w:iCs w:val="1"/>
          <w:color w:val="auto"/>
        </w:rPr>
        <w:t>Figure 8. Pharmacologic modeling suggests that subcutaneous doses of DMR-001 can match the clinical activity of the highest dose of INCA033989 tested in the clinic</w:t>
      </w:r>
    </w:p>
    <w:p>
      <w:pPr>
        <w:spacing w:after="0" w:line="171"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auto"/>
        </w:rPr>
        <w:t>We anticipate filing an IND or CTA in mid-2026 and initiating a Phase 1 trial of a subcutaneous formulation in ET and MF patients thereafter, subject to regulatory approval.</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DMR-002 and DMR-003</w:t>
      </w:r>
    </w:p>
    <w:p>
      <w:pPr>
        <w:spacing w:after="0" w:line="124"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Although ET is a chronic disease that typically requires lifelong management, about 17% of patients with mutCALR ET progress to MF, a life-threatening condition. In addition, primary MF can occur, where patients are newly diagnosed with MF without any contributing progression from ET. Primary MF has an incidence in the United States of 3,700 to 3,900 new patients per year. Third-party clinical data of INCA033989 demonstrated promising activity as a monotherapy and as a combination therapy in reducing anemia and spleen volume, as well as improving symptoms in mutCALR MF patients.</w:t>
      </w:r>
    </w:p>
    <w:p>
      <w:pPr>
        <w:spacing w:after="0" w:line="197"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In addition, pursuant to the Paragon Option Agreement, we have the option to develop two additional anti-mutCALR product candidates: DMR-002, an undisclosed mechanism of action, and DMR-003, a bispecific CD3 x anti-mutCALR T cell engager. We plan to disclose specifics about both of these product candidates as they advance into formal clinical development. We anticipate filing an IND or CTA for DMR-002 in the second half of 2026 and for DMR-003 in 2027.</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Team and Investors</w:t>
      </w:r>
    </w:p>
    <w:p>
      <w:pPr>
        <w:spacing w:after="0" w:line="124"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On November 10, 2025, we announced the completion of the Asset Acquisition with the focus on advancing a pipeline of next-generation antibodies targeting mutCALR with respect to which we have the option to acquire intellectual property license rights pursuant to the Paragon Option Agreement. The antibodies subject to the Paragon Option Agreement were discovered and developed by Paragon, a biotechnology company applying cutting-edge science and technology to shape the next generation of novel best-in-class complex biologics for major medical needs. Paragon’s scientific founders’ discoveries have also led to the creation of six other successful, publicly traded biotechnology companies.</w:t>
      </w:r>
    </w:p>
    <w:p>
      <w:pPr>
        <w:spacing w:after="0" w:line="20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Concurrent with the closing of the Asset Acquisition, we completed a $285 million private placement with a syndicate of healthcare investors led by Fairmount Funds Management LLC, with participation from Viking Global Investors, Venrock Healthcare Capital Partners, Commodore Capital, Janus Henderson Investors, Wellington Management, RA Capital Management,</w:t>
      </w:r>
    </w:p>
    <w:p>
      <w:pPr>
        <w:sectPr>
          <w:pgSz w:w="12960" w:h="17280" w:orient="portrait"/>
          <w:cols w:equalWidth="0" w:num="1">
            <w:col w:w="10420"/>
          </w:cols>
          <w:pgMar w:left="1360" w:top="1440" w:right="1180" w:bottom="895" w:gutter="0" w:footer="0" w:header="0"/>
        </w:sect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11</w:t>
      </w:r>
    </w:p>
    <w:p>
      <w:pPr>
        <w:sectPr>
          <w:pgSz w:w="12960" w:h="17280" w:orient="portrait"/>
          <w:cols w:equalWidth="0" w:num="1">
            <w:col w:w="10420"/>
          </w:cols>
          <w:pgMar w:left="1360" w:top="1440" w:right="1180" w:bottom="895" w:gutter="0" w:footer="0" w:header="0"/>
          <w:type w:val="continuous"/>
        </w:sectPr>
      </w:pPr>
    </w:p>
    <w:bookmarkStart w:id="17" w:name="page18"/>
    <w:bookmarkEnd w:id="17"/>
    <w:p>
      <w:pPr>
        <w:ind w:right="640"/>
        <w:spacing w:after="0" w:line="277" w:lineRule="auto"/>
        <w:rPr>
          <w:sz w:val="20"/>
          <w:szCs w:val="20"/>
          <w:color w:val="auto"/>
        </w:rPr>
      </w:pPr>
      <w:r>
        <w:rPr>
          <w:rFonts w:ascii="Times New Roman" w:cs="Times New Roman" w:eastAsia="Times New Roman" w:hAnsi="Times New Roman"/>
          <w:sz w:val="20"/>
          <w:szCs w:val="20"/>
          <w:color w:val="auto"/>
        </w:rPr>
        <w:t>TCGX, Forbion, BB Biotech, Blackstone Multi-Asset Investing, Perceptive Advisors, Vestal Point Capital, Balyasny Asset Management, Andreessen Horowitz (a16z Bio + Health), and a leading life sciences investment firm.</w:t>
      </w:r>
    </w:p>
    <w:p>
      <w:pPr>
        <w:spacing w:after="0" w:line="169" w:lineRule="exact"/>
        <w:rPr>
          <w:sz w:val="20"/>
          <w:szCs w:val="20"/>
          <w:color w:val="auto"/>
        </w:rPr>
      </w:pPr>
    </w:p>
    <w:p>
      <w:pPr>
        <w:ind w:right="280" w:firstLine="490"/>
        <w:spacing w:after="0" w:line="247" w:lineRule="auto"/>
        <w:rPr>
          <w:sz w:val="20"/>
          <w:szCs w:val="20"/>
          <w:color w:val="auto"/>
        </w:rPr>
      </w:pPr>
      <w:r>
        <w:rPr>
          <w:rFonts w:ascii="Times New Roman" w:cs="Times New Roman" w:eastAsia="Times New Roman" w:hAnsi="Times New Roman"/>
          <w:sz w:val="20"/>
          <w:szCs w:val="20"/>
          <w:color w:val="auto"/>
        </w:rPr>
        <w:t>We have a strong management team, board of directors and group of employees with diverse backgrounds and significant experience in developing novel treatments for patients at biopharmaceutical companies such as CRISPR Therapeutics, Cogent Biosciences, Jade Biosciences, Oruka Therapeutics, Apogee Therapeutics, Spyre Therapeutics, Ultragenyx, Roche/Genentech, Arena Pharmaceuticals, Blueprint Medicines Corporation, IO Biotech, Inc., Anthos Therapeutics, and Xilio Therapeutics, Inc. Together, our team has a proven track record in the discovery, development, and commercialization of numerous approved therapeutics.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 of Damora Therapeutics, Inc.</w:t>
      </w:r>
    </w:p>
    <w:p>
      <w:pPr>
        <w:spacing w:after="0" w:line="24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On November 10, 2025, we effected the Asset Acquisition to acquire Damora Therapeutics, Inc., a private Delaware corporation (“Pre-Acquisition Damora”), in accordance with the terms of the Agreement and Plan of Merger (the “Acquisition Agreement”), by and among the Company, Daylight Merger Sub I, Inc., a Delaware corporation and a wholly owned subsidiary of the Company (“First Merger Sub”), Daylight Merger Sub II, LLC, a Delaware limited liability company and wholly owned subsidiary of the Company (“Second Merger Sub”), and Pre-Acquisition Damora. Pursuant to the Acquisition Agreement, First Merger Sub merged with and into Pre-Acquisition Damora, pursuant to which Pre-Acquisition Damora was the surviving corporation and became a wholly owned subsidiary of the Company (the “First Merger”). Immediately following the First Merger, Pre-Acquisition Damora merged with and into Second Merger Sub, pursuant to which Second Merger Sub was the surviving entity.</w:t>
      </w:r>
    </w:p>
    <w:p>
      <w:pPr>
        <w:spacing w:after="0" w:line="206"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The Asset Acquisition was structured as a stock-for-stock transaction pursuant to which all of Pre-Acquisition Damora’s outstanding equity interests were exchanged based on a fixed exchange ratio of 1-for-1.6366, for consideration of a combination of 265,309 shares of common stock, 16,366 shares of Series B non-voting convertible preferred stock, par value $0.00001 per share (the “Series B Preferred Stock”) (or 16,366,000 shares on an as-converted-to-common stock basis), and 4,241 shares of Series C non-voting convertible preferred stock, par value $0.00001 per share (the “Series C Preferred Stock”) (or 4,241,000 shares on an as-converted-to-common stock basis), in addition to the assumption of outstanding and unexercised stock options to purchase 434,508 shares of common stock from the Damora Therapeutics, Inc. 2025 Equity Incentive Plan.</w:t>
      </w:r>
    </w:p>
    <w:p>
      <w:pPr>
        <w:spacing w:after="0" w:line="20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With respect to the Asset Acquisition, we determined that we were the acquiror for accounting purposes under ASC 805-10-25-4 and ASC 805-10-55-11. The primary factors considered were (a) the relative voting rights in the combined entity not resulting in a change of control, (b) legacy members of our board of directors maintained control of the board, and (c) the composition of senior management remained the same at the closing of the Transactions (as defined below). Next, we considered whether the Asset Acquisition should be defined as a business under ASC 805. ASC 805-10-55-5A through 55-5C describe a screen test to determine whether an acquired set of assets and activities is not a business. We determined that substantially all (greater than 90%) of the fair value of the assets acquired were concentrated in a single asset, Pre-Acquisition Damora’s Option to license intellectual property rights related to DMR-001, DMR-002, and DMR-003 pursuant to the Paragon Option Agreement. Accordingly, we treated the Asset Acquisition as an asset acquisition for accounting purposes. Even if the transaction would have failed the screen test, Pre-Acquisition Damora lacked the financial resources to have inputs, processes, and outputs to constitute a business under ASC 805. Following the Asset Acquisition, we will need to invest in infrastructure and the continuing research and development being conducted under the Paragon Option Agreement to be able to have any measurable outputs.</w:t>
      </w:r>
    </w:p>
    <w:p>
      <w:pPr>
        <w:spacing w:after="0" w:line="206"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Concurrently with the Asset Acquisition, we entered into a securities purchase agreement (the “Securities Purchase Agreement”) for a private investment with existing and new investors (the “Investors”) to raise $285 million in which the Investors were issued 39,641 shares of Series C Preferred Stock (or 39,641,000 shares on an as-converted-to-common stock basis) at a price of $7,186.90 per share (or $7.1869 per share on an as-converted-to-common stock basis) (the “PIPE,” and together with the Asset Acquisition, the “Transactions”). The PIPE transaction closed on November 12, 2025.</w:t>
      </w:r>
    </w:p>
    <w:p>
      <w:pPr>
        <w:spacing w:after="0" w:line="19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The Transactions were approved by our board of directors and the board of directors and stockholders of Pre-Acquisition Damora. The closings of the Transactions were not subject to the approval of our stockholders. Subject to certain beneficial ownership limitations set by each holder, each share of Series B Preferred Stock and Series C Preferred stock will be convertible at the option of the holder into 1,000 shares of common stock. Except as otherwise required by law (e.g. voting on a change to the authorized shares of Series B Preferred Stock or the rights of such shares as required by Delaware General Corporation Law (the “DGCL”)) and the Certificate of Designation of Series B Non-Voting Convertible Preferred Stock (the “Series B Certificate of Designation”), the Series B Preferred Stock does not have voting rights. Except as otherwise required by law (e.g. voting on a change to the authorized shares of Series C Preferred Stock or the rights of such shares as required by DGCL) and the Certificate</w:t>
      </w:r>
    </w:p>
    <w:p>
      <w:pPr>
        <w:sectPr>
          <w:pgSz w:w="12960" w:h="17280" w:orient="portrait"/>
          <w:cols w:equalWidth="0" w:num="1">
            <w:col w:w="10520"/>
          </w:cols>
          <w:pgMar w:left="1360" w:top="1420" w:right="1080" w:bottom="895"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960" w:h="17280" w:orient="portrait"/>
          <w:cols w:equalWidth="0" w:num="1">
            <w:col w:w="10520"/>
          </w:cols>
          <w:pgMar w:left="1360" w:top="1420" w:right="1080" w:bottom="895" w:gutter="0" w:footer="0" w:header="0"/>
          <w:type w:val="continuous"/>
        </w:sectPr>
      </w:pPr>
    </w:p>
    <w:bookmarkStart w:id="18" w:name="page19"/>
    <w:bookmarkEnd w:id="18"/>
    <w:p>
      <w:pPr>
        <w:spacing w:after="0" w:line="244" w:lineRule="auto"/>
        <w:rPr>
          <w:sz w:val="20"/>
          <w:szCs w:val="20"/>
          <w:color w:val="auto"/>
        </w:rPr>
      </w:pPr>
      <w:r>
        <w:rPr>
          <w:rFonts w:ascii="Times New Roman" w:cs="Times New Roman" w:eastAsia="Times New Roman" w:hAnsi="Times New Roman"/>
          <w:sz w:val="20"/>
          <w:szCs w:val="20"/>
          <w:color w:val="auto"/>
        </w:rPr>
        <w:t>of Designation of Series C Non-Voting Convertible Preferred Stock (the “Series C Certificate of Designation”), the Series C Preferred Stock does not have voting rights. On February 9, 2026, we held a special meeting of stockholders of the company and received stockholder approval of, among other proposals, (i) the issuance of shares of common stock upon conversion of the Series B Preferred Stock and Series C Preferred Stock and (ii) an amendment to our amended and restated certificate of incorporation (the “Share Increase Amendment”) to increase the number of authorized shares of common stock from 300,000,000 to 500,000,000. Following the special meeting of stockholders of the company, on February 9, 2026, 42,005 shares of Series C Preferred Stock were automatically converted into 42,005,000 shares of common stock. On February 9, 2026, we filed with the Secretary of State of the State of Delaware the Share Increase of Amendment to increase the number of authorized shares of common stock from 300,000,000 to 500,000,000.</w:t>
      </w:r>
    </w:p>
    <w:p>
      <w:pPr>
        <w:spacing w:after="0" w:line="206"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Concurrently and in connection with the execution of the Acquisition Agreement, certain Pre-Acquisition Damora stockholders as of immediately prior to the Asset Acquisition, and certain of our directors and officers as of immediately prior to the Asset Acquisition entered into lock-up agreements with us and Pre-Acquisition Damora, pursuant to which each such stockholder will be subject to a 180-day lockup on the sale or transfer of shares of common stock held by each such stockholder at the closing of the Asset Acquisition, including those shares received by such Pre-Acquisition Damora stockholders in the Asset Acquisition.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Shelf Registration Statement, ATM Offering Program and February 2026 Public Offering</w:t>
      </w:r>
    </w:p>
    <w:p>
      <w:pPr>
        <w:spacing w:after="0" w:line="240"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auto"/>
        </w:rPr>
        <w:t>On February 10, 2026, we filed an automatically effective shelf registration statement (the “Registration Statement”) with the SEC for the issuance of common stock, preferred stock, warrants, debt securities, rights and units.</w:t>
      </w:r>
    </w:p>
    <w:p>
      <w:pPr>
        <w:spacing w:after="0" w:line="169"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auto"/>
        </w:rPr>
        <w:t>On February 10, 2026, we entered into a sales agreement (the “ATM Agreement”), pursuant to which we may sell, from time -to-time, shares of our common stock under an at-the-market (“ATM”) offering program for up to $150.0 million. As of the date of this filing, we have not made any sales under the ATM offering program and have $150.0 million in remaining capacity under the ATM offering program.</w:t>
      </w:r>
    </w:p>
    <w:p>
      <w:pPr>
        <w:spacing w:after="0" w:line="19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On February 10, 2026, we also entered into an underwriting agreement with certain underwriters to issue and sell 14,473,685 shares of our common stock, including the full exercise by the underwriters of their option to purchase an additional 2,171,052 shares, at a public offering price of $19.00 per share. The net proceeds from this offering were approximately $297.3 million, after deducting underwriting discounts and commissions and expenses of the offering. The underwritten offering closed on February 12, 2026.</w:t>
      </w:r>
    </w:p>
    <w:p>
      <w:pPr>
        <w:spacing w:after="0" w:line="197"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auto"/>
        </w:rPr>
        <w:t>We intend to use the net proceeds from this offering to advance our preclinical studies, clinical trials, and manufacturing in support of our antibody programs, as well as for additional research and development activities, working capital, and general corporate purposes. We may also use a portion of the proceeds to license, acquire or invest in new product candidates or for drug development activities related to such product candidates, complementary businesses, technology or assets.</w:t>
      </w:r>
    </w:p>
    <w:p>
      <w:pPr>
        <w:spacing w:after="0" w:line="194"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auto"/>
        </w:rPr>
        <w:t>The underwritten offering was made pursuant to the Registration Statement. A final prospectus supplement dated February 10, 2026 relating to and describing the terms of the underwritten offering was filed with the SEC on February 11,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Name Change</w:t>
      </w:r>
    </w:p>
    <w:p>
      <w:pPr>
        <w:spacing w:after="0" w:line="240"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On March 6, 2026, we filed with the Secretary of State of the State of Delaware an amendment to our amended and restated certificate of incorporation to change the name of the Company from “Galecto, Inc.” to “Damora Therapeutics, Inc.” (the “Name Change Amendment”). The Name Change Amendment became effective at 12:01 a.m. Eastern Time on March 10,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Relationship with Fairmount, Paragon and Paramora</w:t>
      </w:r>
    </w:p>
    <w:p>
      <w:pPr>
        <w:spacing w:after="0" w:line="24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connection with the Asset Acquisition, we assumed the rights and obligations of Pre-Acquisition Damora under the Paragon Option Agreement. Fairmount beneficially owns more than 5% of Paragon, appointed Paragon’s board of directors, and has the contractual right to approve the appointment of any executive officers of Paragon. Paramora is an entity formed by Paragon as a vehicle to hold equity in Pre-Acquisition Damora (and as a result of the Asset Acquisition, us) in order to share profits with certain employees of Paragon and will not perform any substantive role under the Paragon Option Agreement other than to receive warrants expected to be granted to Paramora under the Paragon Option Agreement. Three of our directors are affiliated with Fairmount (Peter Harwin, Christopher Cain, Ph.D., and Julianne Bruno) and were appointed in accordance with the Acquisition Agreement. We consider Paragon, Paramora, and Fairmount to be related parties. See the section titled “Paragon Option Agreement” below for more information on the Paragon Option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Paragon Option Agreement</w:t>
      </w:r>
    </w:p>
    <w:p>
      <w:pPr>
        <w:sectPr>
          <w:pgSz w:w="12960" w:h="17280" w:orient="portrait"/>
          <w:cols w:equalWidth="0" w:num="1">
            <w:col w:w="10520"/>
          </w:cols>
          <w:pgMar w:left="1360" w:top="1420" w:right="1080" w:bottom="895"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960" w:h="17280" w:orient="portrait"/>
          <w:cols w:equalWidth="0" w:num="1">
            <w:col w:w="10520"/>
          </w:cols>
          <w:pgMar w:left="1360" w:top="1420" w:right="1080" w:bottom="895" w:gutter="0" w:footer="0" w:header="0"/>
          <w:type w:val="continuous"/>
        </w:sectPr>
      </w:pPr>
    </w:p>
    <w:bookmarkStart w:id="19" w:name="page20"/>
    <w:bookmarkEnd w:id="19"/>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On October 7, 2025, Pre-Acquisition Damora entered into the Paragon Option Agreement with Paragon and Paramora. In connection with the Asset Acquisition, we assumed the rights and obligations of Pre-Acquisition Damora under the Paragon Option Agreement. Under the terms of the Paragon Option Agreement, Paragon agreed to perform certain research activities to discover, generate, identify, and characterize one or more antibody candidates directed to certain mutually agreed therapeutic targets of interest (each, a “Research Program”). The Paragon Option Agreement includes mutCALR as the selected target for DMR-001 and DMR-002, and mutCALR and CD3 as the selected targets for DMR-003. From time to time, we may choose to add additional targets to the Paragon Option Agreement by mutual agreement with Paragon and Paramora.</w:t>
      </w:r>
    </w:p>
    <w:p>
      <w:pPr>
        <w:spacing w:after="0" w:line="20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Paragon Option Agreement requires us, Paragon, and Paramora to develop a research plan for each target that includes design, modeling, synthesis, evaluation, and other mutually agreed activities (each, a “Research Plan”). Paragon will perform the activities set forth in each Research Plan on the timelines set forth in such Research Plan and in compliance with a mutually agreed budget. Each Research Program will be overseen and coordinated by a joint development committee consisting of two of our employees and two employees from Paragon, with us and Paragon each having one vote with respect to decisions of the committee. When Paragon and Paramora have produced an antibody against a selected target, and upon the completion of each Research Program, Paragon and Paramora will deliver to us a data package that includes sequence information for all then-existing antibodies and information directed to such target. We, Paragon, and Paramora have developed a Research Plan for each of DMR-001, DMR-002, and DMR-003 consistent with the foregoing, and Paragon and Paramora have delivered an antibody against mutCALR with respect to DMR-001 in accordance with the applicable Research Plan.</w:t>
      </w:r>
    </w:p>
    <w:p>
      <w:pPr>
        <w:spacing w:after="0" w:line="202" w:lineRule="exact"/>
        <w:rPr>
          <w:sz w:val="20"/>
          <w:szCs w:val="20"/>
          <w:color w:val="auto"/>
        </w:rPr>
      </w:pPr>
    </w:p>
    <w:p>
      <w:pPr>
        <w:ind w:right="40" w:firstLine="490"/>
        <w:spacing w:after="0" w:line="241" w:lineRule="auto"/>
        <w:rPr>
          <w:sz w:val="20"/>
          <w:szCs w:val="20"/>
          <w:color w:val="auto"/>
        </w:rPr>
      </w:pPr>
      <w:r>
        <w:rPr>
          <w:rFonts w:ascii="Times New Roman" w:cs="Times New Roman" w:eastAsia="Times New Roman" w:hAnsi="Times New Roman"/>
          <w:sz w:val="20"/>
          <w:szCs w:val="20"/>
          <w:color w:val="auto"/>
        </w:rPr>
        <w:t>Under the Paragon Option Agreement, we have an option (an “Option”), on a Research Program-by-Research Program basis, to enter into a separate agreement with Paragon consistent with a set of pre-negotiated terms (a “License Agreement”). Each License Agreement will include (a) an exclusive, worldwide license to all of Paragon’s right, title, and interest in and to certain product-specific intellectual property resulting from the applicable Research Program to develop, manufacture, and commercialize the antibodies and products directed to the selected target(s), and (b), for DMR-001 and DMR-002, a non-exclusive, worldwide license to all of Paragon’s right, title, and interest in and to the intellectual property resulting from the applicable monospecific Research Program to develop, manufacture, and commercialize multispecific antibodies and products directed to the selected target(s). Additionally, each License Agreement under the Paragon Option Agreement will include a non-exclusive, worldwide license to certain patents controlled by Paragon or its affiliates that (i) include a claim that expressly recites the sequence of the monospecific or bispecific antibody, as applicable, or the derived antibodies applicable to the Research Program, and (ii) are necessary to develop, manufacture or commercialize the monospecific or bispecific antibody, as applicable, or the derived antibodies applicable to the Research Program, but exclude any patents owned or otherwise controlled by Paragon or its affiliates that cover (x) that antigen-binding portion of any antibody or moiety that is directed to a target other than the target(s) of the Research Program (e.g., a second binder in a multispecific antibody), (y) any portion of any multispecific antibody other than an antibody directed to the target(s) of the Research Program, and (z) the composition of matter of, or any method of specifically making or using, a multispecific antibody directed to targets other than the target(s) of the Research Program that is developed, manufactured, commercialized or otherwise exploited by Paragon or its affiliate or sublicensee (other than us and our affiliates and sublicensees). The Option with respect to each Research Program is exercisable at our sole discretion at any time during the period beginning on the initiation of activities under the associated Research Program and ending a specified number of days following the delivery of the data package from Paragon related to the results of the Research Program (an “Option Period”). There is no payment due upon exercise of an Option pursuant to the Paragon Option Agreement. Activities under a Research Plan may continue past the exercise of an Option or entry into a License Agreement. We have exercised our Option with respect to DMR-001 and are negotiating the related License Agreement, but our Options with respect to DMR-002 and DMR-003 currently remain unexercised.</w:t>
      </w:r>
    </w:p>
    <w:p>
      <w:pPr>
        <w:spacing w:after="0" w:line="2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Upon exercise of an Option with respect to a Research Program, the parties are obligated to use reasonable efforts to finalize and execute a License Agreement within 90 days. Under the terms of a License Agreement, we expect that we will have sole authority over and control of the development, regulatory approval, manufacturing and commercialization of such in-licensed product worldwide. In addition, we expect to have sole authority over and control of the application for and issuance of all regulatory approvals related to such in-licensed product. Prior to entry into a License Agreement, Paragon is responsible for the prosecution, defense, maintenance and enforcement of patents related to the Research Program. Following entry into a License Agreement, we expect to control prosecution, defense, maintenance and enforcement of patents exclusively in-licensed under such License Agreement. However, there is no assurance that we will successfully negotiate future License Agreements with Paragon or that the terms will not differ from those described in this prospectus.</w:t>
      </w:r>
    </w:p>
    <w:p>
      <w:pPr>
        <w:spacing w:after="0" w:line="206"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Unless terminated earlier, the Paragon Option Agreement shall continue in force on a Research Program -by-Research Program basis until the earlier of: (i) the end of the Option Period for such Research Program, as applicable, if such Option is not exercised by us; (ii) if we exercise our Option with respect to a Research Program, but the parties are unable to finalize and execute a License Agreement within 90 days, the expiration of such 90-day period (subject to any mutually agreed extension of such period); and (iii) the expiration of the applicable Research Term (as defined under the Paragon Option Agreement). We may terminate the Paragon Option Agreement or any Research Program at any time for any or no reason upon 30 days’ prior written</w:t>
      </w:r>
    </w:p>
    <w:p>
      <w:pPr>
        <w:sectPr>
          <w:pgSz w:w="12960" w:h="17280" w:orient="portrait"/>
          <w:cols w:equalWidth="0" w:num="1">
            <w:col w:w="10520"/>
          </w:cols>
          <w:pgMar w:left="1360" w:top="1420" w:right="1080" w:bottom="895"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960" w:h="17280" w:orient="portrait"/>
          <w:cols w:equalWidth="0" w:num="1">
            <w:col w:w="10520"/>
          </w:cols>
          <w:pgMar w:left="1360" w:top="1420" w:right="1080" w:bottom="895" w:gutter="0" w:footer="0" w:header="0"/>
          <w:type w:val="continuous"/>
        </w:sectPr>
      </w:pPr>
    </w:p>
    <w:bookmarkStart w:id="20" w:name="page21"/>
    <w:bookmarkEnd w:id="20"/>
    <w:p>
      <w:pPr>
        <w:ind w:right="140"/>
        <w:spacing w:after="0" w:line="246" w:lineRule="auto"/>
        <w:rPr>
          <w:sz w:val="20"/>
          <w:szCs w:val="20"/>
          <w:color w:val="auto"/>
        </w:rPr>
      </w:pPr>
      <w:r>
        <w:rPr>
          <w:rFonts w:ascii="Times New Roman" w:cs="Times New Roman" w:eastAsia="Times New Roman" w:hAnsi="Times New Roman"/>
          <w:sz w:val="20"/>
          <w:szCs w:val="20"/>
          <w:color w:val="auto"/>
        </w:rPr>
        <w:t>notice to Paragon; provided, that we must pay certain unpaid fees due to Paragon upon such termination, as well as any non-cancellable obligations reasonably incurred by Paragon in connection with its activities under any terminated Research Program. Paragon may terminate the Paragon Option Agreement or any Research Program immediately upon written notice to us if, as a result of any action or failure to act by us or our affiliates, such Research Program or all material activities under the applicable Research Plan are suspended, discontinued or otherwise delayed for a period of four consecutive months. Each party has the right to terminate the Paragon Option Agreement or any Research Program upon (i) 30 days’ prior written notice of the other party’s material breach that remains uncured for the 30-day period and (ii) the other party’s bankruptcy.</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Upon signing of the Paragon Option Agreement, Pre-Acquisition Damora became obligated to reimburse Paragon</w:t>
      </w:r>
    </w:p>
    <w:p>
      <w:pPr>
        <w:spacing w:after="0" w:line="2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$10.6 million for research and development costs related to DMR-001, DMR-002, and DMR-003, other general and administrative costs incurred by Paragon though September 30, 2025, and certain additional development costs incurred between October 1, 2025 and October 7, 2025 (the “Pre-Development Costs”) . The Pre-Development Costs reflect the actual historical costs incurred by Paragon, including a 20% mark-up on certain direct costs to approximate the indirect costs incurred by Paragon from inception of the programs to the entry into the Paragon Option Agreement. Such direct costs incurred by Paragon were related to development activities. Paragon’s cash flows related to DMR-001, DMR-002, and DMR-003 are operating cash flows.</w:t>
      </w:r>
    </w:p>
    <w:p>
      <w:pPr>
        <w:spacing w:after="0" w:line="206"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We are also required to pay Paragon for certain development fees and costs on a Research Program-by-Research Program basis. Under the Paragon Option Agreement, we are required to pay Paragon a one-time, non-refundable research initiation fee within 30 days following finalization of a Research Plan in the amount of $1.25 million for each of DMR-001, DMR-002, and DMR-003. The Research Plans for each of DMR-001, DMR-002, and DMR-003 were completed in December 2025, and we paid the related fees in January 2026. Under the Paragon Option Agreement, on a Research Program-by-Research Program and product-by-product basis, we are required to make one-time non-refundable milestone payments to Paragon of up to a total of $22.0 million, upon the achievement of certain clinical development and regulatory milestones. We recognized research and development expense of $1.5 million related to the milestone payment due to Paragon in connection with the achievement of a development candidate for DMR-001 in December 2025, and we paid the related amount in January 2026.</w:t>
      </w:r>
    </w:p>
    <w:p>
      <w:pPr>
        <w:spacing w:after="0" w:line="206"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Upon exercise of the Option with respect to a Research Program, the parties are obligated to use reasonable efforts to finalize and execute a License Agreement within 90 days. Any License Agreement entered into with respect to a given Research Program shall contain the same milestone payment obligations as the Paragon Option Agreement, provided that any milestone set in the Paragon Option Agreement that has not yet been achieved and is duplicated in such License Agreement shall no longer be achievable and payable under the terms of the Paragon Option Agreement and shall only be achievable under the terms of the License Agreement. For the avoidance of doubt, if a milestone is achieved and paid by us pursuant to the Paragon Option Agreement for a certain product, then there shall be no milestone payment due for the achievement of such milestone for such product under a subsequently executed License Agreement for the applicable Research Program. Further, under a License Agreement, we would also be required to make royalty payments to Paragon in the low to mid-single-digit percentage range based on net sales of products, subject to certain reductions. The royalty term will terminate on a product-by-product and country-by-country basis upon the later of the expiration of the last-to-expire valid claim within the relevant patent rights or the twelfth anniversary of the first commercial sale of such product in such country.</w:t>
      </w:r>
    </w:p>
    <w:p>
      <w:pPr>
        <w:spacing w:after="0" w:line="206"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Additionally, as part of the Paragon Option Agreement, on each of December 31, 2025 and December 31, 2026, we are required to grant Paramora warrants to purchase a number of shares equal to 1.00% of our outstanding capital stock as of the date of the grant on a fully-diluted basis, with an exercise price equal to the fair market value of the underlying shares of our common stock on each respective grant date. If the Research Term with respect to all Research Programs ends prior to the end of a calendar year, the warrant grant for such calendar year shall be pro-rated. On December 31, 2025, in accordance with the Paragon Option Agreement, we issued to Paramora a warrant (the "Paramora Warrant") to purchase an aggregate of up to 628,302 shares of common stock, with a per share exercise price equal to $23.01.</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the closing of the Asset Acquisition, Pre-Acquisition Damora had incurred total expenses of $15.2 million under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Paragon Option Agreement since its inception, along with $3.8M of expense related to the Paramora Warrant. No payments were</w:t>
      </w:r>
    </w:p>
    <w:p>
      <w:pPr>
        <w:spacing w:after="0"/>
        <w:rPr>
          <w:sz w:val="20"/>
          <w:szCs w:val="20"/>
          <w:color w:val="auto"/>
        </w:rPr>
      </w:pPr>
      <w:r>
        <w:rPr>
          <w:rFonts w:ascii="Times New Roman" w:cs="Times New Roman" w:eastAsia="Times New Roman" w:hAnsi="Times New Roman"/>
          <w:sz w:val="20"/>
          <w:szCs w:val="20"/>
          <w:color w:val="auto"/>
        </w:rPr>
        <w:t>made by Pre-Acquisition Damora to Paragon prior to the closing of the Asset Acquisition. From the Asset Acquisition through</w:t>
      </w:r>
    </w:p>
    <w:p>
      <w:pPr>
        <w:spacing w:after="0"/>
        <w:rPr>
          <w:sz w:val="20"/>
          <w:szCs w:val="20"/>
          <w:color w:val="auto"/>
        </w:rPr>
      </w:pPr>
      <w:r>
        <w:rPr>
          <w:rFonts w:ascii="Times New Roman" w:cs="Times New Roman" w:eastAsia="Times New Roman" w:hAnsi="Times New Roman"/>
          <w:sz w:val="20"/>
          <w:szCs w:val="20"/>
          <w:color w:val="auto"/>
        </w:rPr>
        <w:t>December 31, 2025, we have recognized $12.7 million of total expense pursuant to the Paragon Option Agreement, along with</w:t>
      </w:r>
    </w:p>
    <w:p>
      <w:pPr>
        <w:spacing w:after="0"/>
        <w:rPr>
          <w:sz w:val="20"/>
          <w:szCs w:val="20"/>
          <w:color w:val="auto"/>
        </w:rPr>
      </w:pPr>
      <w:r>
        <w:rPr>
          <w:rFonts w:ascii="Times New Roman" w:cs="Times New Roman" w:eastAsia="Times New Roman" w:hAnsi="Times New Roman"/>
          <w:sz w:val="20"/>
          <w:szCs w:val="20"/>
          <w:color w:val="auto"/>
        </w:rPr>
        <w:t>$9.4M of expense related to the Paramora Warrant. The $12.7 million of total expense pursuant to the Paragon Option Agreement,</w:t>
      </w:r>
    </w:p>
    <w:p>
      <w:pPr>
        <w:spacing w:after="0"/>
        <w:rPr>
          <w:sz w:val="20"/>
          <w:szCs w:val="20"/>
          <w:color w:val="auto"/>
        </w:rPr>
      </w:pPr>
      <w:r>
        <w:rPr>
          <w:rFonts w:ascii="Times New Roman" w:cs="Times New Roman" w:eastAsia="Times New Roman" w:hAnsi="Times New Roman"/>
          <w:sz w:val="20"/>
          <w:szCs w:val="20"/>
          <w:color w:val="auto"/>
        </w:rPr>
        <w:t>includes $12.6 million related to research and development expense and $0.1 million related to general and administrative expense.</w:t>
      </w:r>
    </w:p>
    <w:p>
      <w:pPr>
        <w:spacing w:after="0"/>
        <w:rPr>
          <w:sz w:val="20"/>
          <w:szCs w:val="20"/>
          <w:color w:val="auto"/>
        </w:rPr>
      </w:pPr>
      <w:r>
        <w:rPr>
          <w:rFonts w:ascii="Times New Roman" w:cs="Times New Roman" w:eastAsia="Times New Roman" w:hAnsi="Times New Roman"/>
          <w:sz w:val="20"/>
          <w:szCs w:val="20"/>
          <w:color w:val="auto"/>
        </w:rPr>
        <w:t>Of the research and development expense, $8.1 million related to DMR-001, $2.2 million related to DMR-002, $1.6 million related</w:t>
      </w:r>
    </w:p>
    <w:p>
      <w:pPr>
        <w:spacing w:after="0"/>
        <w:rPr>
          <w:sz w:val="20"/>
          <w:szCs w:val="20"/>
          <w:color w:val="auto"/>
        </w:rPr>
      </w:pPr>
      <w:r>
        <w:rPr>
          <w:rFonts w:ascii="Times New Roman" w:cs="Times New Roman" w:eastAsia="Times New Roman" w:hAnsi="Times New Roman"/>
          <w:sz w:val="20"/>
          <w:szCs w:val="20"/>
          <w:color w:val="auto"/>
        </w:rPr>
        <w:t>to DMR-003, and $0.7 million was for shared program costs supporting all three programs. As of the date of this 10-K filing, there</w:t>
      </w:r>
    </w:p>
    <w:p>
      <w:pPr>
        <w:spacing w:after="0"/>
        <w:rPr>
          <w:sz w:val="20"/>
          <w:szCs w:val="20"/>
          <w:color w:val="auto"/>
        </w:rPr>
      </w:pPr>
      <w:r>
        <w:rPr>
          <w:rFonts w:ascii="Times New Roman" w:cs="Times New Roman" w:eastAsia="Times New Roman" w:hAnsi="Times New Roman"/>
          <w:sz w:val="20"/>
          <w:szCs w:val="20"/>
          <w:color w:val="auto"/>
        </w:rPr>
        <w:t>are no outstanding payments to Paragon related to expenses under the Paragon Option Agreement.</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960" w:h="17280" w:orient="portrait"/>
          <w:cols w:equalWidth="0" w:num="1">
            <w:col w:w="10520"/>
          </w:cols>
          <w:pgMar w:left="1360" w:top="1420" w:right="1080" w:bottom="895"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120"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auto"/>
        </w:rPr>
        <w:t>We strive to protect the proprietary programs and technologies that we believe are important to our business, including seeking and maintaining patent protection intended to cover the composition of matter of our programs, our methods of use and manufacture, and other inventions.</w:t>
      </w:r>
    </w:p>
    <w:p>
      <w:pPr>
        <w:spacing w:after="0" w:line="18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Paragon has filed provisional patent applications directed to antibodies that bind to mutCALR, including applications covering composition of matter, pharmaceutical formulations, and methods of using such antibodies. These applications disclose planned products for our DMR-001 and DMR-002 programs. A provisional patent application is an application filed in the United States Patent and Trademark Office (“USPTO”) for the purpose of securing an early date of priority for the applicant’s invention. The provisional application must include a written description of what the inventor has discovered, along with a drawing of the invention, but need not include patent claims, statements concerning or disclosing the prior art, or certain other formalities. A provisional patent application allows for an effective filing date to be established with regard to an invention, but once a provisional patent application is filed, either a corresponding non-provisional patent application or a petition to convert the provisional patent application into a non-provisional patent application must be filed within 12 months or such effective filing date will be lost.</w:t>
      </w:r>
    </w:p>
    <w:p>
      <w:pPr>
        <w:spacing w:after="0" w:line="202"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The maximum term of a U.S. patent, excluding extensions and adjustments, begins on the effective filing date of the first non-provisional application claiming the patented invention and ending 20 years from that date. In essence, a provisional patent application provides a patent applicant two principal advantages over filing a non-provisional application. First, it allows the applicant to secure an earlier priority date for its invention than that of an equivalent non-provisional application-up to one year earlier than the filing date of a related non-provisional application. Second, since the term of a patent runs from the effective filing date of the first non-provisional application but does not begin upon filing a provisional application, filing a provisional application provides the applicant an additional year’s time to refine that invention before filing a related non-provisional application without surrendering the earlier priority date. Securing an earlier priority date both ensures that later inventors cannot obtain a patent to the same invention and provides protection against certain arguments that developments in the field arising after the priority date should prevent or invalidate the applicant’s invention.</w:t>
      </w:r>
    </w:p>
    <w:p>
      <w:pPr>
        <w:spacing w:after="0" w:line="20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If the non-provisional patent applications filed for DMR-001 result in issued patents, such patents are expected to expire in 2046, without taking potential patent term adjustment or patent term extension into consideration. If we or Paragon timely file non-provisional patent applications in the United States and in countries outside of the United States with regard to Paragon’s DMR-002-related provisional patent applications and these non-provisional patent applications result in issued patents, such patents are expected to expire in 2046, without taking potential patent term adjustment or patent term extension into consideration.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IP Rights</w:t>
      </w:r>
    </w:p>
    <w:p>
      <w:pPr>
        <w:spacing w:after="0" w:line="12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In addition to patents, we rely upon unpatented trade secrets,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that such agreements will not be breached, or that these agreements will afford us adequate protection of our intellectual property and proprietary rights. For more information, please see the section titled “</w:t>
      </w:r>
      <w:r>
        <w:rPr>
          <w:rFonts w:ascii="Times New Roman" w:cs="Times New Roman" w:eastAsia="Times New Roman" w:hAnsi="Times New Roman"/>
          <w:sz w:val="20"/>
          <w:szCs w:val="20"/>
          <w:i w:val="1"/>
          <w:iCs w:val="1"/>
          <w:color w:val="auto"/>
        </w:rPr>
        <w:t>Risk Factors-Risks Related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Our Intellectual Property</w:t>
      </w:r>
      <w:r>
        <w:rPr>
          <w:rFonts w:ascii="Times New Roman" w:cs="Times New Roman" w:eastAsia="Times New Roman" w:hAnsi="Times New Roman"/>
          <w:sz w:val="20"/>
          <w:szCs w:val="20"/>
          <w:color w:val="auto"/>
        </w:rPr>
        <w:t>” in this prospectus.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w:t>
      </w:r>
    </w:p>
    <w:p>
      <w:pPr>
        <w:spacing w:after="0" w:line="124"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auto"/>
        </w:rPr>
        <w:t>Should any of our product candidates be approved for commercialization, we intend to develop a plan to commercialize them in the United States and other key markets, through internal infrastructure and/or external partnerships in a manner that will enable us to realize the full commercial value of our programs. Given our stage of development, we have not yet established a commercial organization or distribution capabilities.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We do not own or operate, and currently have no plans to establish, any manufacturing facilities. All of our preclinical and clinical drug supply development, manufacturing, storage, distribution and testing are outsourced to third-party manufacturers and</w:t>
      </w:r>
    </w:p>
    <w:p>
      <w:pPr>
        <w:sectPr>
          <w:pgSz w:w="12960" w:h="17280" w:orient="portrait"/>
          <w:cols w:equalWidth="0" w:num="1">
            <w:col w:w="10520"/>
          </w:cols>
          <w:pgMar w:left="1360" w:top="1416" w:right="1080" w:bottom="895" w:gutter="0" w:footer="0" w:header="0"/>
        </w:sectPr>
      </w:pP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960" w:h="17280" w:orient="portrait"/>
          <w:cols w:equalWidth="0" w:num="1">
            <w:col w:w="10520"/>
          </w:cols>
          <w:pgMar w:left="1360" w:top="1416" w:right="1080" w:bottom="895" w:gutter="0" w:footer="0" w:header="0"/>
          <w:type w:val="continuous"/>
        </w:sectPr>
      </w:pPr>
    </w:p>
    <w:bookmarkStart w:id="22" w:name="page23"/>
    <w:bookmarkEnd w:id="22"/>
    <w:p>
      <w:pPr>
        <w:ind w:right="120"/>
        <w:spacing w:after="0" w:line="252" w:lineRule="auto"/>
        <w:rPr>
          <w:sz w:val="20"/>
          <w:szCs w:val="20"/>
          <w:color w:val="auto"/>
        </w:rPr>
      </w:pPr>
      <w:r>
        <w:rPr>
          <w:rFonts w:ascii="Times New Roman" w:cs="Times New Roman" w:eastAsia="Times New Roman" w:hAnsi="Times New Roman"/>
          <w:sz w:val="20"/>
          <w:szCs w:val="20"/>
          <w:color w:val="auto"/>
        </w:rPr>
        <w:t>facilities. Our manufacturing strategy enables us to more efficiently direct financial resources to the research, development and commercialization of programs rather than diverting resources to internally develop and maintain manufacturing facilities. As our programs advance through development, we expect to enter into longer-term commercial supply agreements with key suppliers and manufacturers to fulfill and secure our supply needs.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4"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auto"/>
        </w:rPr>
        <w:t>We expect to face competition from other biopharmaceutical companies that are developing agents for the treatment of mutCALR-driven MPNs, including ET and MF. If approved for the treatment of patients with mutCALR-driven MPNs, our portfolio of products would compete with hydroxyurea, which is not approved for the treatment of ET in the United States, anagrelide, ruxolitinib, and interferon, which has not been approved for ET, and well as ruxolitinib, momelotinib, pacritinib and fedratinib in MF.</w:t>
      </w:r>
    </w:p>
    <w:p>
      <w:pPr>
        <w:spacing w:after="0" w:line="197" w:lineRule="exact"/>
        <w:rPr>
          <w:sz w:val="20"/>
          <w:szCs w:val="20"/>
          <w:color w:val="auto"/>
        </w:rPr>
      </w:pPr>
    </w:p>
    <w:p>
      <w:pPr>
        <w:ind w:right="300" w:firstLine="490"/>
        <w:spacing w:after="0" w:line="249" w:lineRule="auto"/>
        <w:rPr>
          <w:sz w:val="20"/>
          <w:szCs w:val="20"/>
          <w:color w:val="auto"/>
        </w:rPr>
      </w:pPr>
      <w:r>
        <w:rPr>
          <w:rFonts w:ascii="Times New Roman" w:cs="Times New Roman" w:eastAsia="Times New Roman" w:hAnsi="Times New Roman"/>
          <w:sz w:val="20"/>
          <w:szCs w:val="20"/>
          <w:color w:val="auto"/>
        </w:rPr>
        <w:t>We are aware of several companies with product candidates in development for the treatment of patients with mutCALR-driven MPNs, including Incyte’s INCA033989 and INCA035784, Janssen Pharmaceuticals, Inc.’s JNJ-88549968, Meiji Seika Pharma’s mutCALR TCE, Prelude Therapeutics, LLC’s mCALR CDK9d DAC, Alethio Therapeutics’ AT-02, PharmaEssentia Corporation’s ropeginterferon alfa-2b, Merck &amp; Co., Inc’s bomedemstat, Novartis AG’s pelabresib, Geron Corporation’s imetelstat, and Kartos Therapeutics, Inc.’s navtemadlin.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2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third-party contractors, will be required to navigate the various preclinical, clinical and commercial approval requirements of the governing regulatory authorities of the countries in which we conduct studies or seek approval or licensure of our product candidates. Generally, before a new therapeutic product can be marketed, considerable data demonstrating a biological product candidate’s quality, safety, purity and potency, must be obtained, organized into a format specific for each regulatory authority, submitted for review and approved by the regulatory authority. For biological product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Biologics Regulation</w:t>
      </w:r>
    </w:p>
    <w:p>
      <w:pPr>
        <w:spacing w:after="0" w:line="12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In the United States, biological products (or “biologics”) are subject to regulation under the Federal Food, Drug, and Cosmetic Act (“FDCA”), the Public Health Service Act (“PHSA”) and other federal, state, local, and foreign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 and judicial sanctions. The process required by the FDA before biologic product candidates may be marketed in the United States generally involves the following:</w:t>
      </w:r>
    </w:p>
    <w:p>
      <w:pPr>
        <w:spacing w:after="0" w:line="80" w:lineRule="exact"/>
        <w:rPr>
          <w:sz w:val="20"/>
          <w:szCs w:val="20"/>
          <w:color w:val="auto"/>
        </w:rPr>
      </w:pPr>
    </w:p>
    <w:p>
      <w:pPr>
        <w:ind w:left="1100" w:right="140" w:hanging="358"/>
        <w:spacing w:after="0" w:line="277" w:lineRule="auto"/>
        <w:tabs>
          <w:tab w:leader="none" w:pos="11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preclinical laboratory tests and animal studies performed in accordance with the FDA’s current Good Laboratory Practices (“GLP”) regulations;</w:t>
      </w:r>
    </w:p>
    <w:p>
      <w:pPr>
        <w:spacing w:after="0" w:line="49" w:lineRule="exact"/>
        <w:rPr>
          <w:rFonts w:ascii="Times New Roman" w:cs="Times New Roman" w:eastAsia="Times New Roman" w:hAnsi="Times New Roman"/>
          <w:sz w:val="20"/>
          <w:szCs w:val="20"/>
          <w:color w:val="auto"/>
        </w:rPr>
      </w:pPr>
    </w:p>
    <w:p>
      <w:pPr>
        <w:ind w:left="1100" w:hanging="358"/>
        <w:spacing w:after="0" w:line="277" w:lineRule="auto"/>
        <w:tabs>
          <w:tab w:leader="none" w:pos="11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IND, which must become effective before clinical trials may begin and must be updated annually or when significant changes are made;</w:t>
      </w:r>
    </w:p>
    <w:p>
      <w:pPr>
        <w:spacing w:after="0" w:line="49" w:lineRule="exact"/>
        <w:rPr>
          <w:rFonts w:ascii="Times New Roman" w:cs="Times New Roman" w:eastAsia="Times New Roman" w:hAnsi="Times New Roman"/>
          <w:sz w:val="20"/>
          <w:szCs w:val="20"/>
          <w:color w:val="auto"/>
        </w:rPr>
      </w:pPr>
    </w:p>
    <w:p>
      <w:pPr>
        <w:ind w:left="1100" w:right="280" w:hanging="358"/>
        <w:spacing w:after="0" w:line="277" w:lineRule="auto"/>
        <w:tabs>
          <w:tab w:leader="none" w:pos="11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an independent institutional review board (“IRB”), or ethics committee at each clinical site before the trial is commenced;</w:t>
      </w:r>
    </w:p>
    <w:p>
      <w:pPr>
        <w:spacing w:after="0" w:line="49" w:lineRule="exact"/>
        <w:rPr>
          <w:rFonts w:ascii="Times New Roman" w:cs="Times New Roman" w:eastAsia="Times New Roman" w:hAnsi="Times New Roman"/>
          <w:sz w:val="20"/>
          <w:szCs w:val="20"/>
          <w:color w:val="auto"/>
        </w:rPr>
      </w:pPr>
    </w:p>
    <w:p>
      <w:pPr>
        <w:ind w:left="1100" w:right="980" w:hanging="358"/>
        <w:spacing w:after="0" w:line="277" w:lineRule="auto"/>
        <w:tabs>
          <w:tab w:leader="none" w:pos="11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 of the proposed biologic candidate in accordance with current good manufacturing practices (“cGMPs”);</w:t>
      </w:r>
    </w:p>
    <w:p>
      <w:pPr>
        <w:spacing w:after="0" w:line="49" w:lineRule="exact"/>
        <w:rPr>
          <w:rFonts w:ascii="Times New Roman" w:cs="Times New Roman" w:eastAsia="Times New Roman" w:hAnsi="Times New Roman"/>
          <w:sz w:val="20"/>
          <w:szCs w:val="20"/>
          <w:color w:val="auto"/>
        </w:rPr>
      </w:pPr>
    </w:p>
    <w:p>
      <w:pPr>
        <w:ind w:left="1100" w:right="40" w:hanging="358"/>
        <w:spacing w:after="0" w:line="258" w:lineRule="auto"/>
        <w:tabs>
          <w:tab w:leader="none" w:pos="11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good clinical practice (“GCP”) requirements to establish the safety, purity and potency of the proposed biologic product candidate for its intended purpose;</w:t>
      </w:r>
    </w:p>
    <w:p>
      <w:pPr>
        <w:spacing w:after="0" w:line="68" w:lineRule="exact"/>
        <w:rPr>
          <w:rFonts w:ascii="Times New Roman" w:cs="Times New Roman" w:eastAsia="Times New Roman" w:hAnsi="Times New Roman"/>
          <w:sz w:val="20"/>
          <w:szCs w:val="20"/>
          <w:color w:val="auto"/>
        </w:rPr>
      </w:pPr>
    </w:p>
    <w:p>
      <w:pPr>
        <w:ind w:left="1100" w:right="100" w:hanging="358"/>
        <w:spacing w:after="0" w:line="277" w:lineRule="auto"/>
        <w:tabs>
          <w:tab w:leader="none" w:pos="11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preparation of and submission to the FDA of a biologics license application (“BLA”), after completion of all pivotal clinical trials;</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determination by the FDA within 60 days of its receipt of a BLA to file the application for review;</w:t>
      </w:r>
    </w:p>
    <w:p>
      <w:pPr>
        <w:sectPr>
          <w:pgSz w:w="12960" w:h="17280" w:orient="portrait"/>
          <w:cols w:equalWidth="0" w:num="1">
            <w:col w:w="10520"/>
          </w:cols>
          <w:pgMar w:left="1360" w:top="1420" w:right="1080" w:bottom="895"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960" w:h="17280" w:orient="portrait"/>
          <w:cols w:equalWidth="0" w:num="1">
            <w:col w:w="10520"/>
          </w:cols>
          <w:pgMar w:left="1360" w:top="1420" w:right="1080" w:bottom="895" w:gutter="0" w:footer="0" w:header="0"/>
          <w:type w:val="continuous"/>
        </w:sectPr>
      </w:pPr>
    </w:p>
    <w:bookmarkStart w:id="23" w:name="page24"/>
    <w:bookmarkEnd w:id="23"/>
    <w:p>
      <w:pPr>
        <w:ind w:left="1100" w:hanging="358"/>
        <w:spacing w:after="0"/>
        <w:tabs>
          <w:tab w:leader="none" w:pos="11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 FDA Advisory Committee review, if applicable;</w:t>
      </w:r>
    </w:p>
    <w:p>
      <w:pPr>
        <w:spacing w:after="0" w:line="112" w:lineRule="exact"/>
        <w:rPr>
          <w:rFonts w:ascii="Times New Roman" w:cs="Times New Roman" w:eastAsia="Times New Roman" w:hAnsi="Times New Roman"/>
          <w:sz w:val="20"/>
          <w:szCs w:val="20"/>
          <w:color w:val="auto"/>
        </w:rPr>
      </w:pPr>
    </w:p>
    <w:p>
      <w:pPr>
        <w:ind w:left="1100" w:right="360" w:hanging="358"/>
        <w:spacing w:after="0" w:line="252" w:lineRule="auto"/>
        <w:tabs>
          <w:tab w:leader="none" w:pos="11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GCPs; and</w:t>
      </w:r>
    </w:p>
    <w:p>
      <w:pPr>
        <w:spacing w:after="0" w:line="74" w:lineRule="exact"/>
        <w:rPr>
          <w:rFonts w:ascii="Times New Roman" w:cs="Times New Roman" w:eastAsia="Times New Roman" w:hAnsi="Times New Roman"/>
          <w:sz w:val="20"/>
          <w:szCs w:val="20"/>
          <w:color w:val="auto"/>
        </w:rPr>
      </w:pPr>
    </w:p>
    <w:p>
      <w:pPr>
        <w:ind w:left="1100" w:right="80" w:hanging="358"/>
        <w:spacing w:after="0" w:line="277" w:lineRule="auto"/>
        <w:tabs>
          <w:tab w:leader="none" w:pos="11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review and approval of a BLA to permit commercial marketing of the product for particular indications for use in the United States.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and Clinical Development</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Prior to beginning any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partial or full clinical hold and the IND sponsor, and the FDA must resolve any outstanding concerns or questions before the clinical trial can begin. Submission of an IND therefore may or may not result in FDA authorization to begin a clinical trial.</w:t>
      </w:r>
    </w:p>
    <w:p>
      <w:pPr>
        <w:spacing w:after="0" w:line="202"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trial,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representing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For purposes of BLA approval, human clinical trials are typically conducted in three sequential phases that may overlap.</w:t>
      </w:r>
    </w:p>
    <w:p>
      <w:pPr>
        <w:spacing w:after="0" w:line="120" w:lineRule="exact"/>
        <w:rPr>
          <w:sz w:val="20"/>
          <w:szCs w:val="20"/>
          <w:color w:val="auto"/>
        </w:rPr>
      </w:pPr>
    </w:p>
    <w:p>
      <w:pPr>
        <w:ind w:left="1100" w:right="340" w:hanging="358"/>
        <w:spacing w:after="0" w:line="252"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74" w:lineRule="exact"/>
        <w:rPr>
          <w:rFonts w:ascii="Times New Roman" w:cs="Times New Roman" w:eastAsia="Times New Roman" w:hAnsi="Times New Roman"/>
          <w:sz w:val="20"/>
          <w:szCs w:val="20"/>
          <w:color w:val="auto"/>
        </w:rPr>
      </w:pPr>
    </w:p>
    <w:p>
      <w:pPr>
        <w:ind w:left="1100" w:right="100" w:hanging="358"/>
        <w:spacing w:after="0" w:line="252"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7" w:lineRule="exact"/>
        <w:rPr>
          <w:rFonts w:ascii="Times New Roman" w:cs="Times New Roman" w:eastAsia="Times New Roman" w:hAnsi="Times New Roman"/>
          <w:sz w:val="20"/>
          <w:szCs w:val="20"/>
          <w:color w:val="auto"/>
        </w:rPr>
      </w:pPr>
    </w:p>
    <w:p>
      <w:pPr>
        <w:ind w:left="1100" w:right="60" w:hanging="358"/>
        <w:spacing w:after="0" w:line="252"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w:t>
      </w:r>
    </w:p>
    <w:p>
      <w:pPr>
        <w:sectPr>
          <w:pgSz w:w="12960" w:h="17280" w:orient="portrait"/>
          <w:cols w:equalWidth="0" w:num="1">
            <w:col w:w="10520"/>
          </w:cols>
          <w:pgMar w:left="1360" w:top="1420" w:right="1080" w:bottom="895"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960" w:h="17280" w:orient="portrait"/>
          <w:cols w:equalWidth="0" w:num="1">
            <w:col w:w="10520"/>
          </w:cols>
          <w:pgMar w:left="1360" w:top="1420" w:right="1080" w:bottom="895" w:gutter="0" w:footer="0" w:header="0"/>
          <w:type w:val="continuous"/>
        </w:sectPr>
      </w:pPr>
    </w:p>
    <w:bookmarkStart w:id="24" w:name="page25"/>
    <w:bookmarkEnd w:id="24"/>
    <w:p>
      <w:pPr>
        <w:ind w:right="560"/>
        <w:spacing w:after="0" w:line="277" w:lineRule="auto"/>
        <w:rPr>
          <w:sz w:val="20"/>
          <w:szCs w:val="20"/>
          <w:color w:val="auto"/>
        </w:rPr>
      </w:pPr>
      <w:r>
        <w:rPr>
          <w:rFonts w:ascii="Times New Roman" w:cs="Times New Roman" w:eastAsia="Times New Roman" w:hAnsi="Times New Roman"/>
          <w:sz w:val="20"/>
          <w:szCs w:val="20"/>
          <w:color w:val="auto"/>
        </w:rPr>
        <w:t>and tested, and stability studies must be conducted to demonstrate that the product candidate does not undergo unacceptable deterioration over its shelf life.</w:t>
      </w:r>
    </w:p>
    <w:p>
      <w:pPr>
        <w:spacing w:after="0" w:line="169"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auto"/>
        </w:rPr>
        <w:t>A sponsor may choose, but is not required, to conduct a foreign clinical trial under an IND. When a foreign clinical trial is conducted under an IND, all IND requirements must be met unless waived. When the foreign clinical trial is not conducted under an IND, the sponsor must ensure that the trial complies with certain FDA regulatory requirements in order to use the trial as support for an IND or application for marketing approval or licensure, including that the trial was conducted in accordance with GCP, including review and approval by an independent ethics committee and use of proper procedures for obtaining informed consent from subjects, and the FDA is able to validate the data from the trial through an onsite inspection if the FDA deems such inspection necessary. The GCP requirements encompass both ethical and data integrity standards for clinical studies.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BLA Submission and Review</w:t>
      </w:r>
    </w:p>
    <w:p>
      <w:pPr>
        <w:spacing w:after="0" w:line="12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product, or from a number of alternative sources, including studies initiated and sponsored by investigators. The submission of a BLA requires payment of a substantial application user fee to the FDA, unless a waiver or exemption applies.</w:t>
      </w:r>
    </w:p>
    <w:p>
      <w:pPr>
        <w:spacing w:after="0" w:line="20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10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w:t>
      </w:r>
    </w:p>
    <w:p>
      <w:pPr>
        <w:spacing w:after="0" w:line="209" w:lineRule="exact"/>
        <w:rPr>
          <w:sz w:val="20"/>
          <w:szCs w:val="20"/>
          <w:color w:val="auto"/>
        </w:rPr>
      </w:pPr>
    </w:p>
    <w:p>
      <w:pPr>
        <w:ind w:right="280" w:firstLine="490"/>
        <w:spacing w:after="0" w:line="245" w:lineRule="auto"/>
        <w:rPr>
          <w:sz w:val="20"/>
          <w:szCs w:val="20"/>
          <w:color w:val="auto"/>
        </w:rPr>
      </w:pPr>
      <w:r>
        <w:rPr>
          <w:rFonts w:ascii="Times New Roman" w:cs="Times New Roman" w:eastAsia="Times New Roman" w:hAnsi="Times New Roman"/>
          <w:sz w:val="20"/>
          <w:szCs w:val="20"/>
          <w:color w:val="auto"/>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ensure consistent production of the product within required specifications. Additionally, before approving a BLA, the FDA will typically inspect one or more clinical sites to ensure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202"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w:t>
      </w:r>
    </w:p>
    <w:p>
      <w:pPr>
        <w:sectPr>
          <w:pgSz w:w="12960" w:h="17280" w:orient="portrait"/>
          <w:cols w:equalWidth="0" w:num="1">
            <w:col w:w="10500"/>
          </w:cols>
          <w:pgMar w:left="1360" w:top="1420" w:right="1100" w:bottom="895"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960" w:h="17280" w:orient="portrait"/>
          <w:cols w:equalWidth="0" w:num="1">
            <w:col w:w="10500"/>
          </w:cols>
          <w:pgMar w:left="1360" w:top="1420" w:right="1100" w:bottom="895" w:gutter="0" w:footer="0" w:header="0"/>
          <w:type w:val="continuous"/>
        </w:sectPr>
      </w:pPr>
    </w:p>
    <w:bookmarkStart w:id="25" w:name="page26"/>
    <w:bookmarkEnd w:id="25"/>
    <w:p>
      <w:pPr>
        <w:ind w:right="120"/>
        <w:spacing w:after="0" w:line="249" w:lineRule="auto"/>
        <w:rPr>
          <w:sz w:val="20"/>
          <w:szCs w:val="20"/>
          <w:color w:val="auto"/>
        </w:rPr>
      </w:pPr>
      <w:r>
        <w:rPr>
          <w:rFonts w:ascii="Times New Roman" w:cs="Times New Roman" w:eastAsia="Times New Roman" w:hAnsi="Times New Roman"/>
          <w:sz w:val="20"/>
          <w:szCs w:val="20"/>
          <w:color w:val="auto"/>
        </w:rPr>
        <w:t>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12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and potency or effectiveness of biologics.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authorities, and are subject to periodic unannounced inspections by the FDA and certain state authorities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spacing w:after="0" w:line="20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0" w:lineRule="exact"/>
        <w:rPr>
          <w:sz w:val="20"/>
          <w:szCs w:val="20"/>
          <w:color w:val="auto"/>
        </w:rPr>
      </w:pPr>
    </w:p>
    <w:p>
      <w:pPr>
        <w:ind w:left="1100" w:right="160" w:hanging="358"/>
        <w:spacing w:after="0" w:line="277" w:lineRule="auto"/>
        <w:tabs>
          <w:tab w:leader="none" w:pos="11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marketing or manufacturing of a product, complete withdrawal of the product from the market or product recalls;</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warning letters or holds on post-approval clinical studies;</w:t>
      </w:r>
    </w:p>
    <w:p>
      <w:pPr>
        <w:spacing w:after="0" w:line="120" w:lineRule="exact"/>
        <w:rPr>
          <w:rFonts w:ascii="Times New Roman" w:cs="Times New Roman" w:eastAsia="Times New Roman" w:hAnsi="Times New Roman"/>
          <w:sz w:val="20"/>
          <w:szCs w:val="20"/>
          <w:color w:val="auto"/>
        </w:rPr>
      </w:pPr>
    </w:p>
    <w:p>
      <w:pPr>
        <w:ind w:left="1100" w:right="600" w:hanging="358"/>
        <w:spacing w:after="0" w:line="277" w:lineRule="auto"/>
        <w:tabs>
          <w:tab w:leader="none" w:pos="11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existing product approvals;</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 detention, or refusal of the FDA to permit the import or export of products;</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healthcare programs;</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mandated modification of promotional materials and labeling and the issuance of corrective information;</w:t>
      </w:r>
    </w:p>
    <w:p>
      <w:pPr>
        <w:spacing w:after="0" w:line="120" w:lineRule="exact"/>
        <w:rPr>
          <w:rFonts w:ascii="Times New Roman" w:cs="Times New Roman" w:eastAsia="Times New Roman" w:hAnsi="Times New Roman"/>
          <w:sz w:val="20"/>
          <w:szCs w:val="20"/>
          <w:color w:val="auto"/>
        </w:rPr>
      </w:pPr>
    </w:p>
    <w:p>
      <w:pPr>
        <w:ind w:left="1100" w:right="260" w:hanging="358"/>
        <w:spacing w:after="0" w:line="277" w:lineRule="auto"/>
        <w:tabs>
          <w:tab w:leader="none" w:pos="11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safety alerts, Dear Healthcare Provider letters, press releases and other communications containing warnings or other safety information about the product; or</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4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governmental regulatory authorities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ectPr>
          <w:pgSz w:w="12960" w:h="17280" w:orient="portrait"/>
          <w:cols w:equalWidth="0" w:num="1">
            <w:col w:w="10520"/>
          </w:cols>
          <w:pgMar w:left="1360" w:top="1420" w:right="1080" w:bottom="895"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960" w:h="17280" w:orient="portrait"/>
          <w:cols w:equalWidth="0" w:num="1">
            <w:col w:w="10520"/>
          </w:cols>
          <w:pgMar w:left="1360" w:top="1420" w:right="1080" w:bottom="895"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i w:val="1"/>
          <w:iCs w:val="1"/>
          <w:color w:val="auto"/>
        </w:rPr>
        <w:t>Biosimilars and Reference Product Exclusivity</w:t>
      </w:r>
    </w:p>
    <w:p>
      <w:pPr>
        <w:spacing w:after="0" w:line="120" w:lineRule="exact"/>
        <w:rPr>
          <w:sz w:val="20"/>
          <w:szCs w:val="20"/>
          <w:color w:val="auto"/>
        </w:rPr>
      </w:pPr>
    </w:p>
    <w:p>
      <w:pPr>
        <w:jc w:val="both"/>
        <w:ind w:right="300" w:firstLine="490"/>
        <w:spacing w:after="0" w:line="258" w:lineRule="auto"/>
        <w:rPr>
          <w:sz w:val="20"/>
          <w:szCs w:val="20"/>
          <w:color w:val="auto"/>
        </w:rPr>
      </w:pPr>
      <w:r>
        <w:rPr>
          <w:rFonts w:ascii="Times New Roman" w:cs="Times New Roman" w:eastAsia="Times New Roman" w:hAnsi="Times New Roman"/>
          <w:sz w:val="20"/>
          <w:szCs w:val="20"/>
          <w:color w:val="auto"/>
        </w:rPr>
        <w:t>The Biologics Price Competition and Innovation Act (“BPCIA”) created an abbreviated approval pathway for biological products that are highly similar, or “biosimilar,” to or interchangeable with an FDA-approved reference biological product. The FDA has issued several guidance documents outlining an approach to review and approval of biosimilars.</w:t>
      </w:r>
    </w:p>
    <w:p>
      <w:pPr>
        <w:spacing w:after="0" w:line="151"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auto"/>
        </w:rPr>
        <w:t>Biosimilarity, which requires that there be no clinically meaningful differences between the biological product and the reference product in terms of safety, purity, and potency, is generally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 The FDA has issued two guidance documents intended to inform prospective applicants and facilitate the development of proposed biosimilars and interchangeable biosimilars, as well as to describe the FDA’s interpretation of certain statutory requirements added by the BPCIA.</w:t>
      </w:r>
    </w:p>
    <w:p>
      <w:pPr>
        <w:spacing w:after="0" w:line="213"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0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A reference biologic is granted 12 years of exclusivity from the time of first licensure of the reference product. The first biologic product submitted under the abbreviated approval pathway that is determined to be interchangeable with the reference product has exclusivity against other biologics submitted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20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94"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auto"/>
        </w:rPr>
        <w:t>The BPCIA is complex and continues to be interpreted and implemented by the FDA. In July 2018, the FDA announced an action plan to encourage the development and efficient review of biosimilars, including the establishment of a new office within the agency that will focus on therapeutic biologics and biosimilars. On December 20, 2020, Congress amended the PHSA as part of the COVID-19 relief bill to further simplify the biosimilar review process by making it optional to show that conditions of use proposed in labeling have been previously approved for the reference product, which used to be a requirement of the application.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02" w:lineRule="exact"/>
        <w:rPr>
          <w:sz w:val="20"/>
          <w:szCs w:val="20"/>
          <w:color w:val="auto"/>
        </w:rPr>
      </w:pPr>
    </w:p>
    <w:p>
      <w:pPr>
        <w:ind w:right="560" w:firstLine="490"/>
        <w:spacing w:after="0" w:line="277" w:lineRule="auto"/>
        <w:rPr>
          <w:sz w:val="20"/>
          <w:szCs w:val="20"/>
          <w:color w:val="auto"/>
        </w:rPr>
      </w:pPr>
      <w:r>
        <w:rPr>
          <w:rFonts w:ascii="Times New Roman" w:cs="Times New Roman" w:eastAsia="Times New Roman" w:hAnsi="Times New Roman"/>
          <w:sz w:val="20"/>
          <w:szCs w:val="20"/>
          <w:color w:val="auto"/>
        </w:rPr>
        <w:t>As discussed below, the Inflation Reduction Act of 2022 (“IRA”) is a significant law that intends to foster generic and biosimilar competition and to lower drug and biologic costs.</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Patent Term Extension</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In the United States, after a BLA is approved,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(1) the later of (a) the effective date of an IND and (b) issue date of the patent for which extension is sought, and (2) the submission date of a BLA, plus the time between BLA submission date and the BLA approval date, up to a maximum of five years. The time can be shortened if the FDA determines that</w:t>
      </w:r>
    </w:p>
    <w:p>
      <w:pPr>
        <w:sectPr>
          <w:pgSz w:w="12960" w:h="17280" w:orient="portrait"/>
          <w:cols w:equalWidth="0" w:num="1">
            <w:col w:w="10520"/>
          </w:cols>
          <w:pgMar w:left="1360" w:top="1420" w:right="1080" w:bottom="895"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960" w:h="17280" w:orient="portrait"/>
          <w:cols w:equalWidth="0" w:num="1">
            <w:col w:w="10520"/>
          </w:cols>
          <w:pgMar w:left="1360" w:top="1420" w:right="1080" w:bottom="895" w:gutter="0" w:footer="0" w:header="0"/>
          <w:type w:val="continuous"/>
        </w:sectPr>
      </w:pPr>
    </w:p>
    <w:bookmarkStart w:id="27" w:name="page28"/>
    <w:bookmarkEnd w:id="27"/>
    <w:p>
      <w:pPr>
        <w:ind w:right="200"/>
        <w:spacing w:after="0" w:line="245" w:lineRule="auto"/>
        <w:rPr>
          <w:sz w:val="20"/>
          <w:szCs w:val="20"/>
          <w:color w:val="auto"/>
        </w:rPr>
      </w:pPr>
      <w:r>
        <w:rPr>
          <w:rFonts w:ascii="Times New Roman" w:cs="Times New Roman" w:eastAsia="Times New Roman" w:hAnsi="Times New Roman"/>
          <w:sz w:val="20"/>
          <w:szCs w:val="20"/>
          <w:color w:val="auto"/>
        </w:rPr>
        <w:t>the applicant did not pursue licensure with due diligence. The total patent term after the extension may not exceed 14 years from the date of product licensure. Only one patent applicable to a licensed biological product is eligible for extension and only those claims covering the product, a method for using it, or a method for manufacturing it may be extended, and the application for the extension must be submitted prior to the expiration of the patent in question.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Some, but not all, foreign jurisdictions possess patent term extension or other additional patent exclusivity mechanisms that may be more or less stringent and comprehensive than those of the United States.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 and Compliance Requirements</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Pharmaceutical companies are subject to additional healthcare regulation and enforcement by the federal government and by authorities in the states and foreign jurisdictions in which they conduct their business that may restrict certain general business and marketing practices. Such laws include, without limitation: the federal Anti-Kickback Statute (“AKS”); the federal False Claims Act (“FCA”); the Health Insurance Portability and Accountability Act of 1996 (“HIPAA”) and similar foreign, federal and state fraud, abuse and transparency laws.</w:t>
      </w:r>
    </w:p>
    <w:p>
      <w:pPr>
        <w:spacing w:after="0" w:line="19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The AKS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one hand, and prescribers and purchasers on the other. The government often takes the position that to violate the AKS, only one purpose of the remuneration need be to induce referrals, even if there are other legitimate purposes for the remuneration. There are a number of statutory exceptions and regulatory safe harbors protecting some common activities from AKS prosecution, but they are drawn narrowly and practices that involve remuneration, such as consulting agreements, that may be alleged to be intended to induce prescribing, purchasing or recommending may be subject to scrutiny if they do not qualify for an exception or safe harbor. Our practices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A person or entity does not need to have actual knowledge of the statute or specific intent to violate it in order to have committed a violation. In 2025, the Department of Justice continued to apply the Supreme Court’s 2023 scienter framework in United States ex rel. Schutte v. SuperValu Inc. for FCA matters, focusing on a defendant’s subjective understanding and beliefs at the time of claim submission, thus expanding the use of the FCA against recipients of federal funds that allegedly misrepresented compliance with federal civil rights laws.</w:t>
      </w:r>
    </w:p>
    <w:p>
      <w:pPr>
        <w:spacing w:after="0" w:line="20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Civil and criminal false claims laws, including the FCA, and civil monetary penalty laws, which can be enforced through civil whistleblower or qui tam actions, prohibit, among other things, individuals or entities from knowingly presenting, or causing to be presented, claims for payment of federal government funds, including in federal healthcare programs, that are false or fraudulent.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w:t>
      </w:r>
    </w:p>
    <w:p>
      <w:pPr>
        <w:spacing w:after="0" w:line="200" w:lineRule="exact"/>
        <w:rPr>
          <w:sz w:val="20"/>
          <w:szCs w:val="20"/>
          <w:color w:val="auto"/>
        </w:rPr>
      </w:pPr>
    </w:p>
    <w:p>
      <w:pPr>
        <w:jc w:val="both"/>
        <w:ind w:right="400" w:firstLine="490"/>
        <w:spacing w:after="0" w:line="252" w:lineRule="auto"/>
        <w:rPr>
          <w:sz w:val="20"/>
          <w:szCs w:val="20"/>
          <w:color w:val="auto"/>
        </w:rPr>
      </w:pPr>
      <w:r>
        <w:rPr>
          <w:rFonts w:ascii="Times New Roman" w:cs="Times New Roman" w:eastAsia="Times New Roman" w:hAnsi="Times New Roman"/>
          <w:sz w:val="20"/>
          <w:szCs w:val="20"/>
          <w:color w:val="auto"/>
        </w:rPr>
        <w:t>HIPAA created additional federal criminal statutes that prohibit, among other things, executing a scheme to defraud any healthcare benefit program, including private third-party payors, and making false statements relating to healthcare matters. A person or entity does not need to have actual knowledge of the healthcare fraud statute implemented under HIPAA or specific intent to violate the statute in order to have committed a violation.</w:t>
      </w:r>
    </w:p>
    <w:p>
      <w:pPr>
        <w:spacing w:after="0" w:line="194"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The FDCA addresses, among other things, the design, production, labeling, promotion, manufacturing, and testing of drugs, biologics and medical devices, and prohibits such acts as the introduction into interstate commerce of adulterated or misbranded drugs or devices. The PHSA also prohibits the introduction into interstate commerce of unlicensed or mislabeled biological products.</w:t>
      </w:r>
    </w:p>
    <w:p>
      <w:pPr>
        <w:spacing w:after="0" w:line="194"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Medicaid &amp; Medicare Services (“CMS”) information related to payments or other transfers of value to various healthcare professionals including physicians, physician assistants, nurse practitioners, clinical nurse specialists, certified nurse anesthetists, certified nurse-midwives, and teaching hospitals, as well as ownership and investment interests held by physicians and their immediate family members. Beginning on January 1, 2023, California Assembly Bill 1278 requires California physicians and surgeons to notify patients of the Open Payments database established under the federal Physician Payments Sunshine Act. In 2025, CMS continued incremental Open Payments program updates, published updates to</w:t>
      </w:r>
    </w:p>
    <w:p>
      <w:pPr>
        <w:sectPr>
          <w:pgSz w:w="12960" w:h="17280" w:orient="portrait"/>
          <w:cols w:equalWidth="0" w:num="1">
            <w:col w:w="10520"/>
          </w:cols>
          <w:pgMar w:left="1360" w:top="1420" w:right="1080" w:bottom="895" w:gutter="0" w:footer="0" w:header="0"/>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960" w:h="17280" w:orient="portrait"/>
          <w:cols w:equalWidth="0" w:num="1">
            <w:col w:w="10520"/>
          </w:cols>
          <w:pgMar w:left="1360" w:top="1420" w:right="1080" w:bottom="895" w:gutter="0" w:footer="0" w:header="0"/>
          <w:type w:val="continuous"/>
        </w:sectPr>
      </w:pPr>
    </w:p>
    <w:bookmarkStart w:id="28" w:name="page29"/>
    <w:bookmarkEnd w:id="28"/>
    <w:p>
      <w:pPr>
        <w:ind w:right="560"/>
        <w:spacing w:after="0" w:line="277" w:lineRule="auto"/>
        <w:rPr>
          <w:sz w:val="20"/>
          <w:szCs w:val="20"/>
          <w:color w:val="auto"/>
        </w:rPr>
      </w:pPr>
      <w:r>
        <w:rPr>
          <w:rFonts w:ascii="Times New Roman" w:cs="Times New Roman" w:eastAsia="Times New Roman" w:hAnsi="Times New Roman"/>
          <w:sz w:val="20"/>
          <w:szCs w:val="20"/>
          <w:color w:val="auto"/>
        </w:rPr>
        <w:t>data publication timelines, and expanded taxonomy lists for covered recipients, which may increase reporting and validation burdens for manufacturers and expand public transparency regarding transfers of value.</w:t>
      </w:r>
    </w:p>
    <w:p>
      <w:pPr>
        <w:spacing w:after="0" w:line="16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We are also subject to additional similar U.S. state and foreign law equivalents of each of the above federal laws, which, in some cases, differ from each other in significant ways, and may not have the same effect, thus complicating compliance efforts. If our operations are found to be in violation of any of such laws or any other governmental regulations that apply, we may be subject to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Privacy and Security</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Numerous state, federal, and foreign laws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 and federal and state consumer protection laws and regulations, govern the collection, use, disclosure, and protection of health-related and other personal information could apply to our operations or the operations of our partners. For example, HIPAA, as amended by the Health Information Technology for Economic and Clinical Health (“HITECH”), and their respective implementing regulations imposes privacy, security, and breach notification obligations on certain health care providers, health plans, and health care clearinghouses, known as covered entities, as well as their business associates and their covered subcontractors that perform certain services that involve using, disclosing, creating, receiving, maintaining, or transmitting individually identifiable protected health information for or on behalf of such covered entities. These requirements imposed by HIPAA and the HITECH Act on covered entities and business associates include entering into agreements that require business associates protect protected health information (“PHI”) provided by the covered entity against improper use or disclosure, among other things; following certain standards for the privacy of PHI, which limit the disclosure of a patient’s past, present, or future physical or mental health or condition or information about a patient’s receipt of health care if the information identifies, or could reasonably be used to identify, the individual; ensuring the confidentiality, integrity, and availability of all PHI created, received, maintained, or transmitted in electronic form, to identify and protect against reasonably anticipated threats or impermissible uses or disclosures to the security and integrity of such PHI; and reporting of breaches of PHI to individuals and regulators.</w:t>
      </w:r>
    </w:p>
    <w:p>
      <w:pPr>
        <w:spacing w:after="0" w:line="20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Entities that are found to be in violation of HIPAA may be subject to significant civil, criminal, and administrative fines and penalties and/or additional reporting and oversight obligations if required to enter into a resolution agreement and corrective action plan with the U.S. Department of Health and Human Services (“HHS”) to settle allegations of HIPAA non-compliance. A covered entity or business associate is also liable for civil money penalties for a violation that is based on an act or omission of any of its agents, which may include a downstream business associate, as determined according to the federal common law of agency. HITECH also increased the civil and criminal penalties applicable to covered entities and business associates and gave state attorneys general new authority to file civil actions for damages or injunctions in federal courts to enforce HIPAA and seek attorneys’ fees and costs associated with pursuing federal civil actions. To the extent that we submit electronic healthcare claims and payment transactions that do not comply with the electronic data transmission standards established under HIPAA and HITECH, payments to us may be delayed or denied. In addition, state health information privacy laws, such as California’s Confidentiality of Medical Information Act and Washington’s My Health My Data Act, govern the privacy and security of health-related information, specifically, may apply even when HIPAA does not and impose additional requirements.</w:t>
      </w:r>
    </w:p>
    <w:p>
      <w:pPr>
        <w:spacing w:after="0" w:line="206"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Even when HIPAA and state health information privacy laws do not apply, according to the Federal Trade Commission and state Attorneys General, violating consumers’ privacy rights or failing to take appropriate steps to keep consumers’ personal information secure may constitute unfair acts or practices in or affecting commerce in violation of Section 5(a) of the Federal Trade Commission Act and state consumer protection laws.</w:t>
      </w:r>
    </w:p>
    <w:p>
      <w:pPr>
        <w:spacing w:after="0" w:line="19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In addition, certain state laws, such as the California Consumer Privacy Act of 2018, as amended by the California Privacy Rights Act of 2020 (“CCPA”), govern the privacy and security of personal information, including health-related information in certain circumstances, some of which are more stringent than HIPAA in various ways. Numerous other states have passed similar laws, but many differ from each other in significant ways and may not have the same effect, thus complicating compliance efforts. The CCPA applies to personal data of consumers, business representatives, and employees, and imposes obligations on certain businesses that do business in California, including to provide specific disclosures in privacy notices and affords rights to California residents in relation to their personal information. Health information falls under the CCPA’s definition of personal information where it identifies, relates to, describes, or is reasonably capable of being associated with or could reasonably be linked, directly or indirectly, with a particular consumer or household unless it is subject to HIPAA and is included under a new category of personal information, “sensitive personal information,” which is offered greater protection.</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960" w:h="17280" w:orient="portrait"/>
          <w:cols w:equalWidth="0" w:num="1">
            <w:col w:w="10520"/>
          </w:cols>
          <w:pgMar w:left="1360" w:top="1420" w:right="1080" w:bottom="895" w:gutter="0" w:footer="0" w:header="0"/>
          <w:type w:val="continuous"/>
        </w:sectPr>
      </w:pPr>
    </w:p>
    <w:bookmarkStart w:id="29" w:name="page30"/>
    <w:bookmarkEnd w:id="29"/>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The numerous other comprehensive privacy laws that have passed or are being considered in other states, as well as at the federal and local levels also exempt some data processed in the context of clinical trials; but others exempt covered entities and business associations subject to HIPAA altogether, further complicating compliance efforts, and increasing legal risk and compliance costs for us and the third parties upon whom we rely.</w:t>
      </w:r>
    </w:p>
    <w:p>
      <w:pPr>
        <w:spacing w:after="0" w:line="19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There are also an increasing number of, and continuous change within, foreign laws regulating data privacy and security, such as Canada’s Personal Information Protection and Electronic Documents Act, Australia’s Privacy Act 1988, New Zealand’s Privacy Act 2020 and South Korea’s Personal Information Protection Act. In particular, when we conduct clinical trials, including in New Zealand, we need to comply with the applicable country data privacy and security laws with respect to the processing of clinical data, which impose obligations similar to those described below in the section titled “</w:t>
      </w:r>
      <w:r>
        <w:rPr>
          <w:rFonts w:ascii="Times New Roman" w:cs="Times New Roman" w:eastAsia="Times New Roman" w:hAnsi="Times New Roman"/>
          <w:sz w:val="20"/>
          <w:szCs w:val="20"/>
          <w:i w:val="1"/>
          <w:iCs w:val="1"/>
          <w:color w:val="auto"/>
        </w:rPr>
        <w:t>- Other Government Regulation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Outside of the United States - Regulation in the European Union - European Data Laws</w:t>
      </w:r>
      <w:r>
        <w:rPr>
          <w:rFonts w:ascii="Times New Roman" w:cs="Times New Roman" w:eastAsia="Times New Roman" w:hAnsi="Times New Roman"/>
          <w:sz w:val="20"/>
          <w:szCs w:val="20"/>
          <w:color w:val="auto"/>
        </w:rPr>
        <w:t>” of this prospectus. Privacy and security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69"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auto"/>
        </w:rPr>
        <w:t>In addition to government activity, privacy advocacy groups and technology and other industries are considering various new, additional or different self-regulatory standards that may place additional burden on us.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120" w:lineRule="exact"/>
        <w:rPr>
          <w:sz w:val="20"/>
          <w:szCs w:val="20"/>
          <w:color w:val="auto"/>
        </w:rPr>
      </w:pPr>
    </w:p>
    <w:p>
      <w:pPr>
        <w:ind w:right="60" w:firstLine="490"/>
        <w:spacing w:after="0" w:line="257" w:lineRule="auto"/>
        <w:rPr>
          <w:sz w:val="20"/>
          <w:szCs w:val="20"/>
          <w:color w:val="auto"/>
        </w:rPr>
      </w:pPr>
      <w:r>
        <w:rPr>
          <w:rFonts w:ascii="Times New Roman" w:cs="Times New Roman" w:eastAsia="Times New Roman" w:hAnsi="Times New Roman"/>
          <w:sz w:val="19"/>
          <w:szCs w:val="19"/>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a result, the coverage determination process is often a time- consuming and costly process that will require us to provide scientific and clinical support for the use of our product candidates to each payor separately, with no assurance that coverage and adequate reimbursement will be applied consistently or obtained in the first instance.</w:t>
      </w:r>
    </w:p>
    <w:p>
      <w:pPr>
        <w:spacing w:after="0" w:line="19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200" w:lineRule="exact"/>
        <w:rPr>
          <w:sz w:val="20"/>
          <w:szCs w:val="20"/>
          <w:color w:val="auto"/>
        </w:rPr>
      </w:pPr>
    </w:p>
    <w:p>
      <w:pPr>
        <w:ind w:right="560" w:firstLine="490"/>
        <w:spacing w:after="0" w:line="258" w:lineRule="auto"/>
        <w:rPr>
          <w:sz w:val="20"/>
          <w:szCs w:val="20"/>
          <w:color w:val="auto"/>
        </w:rPr>
      </w:pPr>
      <w:r>
        <w:rPr>
          <w:rFonts w:ascii="Times New Roman" w:cs="Times New Roman" w:eastAsia="Times New Roman" w:hAnsi="Times New Roman"/>
          <w:sz w:val="20"/>
          <w:szCs w:val="20"/>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8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In addition, the U.S. government, state legislatures and foreign governments have continued implementing cost-containment programs, including price controls, restrictions on coverage and reimbursement and requirements for substitution of generic products. The IRA provides CMS with significant new authorities intended to curb drug costs and to encourage market competition. For the first time, CMS will be able to directly negotiate prescription drug prices and to cap out-of-pocket costs. Each year, CMS will select and negotiate a preset number of high-spend drugs and biologics that are covered under Medicare Part B and Part D that do not have generic or biosimilar competition. On August 15, 2024, CMS announced the agreed-upon reimbursement prices of the first 10 drugs that were subject to price negotiations. In January 2025, CMS announced a list of 15 additional drugs Medicare Part D drugs that will be subject to price negotiations. The IRA also provides a new “inflation rebate” covering Medicare patients that took effect in 2023 and is intended to counter certain price increases in prescriptions drugs. The inflation rebate provision requires drug manufacturers to pay a rebate to the federal government if the price for a drug or biologic under Medicare Part B and Part D increases faster than the rate of inflation. To support biosimilar competition, beginning in October 2022, qualifying biosimilars may receive a Medicare Part B payment increase for a period of five years. Separately, if a biologic drug for which no biosimilar exists delays a biosimilar’s market entry beyond two years, CMS will be authorized to subject the biologics manufacturer to price negotiations intended to ensure fair competition. Notwithstanding these provisions, the IRA’s impact on commercialization and competition remains largely uncertain.</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960" w:h="17280" w:orient="portrait"/>
          <w:cols w:equalWidth="0" w:num="1">
            <w:col w:w="10520"/>
          </w:cols>
          <w:pgMar w:left="1360" w:top="1420" w:right="1080" w:bottom="895"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w:t>
      </w:r>
    </w:p>
    <w:p>
      <w:pPr>
        <w:spacing w:after="0" w:line="120"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20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For example, 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Since its enactment, there have been judicial and Congressional challenges to certain aspects of the ACA, and we expect there will be additional challenges and amendments to the ACA in the future.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w:t>
      </w:r>
    </w:p>
    <w:p>
      <w:pPr>
        <w:spacing w:after="0" w:line="20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Other legislative changes have been proposed and adopted since the ACA was enacted, including automatic aggregate reductions of Medicare payments to providers of on average 2% per fiscal year as part of the federal budget sequestration under the Budget Control Act of 2011. These reductions went into effect in April 2013 and, due to subsequent legislative amendments, will remain in effect until 2032 unless additional action is taken by Congress. In addition, the Bipartisan Budget Act of 2018, among other things, amended the Medicare Act (as amended by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being covered under Medicare Part D.</w:t>
      </w:r>
    </w:p>
    <w:p>
      <w:pPr>
        <w:spacing w:after="0" w:line="20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 For example, in May 2019, CMS adopted a final rule allowing Medicare Advantage Plans the option to use step therapy for Part B drugs, permitting Medicare Part D plans to apply certain utilization controls to new starts of five of the six protected class drugs, and requiring the Explanation of Benefits for Part D beneficiaries to disclose drug price increases and lower cost therapeutic alternatives, which went into effect on January 1, 2021.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73" w:lineRule="exact"/>
        <w:rPr>
          <w:sz w:val="20"/>
          <w:szCs w:val="20"/>
          <w:color w:val="auto"/>
        </w:rPr>
      </w:pPr>
    </w:p>
    <w:p>
      <w:pPr>
        <w:jc w:val="both"/>
        <w:ind w:right="40" w:firstLine="490"/>
        <w:spacing w:after="0" w:line="252" w:lineRule="auto"/>
        <w:rPr>
          <w:sz w:val="20"/>
          <w:szCs w:val="20"/>
          <w:color w:val="auto"/>
        </w:rPr>
      </w:pPr>
      <w:r>
        <w:rPr>
          <w:rFonts w:ascii="Times New Roman" w:cs="Times New Roman" w:eastAsia="Times New Roman" w:hAnsi="Times New Roman"/>
          <w:sz w:val="20"/>
          <w:szCs w:val="20"/>
          <w:color w:val="auto"/>
        </w:rPr>
        <w:t>Notwithstanding the IRA, continued legislative and enforcement interest exists in the United States with respect to specialty drug pricing practices. We expect regulators to continue pushing for transparency to drug pricing, reducing the cost of prescription drugs under Medicare, reviewing the relationship between pricing and manufacturer patient programs, and reforming government program reimbursement methodologies for drugs.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Government Regulation Outside of the United States</w:t>
      </w:r>
    </w:p>
    <w:p>
      <w:pPr>
        <w:spacing w:after="0" w:line="1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In addition to regulations in the United States, we are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as well as post-approval monitoring and reporting of our products. Because biologically sourced raw materials are subject to unique contamination risks, their use may be restricted in some countries.</w:t>
      </w:r>
    </w:p>
    <w:p>
      <w:pPr>
        <w:sectPr>
          <w:pgSz w:w="12960" w:h="17280" w:orient="portrait"/>
          <w:cols w:equalWidth="0" w:num="1">
            <w:col w:w="10500"/>
          </w:cols>
          <w:pgMar w:left="1360" w:top="1420" w:right="1100" w:bottom="895"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960" w:h="17280" w:orient="portrait"/>
          <w:cols w:equalWidth="0" w:num="1">
            <w:col w:w="10500"/>
          </w:cols>
          <w:pgMar w:left="1360" w:top="1420" w:right="1100" w:bottom="895" w:gutter="0" w:footer="0" w:header="0"/>
          <w:type w:val="continuous"/>
        </w:sectPr>
      </w:pPr>
    </w:p>
    <w:bookmarkStart w:id="31" w:name="page32"/>
    <w:bookmarkEnd w:id="31"/>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194"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approval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Even if a product is approved by a regulatory authority, satisfactory prices may not be approved for such product, which would make launch of such products commercially unfeasible in such countries.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in the European Union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European Data Laws</w:t>
      </w:r>
    </w:p>
    <w:p>
      <w:pPr>
        <w:spacing w:after="0" w:line="11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The collection and use of personal health data and other personal data in the European Union (“EU”)is governed by the provisions of the European General Data Protection Regulation (EU) 2016/679 (GDPR), which came into force in May 2018, and related data protection laws in individual member states of the EU (“EU Member States”). The GDPR imposes a number of strict obligations and restrictions on the ability to process, including collecting, analyzing and transferring, personal data of individuals, in particular with respect to health data from clinical trials and adverse event reporting. The GDPR includes requirements relating to the legal basis of the processing (such as consent of the individuals to whom the personal data relates), the information provided to the individuals prior to processing their personal data, the notification obligations to the national data protection authorities and data subjects, the measures to be taken when engaging processors, and the security and confidentiality of the personal data. EU Member States may also impose additional requirements in relation to health, genetic and biometric data through their national legislation.</w:t>
      </w:r>
    </w:p>
    <w:p>
      <w:pPr>
        <w:spacing w:after="0" w:line="202" w:lineRule="exact"/>
        <w:rPr>
          <w:sz w:val="20"/>
          <w:szCs w:val="20"/>
          <w:color w:val="auto"/>
        </w:rPr>
      </w:pPr>
    </w:p>
    <w:p>
      <w:pPr>
        <w:ind w:right="140" w:firstLine="490"/>
        <w:spacing w:after="0" w:line="242" w:lineRule="auto"/>
        <w:rPr>
          <w:sz w:val="20"/>
          <w:szCs w:val="20"/>
          <w:color w:val="auto"/>
        </w:rPr>
      </w:pPr>
      <w:r>
        <w:rPr>
          <w:rFonts w:ascii="Times New Roman" w:cs="Times New Roman" w:eastAsia="Times New Roman" w:hAnsi="Times New Roman"/>
          <w:sz w:val="20"/>
          <w:szCs w:val="20"/>
          <w:color w:val="auto"/>
        </w:rPr>
        <w:t>In addition, the GDPR imposes specific restrictions on the transfer of personal data to countries outside of the EU and in Iceland, Norway and Liechtenstein (together the European Economic Area (“EEA”)) that are not considered by the European Commission (“EC”) to provide an adequate level of data protection. Appropriate safeguards are required to enable such transfers. Among the appropriate safeguards that can be used, the data exporter may use the standard contractual clauses (“SCCs”). When relying on SCCs, data exporters are also required to conduct a transfer risk assessment to verify if anything in the law and/or practices of the third country may impinge on the effectiveness of the SCCs in the context of the transfer at stake and, if so, to identify and adopt supplementary measures that are necessary to bring the level of protection of the data transferred to the EU standard of essential equivalence. Where no supplementary measure is suitable, the data exporter should avoid, suspend or terminate the transfer with regard to the transfer of data from the EEA to the United States, on July 10, 2023, the EC adopted its adequacy decision for the EU-US Data Privacy Framework. On the basis of the new adequacy decision, personal data can flow from the EEA to U.S. companies participating in the framework. With regard to the transfer of data from EU to the United Kingdom (“UK”), personal data may freely flow from the EEA to the UK since the UK is deemed to have an adequate data protection level. However, the adequacy decisions include a “sunset clause” which entails that the decisions will automatically expire four years after their entry into force, unless renewed.</w:t>
      </w:r>
    </w:p>
    <w:p>
      <w:pPr>
        <w:spacing w:after="0" w:line="213"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Failure to comply with the requirements of the GDPR and the related national data protection laws of the EU Member States may result in significant monetary fines for noncompliance of up to €20 million or 4% of the annual global revenues of the noncompliant company, whichever is greater, other administrative penalties and a number of criminal offenses for organizations and, in certain cases, their directors and officers, as well as civil liability claims from individuals whose personal data was processed. Data protection authorities from the different EU Member States may still implement certain variations, enforce the GDPR and national data protection laws differently, and introduce additional national regulations and guidelines, which adds to the complexity of processing personal data in the EU.</w:t>
      </w:r>
    </w:p>
    <w:p>
      <w:pPr>
        <w:spacing w:after="0" w:line="20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Furthermore, there are specific requirements relating to processing health data from clinical trials, including public disclosure obligations provided in the EU Clinical Trial Regulation No. 536/2014 (“CTR”), European Medicines Agency (“EMA”) disclosure initiatives and voluntary commitments by industry. Failure to comply with these obligations could lead to government enforcement actions and significant penalties against us, harm to our reputation, and adversely impact our business and operating results.</w:t>
      </w:r>
    </w:p>
    <w:p>
      <w:pPr>
        <w:spacing w:after="0" w:line="197"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auto"/>
        </w:rPr>
        <w:t>On February 11, 2025, the European Union adopted Regulation (EU) 2025/327 establishing the European Health Data Space, which imposes new obligations and liabilities on companies that handle electronic health data in the EU, including</w:t>
      </w:r>
    </w:p>
    <w:p>
      <w:pPr>
        <w:sectPr>
          <w:pgSz w:w="12960" w:h="17280" w:orient="portrait"/>
          <w:cols w:equalWidth="0" w:num="1">
            <w:col w:w="10520"/>
          </w:cols>
          <w:pgMar w:left="1360" w:top="1420" w:right="1080" w:bottom="895"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960" w:h="17280" w:orient="portrait"/>
          <w:cols w:equalWidth="0" w:num="1">
            <w:col w:w="10520"/>
          </w:cols>
          <w:pgMar w:left="1360" w:top="1420" w:right="1080" w:bottom="895" w:gutter="0" w:footer="0" w:header="0"/>
          <w:type w:val="continuous"/>
        </w:sectPr>
      </w:pPr>
    </w:p>
    <w:bookmarkStart w:id="32" w:name="page33"/>
    <w:bookmarkEnd w:id="32"/>
    <w:p>
      <w:pPr>
        <w:spacing w:after="0" w:line="246" w:lineRule="auto"/>
        <w:rPr>
          <w:sz w:val="20"/>
          <w:szCs w:val="20"/>
          <w:color w:val="auto"/>
        </w:rPr>
      </w:pPr>
      <w:r>
        <w:rPr>
          <w:rFonts w:ascii="Times New Roman" w:cs="Times New Roman" w:eastAsia="Times New Roman" w:hAnsi="Times New Roman"/>
          <w:sz w:val="20"/>
          <w:szCs w:val="20"/>
          <w:color w:val="auto"/>
        </w:rPr>
        <w:t>mandatory interoperability, logging, security and cross-border exchange requirements for electronic health record systems, expanded individual rights of access and control, and conditions and prohibitions on secondary uses of health data (e.g., for research or regulatory purposes), with staged implementation beginning in late 2025 and 2026. Compliance may require significant investments in technology, processes and governance, as well as engagement with national health data access bodies, and could limit companies’ ability to collect, process, transfer, or commercialize health data or delay product development and post-market activities. Failure to comply-or differing national implementations, enforcement actions or evolving guidance-could result in audits, restrictions, fines, litigation, reputational harm, interruption of operations and increased costs.</w:t>
      </w:r>
    </w:p>
    <w:p>
      <w:pPr>
        <w:spacing w:after="0" w:line="200"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Additionally, following the UK’s withdrawal from the EU and the EEA, companies also have to comply with the UK’s data protection laws (including the UK GDPR (as defined in section 3(10) (as supplemented by section 205(4)) of the Data Protection Act 2018 (the “DPA 2018”)), the DPA 2018, and related data protection laws in the UK). Separate from the fines that can be imposed by the GDPR, the UK regime has the ability to fine up to the greater of £17.5 million or 4% of global turnover.</w:t>
      </w:r>
    </w:p>
    <w:p>
      <w:pPr>
        <w:spacing w:after="0" w:line="19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Companies are subject to specific transfer rules under the UK regime which broadly mirror the GDPR rules. On February 2, 2022, the UK Secretary of State laid before the UK Parliament the international data transfer agreement (“IDTA”) and the international data transfer addendum to the EC’s standard contractual clauses for international data transfers (the “IDTA Addendum”) and a document setting out transitional provisions. The IDTA and IDTA Addendum came into force on March 21, 2022 and replaced the old SCCs for the purposes of the UK regime.</w:t>
      </w:r>
    </w:p>
    <w:p>
      <w:pPr>
        <w:spacing w:after="0" w:line="197" w:lineRule="exact"/>
        <w:rPr>
          <w:sz w:val="20"/>
          <w:szCs w:val="20"/>
          <w:color w:val="auto"/>
        </w:rPr>
      </w:pPr>
    </w:p>
    <w:p>
      <w:pPr>
        <w:jc w:val="both"/>
        <w:ind w:right="140" w:firstLine="490"/>
        <w:spacing w:after="0" w:line="252" w:lineRule="auto"/>
        <w:rPr>
          <w:sz w:val="20"/>
          <w:szCs w:val="20"/>
          <w:color w:val="auto"/>
        </w:rPr>
      </w:pPr>
      <w:r>
        <w:rPr>
          <w:rFonts w:ascii="Times New Roman" w:cs="Times New Roman" w:eastAsia="Times New Roman" w:hAnsi="Times New Roman"/>
          <w:sz w:val="20"/>
          <w:szCs w:val="20"/>
          <w:color w:val="auto"/>
        </w:rPr>
        <w:t>With regard to the transfer of personal data from the UK to the United States, the UK government has adopted an adequacy decision for the United States (the “UK-US Data Bridge”), which came into force on October 12, 2023. The UK-US Data Bridge recognizes the United States as offering an adequate level of data protection where the transfer is to a U.S. company participating in the EU-US Data Privacy Framework and the UK Extension to the EU-US Data Privacy Framework.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Drug and Biologic Development Process</w:t>
      </w:r>
    </w:p>
    <w:p>
      <w:pPr>
        <w:spacing w:after="0" w:line="118" w:lineRule="exact"/>
        <w:rPr>
          <w:sz w:val="20"/>
          <w:szCs w:val="20"/>
          <w:color w:val="auto"/>
        </w:rPr>
      </w:pPr>
    </w:p>
    <w:p>
      <w:pPr>
        <w:ind w:right="260" w:firstLine="490"/>
        <w:spacing w:after="0" w:line="246" w:lineRule="auto"/>
        <w:rPr>
          <w:sz w:val="20"/>
          <w:szCs w:val="20"/>
          <w:color w:val="auto"/>
        </w:rPr>
      </w:pPr>
      <w:r>
        <w:rPr>
          <w:rFonts w:ascii="Times New Roman" w:cs="Times New Roman" w:eastAsia="Times New Roman" w:hAnsi="Times New Roman"/>
          <w:sz w:val="20"/>
          <w:szCs w:val="20"/>
          <w:color w:val="auto"/>
        </w:rPr>
        <w:t>Regardless of where they are conducted, all clinical trials included in applications for marketing authorization (“MA”) for human medicines in the EU/EEA must have been carried out in accordance with EU regulations. This means that clinical trials conducted in the EU/EEA have to comply with EU clinical trial legislation but also that clinical trials conducted outside the EU/EEA have to comply with ethical principles equivalent to those set out in the EEA, including adhering to international good clinical practice and the Declaration of Helsinki. The conduct of clinical trials in the EU is governed by the CTR, which entered into force on January 31, 2022. The CTR replaced the Clinical Trials Directive 2001/20/EC (“Clinical Trials Directive”) and introduced a complete overhaul of the existing regulation of clinical trials for medicinal products in the EU.</w:t>
      </w:r>
    </w:p>
    <w:p>
      <w:pPr>
        <w:spacing w:after="0" w:line="20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Under the former regime, which will expire after a transition period of three years, as outlined below in more detail, before a clinical trial can be initiated it must be approved in each EU member state where there is a site at which the clinical trial is to be conducted. The approval must be obtained from two separate entities: the National Competent Authority (“NCA”) and one or more ethics committees. The NCA of the EU Member States in which the clinical trial will be conducted must authorize the conduct of the trial, and the independent ethics committee must grant a positive opinion in relation to the conduct of the clinical trial in the relevant EU member state before the commencement of the trial. Any substantial changes to the trial protocol or other information submitted with the clinical trial applications must be submitted to or approved by the relevant NCA and ethics committees. Under the current regime all suspected unexpected serious adverse reactions to the investigated drug that occur during the clinical trial must be reported to the NCA and to the ethics committees of the EU member state where they occur.</w:t>
      </w:r>
    </w:p>
    <w:p>
      <w:pPr>
        <w:spacing w:after="0" w:line="206"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A more unified procedure will apply under the new CTR. A sponsor will be able to submit a single application for approval of a clinical trial through a centralized EU clinical trials portal (the “CTIS”). One national regulatory authority (the reporting EU member state proposed by the applicant) will take the lead in validating and evaluating the application and consult and coordinate with the other concerned EU Member States. If an application is rejected, it may be amended and resubmitted through the EU clinical trials portal. If an approval is issued, the sponsor may start the clinical trial in all concerned EU Member States. However, a concerned EU member state may in limited circumstances declare an “opt-out” from an approval and prevent the clinical trial from being conducted in such member state. The CTR also aims to streamline and simplify the rules on safety reporting and introduces enhanced transparency requirements such as mandatory submission of a summary of the clinical trial results to the EU Database. The CTR foresees a three-year transition period. EU Member States will work in CTIS immediately after the system has gone live. Since January 31, 2023, submission of initial clinical trial applications via CTIS is mandatory, and CTIS serves as the single entry point for submission of clinical trial-related information and data. By January 31, 2025, all ongoing trials approved under the former Clinical Trials Directive will need to comply with the CTR and have to be transitioned to CTIS. On July 19, 2023, the EC published guidance concerning the steps to be taken in this transition. This guidance provides, among other things, that (i) documentation which was previously assessed will not be reassessed, (ii) templates that were developed and endorsed by the EU Clinical Trials Expert Group to provide compliance with the CTR do not need to be updated and (iii) there is no need to retrospectively create a site suitability form, which are only necessary for new trial sites.</w:t>
      </w:r>
    </w:p>
    <w:p>
      <w:pPr>
        <w:sectPr>
          <w:pgSz w:w="12960" w:h="17280" w:orient="portrait"/>
          <w:cols w:equalWidth="0" w:num="1">
            <w:col w:w="10520"/>
          </w:cols>
          <w:pgMar w:left="1360" w:top="1420" w:right="1080" w:bottom="895"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960" w:h="17280" w:orient="portrait"/>
          <w:cols w:equalWidth="0" w:num="1">
            <w:col w:w="10520"/>
          </w:cols>
          <w:pgMar w:left="1360" w:top="1420" w:right="1080" w:bottom="895" w:gutter="0" w:footer="0" w:header="0"/>
          <w:type w:val="continuous"/>
        </w:sectPr>
      </w:pPr>
    </w:p>
    <w:bookmarkStart w:id="33" w:name="page34"/>
    <w:bookmarkEnd w:id="33"/>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Under both the former regime and the new CTR, national laws, regulations, and the applicable GCP and GLP standards must also be respected during the conduct of the trials, including the International Council for Harmonization of Technical Requirements for Pharmaceuticals for Human Use guidelines on GCP and the ethical principles that have their origin in the Declaration of Helsinki.</w:t>
      </w:r>
    </w:p>
    <w:p>
      <w:pPr>
        <w:spacing w:after="0" w:line="157"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During the development of a medicinal product, the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Drug Marketing Authorization</w:t>
      </w:r>
    </w:p>
    <w:p>
      <w:pPr>
        <w:spacing w:after="0" w:line="118"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auto"/>
        </w:rPr>
        <w:t>In the EEA, after completion of all required clinical testing, pharmaceutical products may only be placed on the market after obtaining a MA. To obtain an MA of a drug under European Union regulatory systems, an applicant can submit an MAA through, amongst others, a centralized or decentralized procedure.</w:t>
      </w:r>
    </w:p>
    <w:p>
      <w:pPr>
        <w:spacing w:after="0" w:line="188"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auto"/>
        </w:rPr>
        <w:t>To be used or sold in the UK, a drug must have an effective MA obtained by a centralized application through EMA or a national application. National applications are governed by the Human Medicines Regulations (SI 2012/1916). Applications are made electronically through the Medicines and Healthcare products Regulatory Agency (“MHRA”) Submissions Portal. The process from application to authorizations generally takes up to 210 days, excluding time taken to provide any additional information or data required by the MHRA.</w:t>
      </w:r>
    </w:p>
    <w:p>
      <w:pPr>
        <w:spacing w:after="0" w:line="19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On August 30, 2023, the MHRA published detailed guidance on its new International Reliance Procedure (“IRP”) for MAAs. The IRP applies since January 1, 2024 and replaces existing EU reliance procedures to apply for authorizations from seven international regulators (e.g., Health Canada, Swiss Medic, FDA, EMA, among others). The IRP allows medicinal products approved in other jurisdictions that meet certain criteria to undergo a fast-tracked MHRA review to obtain and/or update a MA in the UK. Applicants can submit initial MAAs to the IRP, but the procedure can also be used throughout the lifecycle of a product for post-authorization procedures including line extensions, variations and renewals.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Centralized Authorization Procedure</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The centralized procedure provides for the grant of a single MA that is issued by the EC following the scientific assessment of the application by the EMA that is valid for all EU Member States as well as in the three additional EEA member states (Norway, Iceland and Liechtenstein). The centralized procedure is compulsory for certain types of medicinal products, including for medicines developed by means of certain biotechnological processes, products designated as orphan medicinal products, advanced therapy medicinal products (gene therapy, somatic cell therapy, or tissue engineered medicines) and medicinal products with a new active substance indicated for the treatment of certain diseases (HIV/AIDS, cancer, neurodegenerative disorders, diabetes, auto-immune and viral diseases). For medicinal products containing a new active substance not yet authorized in the EEA before May 20, 2004 and indicated for the treatment of other diseases, medicinal products that constitute significant therapeutic, scientific or technical innovations or for which the grant of a MA through the centralized procedure would be in the interest of public health at EU level, an applicant may voluntarily submit an application for a MA through the centralized procedure.</w:t>
      </w:r>
    </w:p>
    <w:p>
      <w:pPr>
        <w:spacing w:after="0" w:line="202"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Under the centralized procedure, the CHMP established at the EMA, is responsible for conducting the initial assessment of a drug. The CHMP is also responsible for several post-authorization and maintenance activities, such as the assessment of modifications or extensions to an existing MA.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 eligible for an accelerated assessment. Accelerated evaluation might be granted by the CHMP in exceptional cases, when a medicinal product is expected to be of a major public health interest, particularly from the point of view of therapeutic innovation. Upon request, the CHMP can reduce the time frame to 150 days if the applicant provides sufficient justification for an accelerated assessment. The CHMP will provide a positive opinion regarding the application only if it meets certain quality, safety and efficacy requirements. This opinion is then transmitted to the EC, which has the ultimate authority for granting MA within 67 days after receipt of the CHMP opinion.</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960" w:h="17280" w:orient="portrait"/>
          <w:cols w:equalWidth="0" w:num="1">
            <w:col w:w="10520"/>
          </w:cols>
          <w:pgMar w:left="1360" w:top="1420" w:right="1080" w:bottom="895"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i w:val="1"/>
          <w:iCs w:val="1"/>
          <w:color w:val="auto"/>
        </w:rPr>
        <w:t>Decentralized Authorization Procedure</w:t>
      </w:r>
    </w:p>
    <w:p>
      <w:pPr>
        <w:spacing w:after="0" w:line="11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Medicines that fall outside the mandatory scope of the centralized procedure have three routes to authorization: (i) they can be authorized under the centralized procedure if they concern a significant therapeutic, scientific or technical innovation, or if their authorization would be in the interest of public health; (ii) they can be authorized under a decentralized procedure where an applicant applies for simultaneous authorization in more than one EU member state; or (iii) they can be authorized in an EU member state in accordance with that state’s national procedures and then be authorized in other EU countries by a procedure whereby the countries concerned agree to recognize the validity of the original, national MA (mutual recognition procedure).</w:t>
      </w:r>
    </w:p>
    <w:p>
      <w:pPr>
        <w:spacing w:after="0" w:line="20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decentralized procedure permits companies to file identical MA applications for a medicinal product to the competent authorities in various EU Member States simultaneously if such medicinal product has not received marketing approval in any EU Member State before. This procedure is available for pharmaceutical products not falling within the mandatory scope of the centralized procedure. The competent authority of a single EU Member State, the reference member state, is appointed to review the application and provide an assessment report. The competent authorities of the other EU Member States, the concerned member states, are subsequently required to grant a MA for their territories on the basis of this assessment. The only exception to this is where the competent authority of an EU Member State considers that there are concerns of potential serious risk to public health, the disputed points are subject to a dispute resolution mechanism and may eventually be referred to the EC, whose decision is binding for all EU Member States.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 Management Plan</w:t>
      </w:r>
    </w:p>
    <w:p>
      <w:pPr>
        <w:spacing w:after="0" w:line="118"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auto"/>
        </w:rPr>
        <w:t>All new MAAs must include a risk management plan (“RMP”) describing the risk management system that a company will put in place and documenting measures to prevent or minimize the risks associated with the product. RMPs are continually modified and updated throughout the lifetime of the medicine as new information becomes available. An updated RMP must be submitted: (i) at the request of EMA or a national competent authority, or (ii) whenever the risk-management system is modified, especially as the result of new information being received that may lead to a significant change to the benefit-risk profile or as a result of an important pharmacovigilance or risk -minimization milestone being reached. The regulatory authorities may also impose specific obligations as a condition of the MA. Since October 20, 2023, all RMPs for centrally authorized products are published by the EMA, subject only to limited redactions.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 Validity Period</w:t>
      </w:r>
    </w:p>
    <w:p>
      <w:pPr>
        <w:spacing w:after="0" w:line="11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MAs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w:t>
      </w:r>
    </w:p>
    <w:p>
      <w:pPr>
        <w:spacing w:after="0" w:line="194" w:lineRule="exact"/>
        <w:rPr>
          <w:sz w:val="20"/>
          <w:szCs w:val="20"/>
          <w:color w:val="auto"/>
        </w:rPr>
      </w:pPr>
    </w:p>
    <w:p>
      <w:pPr>
        <w:ind w:right="840" w:firstLine="490"/>
        <w:spacing w:after="0" w:line="277" w:lineRule="auto"/>
        <w:rPr>
          <w:sz w:val="20"/>
          <w:szCs w:val="20"/>
          <w:color w:val="auto"/>
        </w:rPr>
      </w:pPr>
      <w:r>
        <w:rPr>
          <w:rFonts w:ascii="Times New Roman" w:cs="Times New Roman" w:eastAsia="Times New Roman" w:hAnsi="Times New Roman"/>
          <w:sz w:val="20"/>
          <w:szCs w:val="20"/>
          <w:color w:val="auto"/>
        </w:rPr>
        <w:t>Any authorization which is not followed by the actual placing of the drug on the EU market (in case of centralized procedure) or on the market of the authorizing member state within three years after authorization ceases to be valid.</w:t>
      </w:r>
    </w:p>
    <w:p>
      <w:pPr>
        <w:spacing w:after="0" w:line="169"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For the UK, the period of three years during which the drug has not been marketed in Great Britain will be restarted from the date of conversion to a Great Britain MA. Conversion refers to the procedure by which, as of January 1, 2021, MAs granted on the basis of a centralized procedure in the EU are only valid in Northern Ireland but not in Great Britain, whereas, prior EU authorizations have all been automatically converted into UK MAs effective in Great Britain only.</w:t>
      </w:r>
    </w:p>
    <w:p>
      <w:pPr>
        <w:spacing w:after="0" w:line="19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On the other hand, for the EU, in the case the drug has been marketed in the UK, the placing on the UK market before the end of the period starting when the UK left the EU on January 31, 2020 and ending on December 31, 2020 (the “Brexit Transition Period”) will be taken into account. If, after the end of the Brexit Transition Period, the drug is not placed on any other market of the remaining EU Member States, the three-year period will start running from the last date the drug was placed on the UK market before the end of the Brexit Transition Period.</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Advanced Therapy Medicinal Products</w:t>
      </w:r>
    </w:p>
    <w:p>
      <w:pPr>
        <w:spacing w:after="0" w:line="118"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auto"/>
        </w:rPr>
        <w:t>In the EU, medicinal products, including advanced therapy medicinal products (“ATMP”) are subject to extensive pre- and post-market regulation by regulatory authorities at both the EU and national levels. ATMPs comprise gene therapy products, somatic cell therapy products and tissue engineered products, which are genes, cells or tissues that have undergone substantial manipulation and that are administered to human beings in order to cure, diagnose or prevent diseases or regenerate, repair or replace a human tissue. Pursuant to Regulation (EC) No 1394/2007, the Committee for Advanced Therapies (“CAT”) is responsible in conjunction with the CHMP for the evaluation of ATMPs. The CHMP and CAT are also responsible for providing guidelines on ATMPs. These guidelines provide additional guidance on the factors that the EMA will consider in relation to the</w:t>
      </w:r>
    </w:p>
    <w:p>
      <w:pPr>
        <w:sectPr>
          <w:pgSz w:w="12960" w:h="17280" w:orient="portrait"/>
          <w:cols w:equalWidth="0" w:num="1">
            <w:col w:w="10500"/>
          </w:cols>
          <w:pgMar w:left="1360" w:top="1422" w:right="1100" w:bottom="895"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960" w:h="17280" w:orient="portrait"/>
          <w:cols w:equalWidth="0" w:num="1">
            <w:col w:w="10500"/>
          </w:cols>
          <w:pgMar w:left="1360" w:top="1422" w:right="1100" w:bottom="895" w:gutter="0" w:footer="0" w:header="0"/>
          <w:type w:val="continuous"/>
        </w:sectPr>
      </w:pPr>
    </w:p>
    <w:bookmarkStart w:id="35" w:name="page36"/>
    <w:bookmarkEnd w:id="35"/>
    <w:p>
      <w:pPr>
        <w:ind w:right="200"/>
        <w:spacing w:after="0" w:line="258" w:lineRule="auto"/>
        <w:rPr>
          <w:sz w:val="20"/>
          <w:szCs w:val="20"/>
          <w:color w:val="auto"/>
        </w:rPr>
      </w:pPr>
      <w:r>
        <w:rPr>
          <w:rFonts w:ascii="Times New Roman" w:cs="Times New Roman" w:eastAsia="Times New Roman" w:hAnsi="Times New Roman"/>
          <w:sz w:val="20"/>
          <w:szCs w:val="20"/>
          <w:color w:val="auto"/>
        </w:rPr>
        <w:t>development and evaluation of ATMPs and include, among other things, the preclinical studies required to characterize ATMPs. Although such guidelines are not legally binding, compliance with them is often necessary to gain and maintain approval for product candidates.</w:t>
      </w:r>
    </w:p>
    <w:p>
      <w:pPr>
        <w:spacing w:after="0" w:line="188"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In addition to the mandatory RMP, the holder of a MA for an ATMP must put in place and maintain a system to ensure that each individual product and its starting and raw materials, including all substances coming into contact with the cells or tissues it may contain, can be traced through the sourcing, manufacturing, packaging, storage, transport and delivery to the relevant healthcare institution where the product is used.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Exceptional Circumstances/Conditional Approval</w:t>
      </w:r>
    </w:p>
    <w:p>
      <w:pPr>
        <w:spacing w:after="0" w:line="11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Similar to accelerated approval regulations in the United States, conditional MAs can be granted in the EU in exceptional circumstances. A conditional MA can be granted for medicinal products where, although comprehensive clinical data referring to the safety and efficacy of the medicinal product have not been supplied, a number of criteria are fulfilled: (i) the benefit/risk balance of the product is positive, (ii) it is likely that the applicant will be in a position to provide the comprehensive clinical data,</w:t>
      </w:r>
    </w:p>
    <w:p>
      <w:pPr>
        <w:spacing w:after="0" w:line="1" w:lineRule="exact"/>
        <w:rPr>
          <w:sz w:val="20"/>
          <w:szCs w:val="20"/>
          <w:color w:val="auto"/>
        </w:rPr>
      </w:pPr>
    </w:p>
    <w:p>
      <w:pPr>
        <w:ind w:right="20" w:firstLine="8"/>
        <w:spacing w:after="0" w:line="242" w:lineRule="auto"/>
        <w:tabs>
          <w:tab w:leader="none" w:pos="35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unmet medical needs will be fulfilled by the grant of the MA and (iv) the benefit to public health of the immediate availability on the market of the medicinal product concerned outweighs the risk inherent in the fact that additional data are still required. Once a conditional MA has been granted, the MA holder must fulfil specific obligations within defined timelines. A conditional MA must be renewed annually, but it can be converted into a standard MA once the MA holder fulfils the obligations imposed and the complete data confirm that the medicine’s benefits continue to outweigh its risks.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Data and Market Exclusivity</w:t>
      </w:r>
    </w:p>
    <w:p>
      <w:pPr>
        <w:spacing w:after="0" w:line="118"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As in the United States, it may be possible to obtain a period of market and / or data exclusivity in the EU that would have the effect of postponing the entry into the marketplace of a competitor’s generic, hybrid or biosimilar product (even if the pharmaceutical product has already received a MA) and prohibiting another applicant from relying on the MA holder’s pharmacological, toxicological and clinical data in support of another MA for the purposes of submitting an application, obtaining MA or placing the product on the market. New Chemical Entities (“NCEs”) approved in the EU qualify for eight years of data exclusivity and 10 years of marketing exclusivity.</w:t>
      </w:r>
    </w:p>
    <w:p>
      <w:pPr>
        <w:spacing w:after="0" w:line="163"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An additional non-cumulative one-year period of marketing exclusivity is possible if during the data exclusivity period (the first eight years of the 10-year marketing exclusivity period), the MA holder obtains an authorization for one or more new therapeutic indications that are deemed to bring a significant clinical benefit compared to existing therapies.</w:t>
      </w:r>
    </w:p>
    <w:p>
      <w:pPr>
        <w:spacing w:after="0" w:line="18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data exclusivity period begins on the date of the product’s first MA in the EU. After eight years, a generic product application may be submitted and generic companies may rely on the MA holder’s data. 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new indication. Another year of data exclusivity may be added to the eight years, where a change of classification of a pharmaceutical product has been authorized on the basis of significant pre-trial tests or clinical trials (when examining an application by another applicant for or holder of market authorization for a change of classification of the same substance the competent authority will not refer to the results of those tests or trials for one year after the initial change was authorized).</w:t>
      </w:r>
    </w:p>
    <w:p>
      <w:pPr>
        <w:spacing w:after="0" w:line="209"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Products may not be granted data exclusivity since there is no guarantee that a product will be considered by the European Union’s regulatory authorities to include an NCE. Even if a compound is considered to be a NCE and the MA applicant is able to gain the prescribed period of data exclusivity, another company nevertheless could also market another version of the medicinal product if such company can complete a full MAA with their own complete database of pharmaceutical tests, preclinical studies and clinical trials and obtain MA of its product.</w:t>
      </w:r>
    </w:p>
    <w:p>
      <w:pPr>
        <w:spacing w:after="0" w:line="197"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On April 26, 2023, the EC submitted a proposal for the reform of the European pharmaceutical legislation. The current draft envisages, e.g., a shortening of the periods of data exclusivity; however, there is currently neither a final version of this draft nor a date for its entry into force. While the European Parliament adopted its approving position on the reform on April 10, 2024, no further required legislative steps have been taken since.</w:t>
      </w:r>
    </w:p>
    <w:p>
      <w:pPr>
        <w:sectPr>
          <w:pgSz w:w="12960" w:h="17280" w:orient="portrait"/>
          <w:cols w:equalWidth="0" w:num="1">
            <w:col w:w="10500"/>
          </w:cols>
          <w:pgMar w:left="1360" w:top="142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2960" w:h="17280" w:orient="portrait"/>
          <w:cols w:equalWidth="0" w:num="1">
            <w:col w:w="10500"/>
          </w:cols>
          <w:pgMar w:left="1360" w:top="1420" w:right="1100" w:bottom="895"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i w:val="1"/>
          <w:iCs w:val="1"/>
          <w:color w:val="auto"/>
        </w:rPr>
        <w:t>Pediatric Development</w:t>
      </w:r>
    </w:p>
    <w:p>
      <w:pPr>
        <w:spacing w:after="0" w:line="11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In the EU, companies developing a new medicinal product are obligated to study their product in children and must therefore submit a pediatric improvement plan (“PIP”) together with a request for agreement to the EMA. The EMA issues a decision on the PIP based on an opinion of the EMA’s Pediatric Committee. Companies must conduct pediatric clinical trials in accordance with the PIP approved by the EMA, unless a deferral (e.g., until enough information to demonstrate its effectiveness and safety in adults is available) or waiver (e.g., because the relevant disease or condition occurs only in adults) has been granted by the EMA. The MAA for the medicinal product must include the results of all pediatric clinical trials performed and details of all information collected in compliance with the approved PIP, unless a waiver or a deferral has been granted, in which case the pediatric clinical trials may be completed at a later date. Medicinal products that are granted an MA on the basis of the pediatric clinical trials conducted in accordance with the approved PIP are eligible for a six-month extension of the protection under a supplementary protection certificate (if any is in effect at the time of approval) or, in the case of orphan medicinal products, a two-year extension of the orphan market exclusivity. This pediatric reward is subject to specific conditions and is not automatically available when data in compliance with the approved PIP are developed and submitted. An approved PIP is also required when a MA holder wants to add a new indication, medicinal form or route of administration for a medicine that is already authorized and covered by intellectual property rights.</w:t>
      </w:r>
    </w:p>
    <w:p>
      <w:pPr>
        <w:spacing w:after="0" w:line="213"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auto"/>
        </w:rPr>
        <w:t>In the UK, the MHRA has published guidance on the procedures for UK PIPs which, where possible, mirror the submission format and requirements of the EU system. EU PIPs remain applicable for Northern Ireland and EU PIPs agreed by the EMA prior to January 1, 2021 have been adopted as UK PIPs.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PRIME Designation</w:t>
      </w:r>
    </w:p>
    <w:p>
      <w:pPr>
        <w:spacing w:after="0" w:line="11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Products from small-and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marketing authorization application assessment once a dossier has been submitted. Importantly, once a candidate medicine has been selected for the PRIME scheme, a dedicated contact point and rapporteur from the CHMP or from CAT are appointed facilitating increased understanding of the product at EMA’s Committee level. A kick-off meeting with the CHMP/CAT rapporteur initiates these relationships and includes a team of multidisciplinary experts to provide guidance on the overall development plan and regulatory strategy. PRIME eligibility does not change the standards for product approval, and there is no assurance that any such designation or eligibility will result in expedited review or approval.</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Post-Approval Regulation</w:t>
      </w:r>
    </w:p>
    <w:p>
      <w:pPr>
        <w:spacing w:after="0" w:line="118"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Similar to the United States, both MA holders and manufacturers of medicinal products are subject to comprehensive regulatory oversight by the EMA, the EC and/or the competent regulatory authorities of the EU Member States. This oversight applies both before and after grant of manufacturing licenses and marketing authorizations. It includes control of compliance with EU good manufacturing practices rules, manufacturing authorizations, pharmacovigilance rules and requirements governing advertising, promotion, sale, and distribution, recordkeeping, importing and exporting of medicinal products.</w:t>
      </w:r>
    </w:p>
    <w:p>
      <w:pPr>
        <w:spacing w:after="0" w:line="19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Failure by us or by any of our third-party partners, including suppliers, manufacturers and distributors to comply with EU laws and the related national laws of individual EU Member States governing the conduct of clinical trials, manufacturing approval, MA of medicinal products and marketing of such products, both before and after grant of MA, statutory health insurance, bribery and anti-corruption or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200"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auto"/>
        </w:rPr>
        <w:t>The holder of MA for a medicinal product must also comply with EU pharmacovigilance legislation and its related regulations and guidelines, which entail many requirements for conducting pharmacovigilance, or the assessment and monitoring of the safety of medicinal products.</w:t>
      </w:r>
    </w:p>
    <w:p>
      <w:pPr>
        <w:spacing w:after="0" w:line="188"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These pharmacovigilance rules can impose on holders of MAs the obligation to conduct a labor intensive collection of data regarding the risks and benefits of marketed medicinal products and to engage in ongoing assessments of those risks and benefits, including the possible requirement to conduct additional clinical studies or post-authorization safety studies to obtain further information on a medicine’s safety, or to measure the effectiveness of risk-management measures, which may be time consuming</w:t>
      </w:r>
    </w:p>
    <w:p>
      <w:pPr>
        <w:sectPr>
          <w:pgSz w:w="12960" w:h="17280" w:orient="portrait"/>
          <w:cols w:equalWidth="0" w:num="1">
            <w:col w:w="10520"/>
          </w:cols>
          <w:pgMar w:left="1360" w:top="1422" w:right="1080" w:bottom="895"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960" w:h="17280" w:orient="portrait"/>
          <w:cols w:equalWidth="0" w:num="1">
            <w:col w:w="10520"/>
          </w:cols>
          <w:pgMar w:left="1360" w:top="1422" w:right="1080" w:bottom="895" w:gutter="0" w:footer="0" w:header="0"/>
          <w:type w:val="continuous"/>
        </w:sectPr>
      </w:pPr>
    </w:p>
    <w:bookmarkStart w:id="37" w:name="page38"/>
    <w:bookmarkEnd w:id="37"/>
    <w:p>
      <w:pPr>
        <w:ind w:right="100"/>
        <w:spacing w:after="0" w:line="244" w:lineRule="auto"/>
        <w:rPr>
          <w:sz w:val="20"/>
          <w:szCs w:val="20"/>
          <w:color w:val="auto"/>
        </w:rPr>
      </w:pPr>
      <w:r>
        <w:rPr>
          <w:rFonts w:ascii="Times New Roman" w:cs="Times New Roman" w:eastAsia="Times New Roman" w:hAnsi="Times New Roman"/>
          <w:sz w:val="20"/>
          <w:szCs w:val="20"/>
          <w:color w:val="auto"/>
        </w:rPr>
        <w:t>and expensive and could impact our profitability. 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 in relation to medicinal products for which they hold MAs. The EMA reviews PSURs for medicinal products authorized through the centralized procedure. If the EMA has concerns that the risk benefit profile of a product has varied, it can adopt an opinion advising that the existing MA for the product be suspended, withdrawn or varied. The agency can advise that the MA holder be obliged to conduct post-authorization Phase 4 safety studies. If the EC agrees with the opinion, it can adopt a decision varying the existing MA. Failure by the MA holder to fulfill the obligations for which the EC’s decision provides can undermine the ongoing validity of the MA.</w:t>
      </w:r>
    </w:p>
    <w:p>
      <w:pPr>
        <w:spacing w:after="0" w:line="206"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auto"/>
        </w:rPr>
        <w:t>More generally, non -compliance with pharmacovigilance obligations can lead to the variation, suspension or withdrawal of the MA for the product or imposition of financial penalties or other enforcement measures.</w:t>
      </w:r>
    </w:p>
    <w:p>
      <w:pPr>
        <w:spacing w:after="0" w:line="169"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auto"/>
        </w:rPr>
        <w:t>The manufacturing process for pharmaceutical products in the European Union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(repealed by Directive 2017/1572 on January 31, 2022), Regulation (EC) No 726/2004 and the European Commission Guidelines for Good Manufacturing Practice. These requirements include compliance with EU cGMP standards when manufacturing pharmaceutical products and active pharmaceutical ingredients, including the manufacture of active pharmaceutical ingredients outside of the European Union with the intention to import the active pharmaceutical ingredients into the European Union. Amendments or replacements of at least Directive 2001/83/EC and Regulation (EC) No 726/2004 are part of the reform proposal for European pharmaceutical legislation. Similarly, the distribution of pharmaceutical products into and within the European Union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cGMPs, before releasing the product for commercial distribution in the European Union or for use in a clinical trial. Manufacturing facilities are subject to periodic inspections by the competent authorities for compliance with cGMPs.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and Marketing Regulations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advertising and promotion of our products is also subject to EU laws concerning promotion of medicinal products, interactions with physicians, misleading and comparative advertising and unfair commercial practices. In addition, other national legislation of individual EU Member States may apply to the advertising and promotion of medicinal products and may differ from one country to another. These laws require that promotional materials and advertising in relation to medicinal products comply with the product’s summary of product characteristics (“SmPC”) as approved by the competent regulatory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All advertising and promotional activities for the product must be consistent with the approved SmPC and therefore all off-label promotion is prohibited. Direct-to-consumer advertising of prescription-only medicines is also prohibited in the EU.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our promotional activities with healthcare professionals.</w:t>
      </w:r>
    </w:p>
    <w:p>
      <w:pPr>
        <w:spacing w:after="0" w:line="203"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EU regulation with regards to dispensing, sale and purchase of medicines has generally been preserved in the UK following Brexit, through the Human Medicines Regulations 2012. However, organizations wishing to sell medicines online need to register with the MHRA. Following Brexit, the requirements to display the common logo no longer apply to UK-based online sellers, except for those established in Northern Ireland.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Anti-Corruption Legislation</w:t>
      </w:r>
    </w:p>
    <w:p>
      <w:pPr>
        <w:spacing w:after="0" w:line="11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the EU Member States. Violation of these laws could result in substantial fines and imprisonment.</w:t>
      </w:r>
    </w:p>
    <w:p>
      <w:pPr>
        <w:sectPr>
          <w:pgSz w:w="12960" w:h="17280" w:orient="portrait"/>
          <w:cols w:equalWidth="0" w:num="1">
            <w:col w:w="10500"/>
          </w:cols>
          <w:pgMar w:left="1360" w:top="142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2960" w:h="17280" w:orient="portrait"/>
          <w:cols w:equalWidth="0" w:num="1">
            <w:col w:w="10500"/>
          </w:cols>
          <w:pgMar w:left="1360" w:top="1420" w:right="1100" w:bottom="895" w:gutter="0" w:footer="0" w:header="0"/>
          <w:type w:val="continuous"/>
        </w:sectPr>
      </w:pPr>
    </w:p>
    <w:bookmarkStart w:id="38" w:name="page39"/>
    <w:bookmarkEnd w:id="38"/>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w:t>
      </w:r>
    </w:p>
    <w:p>
      <w:pPr>
        <w:spacing w:after="0" w:line="19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the UK, the pharmaceutical sector is recognized as being particularly vulnerable to corrupt practices, some of which fall within the scope of the Bribery Act 2010. Due to the Bribery Act 2010’s far-reaching territorial application, the potential penalized act does not have to occur in the UK to come within its scope. If the act or omission does not take place in the UK, but the person’s act or omission would constitute an offense if carried out there and the person has a close connection with the UK, an offense will still have been committed. The Bribery Act 2010 is comprised of four offenses that cover (i) individuals, companies and partnerships that give, promise or offer bribes, (ii) individuals, companies and partnerships that request, agree to receive or accept bribes, (iii) individuals, companies and partnerships that bribe foreign public officials, and (iv) companies and partnerships that fail to prevent persons acting on their behalf from paying bribes. The penalties imposed under the Bribery Act 2010 depend on the offence committed, harm and culpability and penalties range from unlimited fines to imprisonment for a maximum term of 10 years and in some cases both.</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Regulations in the UK and Other Markets</w:t>
      </w:r>
    </w:p>
    <w:p>
      <w:pPr>
        <w:spacing w:after="0" w:line="12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The UK formally left the EU on January 31, 2020 and EU laws now only apply to the UK in respect of Northern Ireland as laid out in the Protocol on Ireland and Northern Ireland and as amended by the Windsor Framework sets out a long-term set of arrangements for the supply of medicines into Northern Ireland. The EU and the UK agreed on a trade and cooperation agreement, which includes provisions affecting the life sciences sector (including on customs and tariffs) specific provisions concerning pharmaceuticals, including the mutual recognition of GMP, inspections of manufacturing facilities for medicinal products and issued GMP documents. The TCA does not, however, contain wholesale mutual recognition of UK and EU pharmaceutical regulations and product standards.</w:t>
      </w:r>
    </w:p>
    <w:p>
      <w:pPr>
        <w:spacing w:after="0" w:line="20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The UK government has adopted the Medicines and Medical Devices Act 2021 (“MMDA”) to enable the existing regulatory frameworks to be updated following the UK’s departure from the EU. The MMDA introduces regulation-making, delegated powers covering the fields of human medicines, clinical trials of human medicines, veterinary medicines and medical devices. The MHRA has since been consulting on future regulations for medicines and medical devices in the UK.</w:t>
      </w:r>
    </w:p>
    <w:p>
      <w:pPr>
        <w:spacing w:after="0" w:line="194"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The MMDA supplements the UK Medical Devices Regulations 2002 (the “UK Regulations”), which are based on the EU Medical Devices Directive as amended to reflect the UK’s post-Brexit regulatory regime. Notably, the UK Regulations do not include any of the revisions that have been made by the EU Medical Devices Regulation (EU) 2017/745, which has gained full application in all EU Member States since May 26, 2021, but is not applicable in the UK as “retained law”. Additionally, the MHRA launched a comprehensive consultation in 2021 with proposals to amend the regulatory framework for medical devices in the UK. The stated objectives of the proposals include expansion of the scope of the UK Regulations (for example, by expanding the in vitro diagnostic medical device definition to include software and other products, including products without an intended medical purpose but with similar functioning and risk profiles) and potentially through use of internationally recognized definitions (for example, by excluding products that contain viable biological substances and excluding food), remove trade barriers, further the availability of medical devices and improve the favorability of the UK market. The consultation period closed on November 25, 2021 and on June 26, 2022, the MHRA published a response to its consultation, which sets out the proposed new UK regulatory framework for medical devices and in vitro diagnostic medical devices. The proposals are intended to improve patient safety and public health through appropriate regulatory oversight, improve the traceability of medical devices, improve the regulation of the rules governing software and AI as medical devices and introduce alternative routes to market to ensure the UK aligns with any superior international best practices. Core aspects of the new framework are expected to apply from July 1, 2025 with appropriate transitional measures and the introduction of secondary legislation.</w:t>
      </w:r>
    </w:p>
    <w:p>
      <w:pPr>
        <w:spacing w:after="0" w:line="21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must be conducted in accordance with GCP and the applicable regulatory requirements and the ethical principles that have their origin in the Declaration of Helsinki.</w:t>
      </w:r>
    </w:p>
    <w:p>
      <w:pPr>
        <w:spacing w:after="0" w:line="194" w:lineRule="exact"/>
        <w:rPr>
          <w:sz w:val="20"/>
          <w:szCs w:val="20"/>
          <w:color w:val="auto"/>
        </w:rPr>
      </w:pPr>
    </w:p>
    <w:p>
      <w:pPr>
        <w:jc w:val="both"/>
        <w:ind w:right="500" w:firstLine="490"/>
        <w:spacing w:after="0" w:line="258" w:lineRule="auto"/>
        <w:rPr>
          <w:sz w:val="20"/>
          <w:szCs w:val="20"/>
          <w:color w:val="auto"/>
        </w:rPr>
      </w:pPr>
      <w:r>
        <w:rPr>
          <w:rFonts w:ascii="Times New Roman" w:cs="Times New Roman" w:eastAsia="Times New Roman" w:hAnsi="Times New Roman"/>
          <w:sz w:val="20"/>
          <w:szCs w:val="20"/>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960" w:h="17280" w:orient="portrait"/>
          <w:cols w:equalWidth="0" w:num="1">
            <w:col w:w="10520"/>
          </w:cols>
          <w:pgMar w:left="1360" w:top="1420" w:right="1080" w:bottom="895"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Medical Products in New Zealand</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Clinical trials in New Zealand are regulated under the Medicines Act 1981 (“Medicines Act”) and Medicines Regulations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1984.</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trial requirements</w:t>
      </w:r>
    </w:p>
    <w:p>
      <w:pPr>
        <w:spacing w:after="0" w:line="118"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auto"/>
        </w:rPr>
        <w:t>The New Zealand Medicines and Medical Devices Safety Authority (“Medsafe”) is the regulatory authority that administers the application and approval process for medicines and clinical trials in New Zealand (under delegation from the Director-General of Health). Approval from Medsafe is required in the following two circumstances:</w:t>
      </w:r>
    </w:p>
    <w:p>
      <w:pPr>
        <w:spacing w:after="0" w:line="68" w:lineRule="exact"/>
        <w:rPr>
          <w:sz w:val="20"/>
          <w:szCs w:val="20"/>
          <w:color w:val="auto"/>
        </w:rPr>
      </w:pPr>
    </w:p>
    <w:p>
      <w:pPr>
        <w:jc w:val="both"/>
        <w:ind w:left="1100" w:right="240" w:hanging="358"/>
        <w:spacing w:after="0" w:line="258" w:lineRule="auto"/>
        <w:tabs>
          <w:tab w:leader="none" w:pos="11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a medicine can be distributed in New Zealand - see “Approval for distribution” below; however, there is an exemption from this approval requirement for medicines that are imported or manufactured for the sole purpose of use in a clinical trial (including pharmacokinetic, bioequivalence and first-in-human studies); and</w:t>
      </w:r>
    </w:p>
    <w:p>
      <w:pPr>
        <w:spacing w:after="0" w:line="68" w:lineRule="exact"/>
        <w:rPr>
          <w:rFonts w:ascii="Times New Roman" w:cs="Times New Roman" w:eastAsia="Times New Roman" w:hAnsi="Times New Roman"/>
          <w:sz w:val="20"/>
          <w:szCs w:val="20"/>
          <w:color w:val="auto"/>
        </w:rPr>
      </w:pPr>
    </w:p>
    <w:p>
      <w:pPr>
        <w:ind w:left="1100" w:hanging="358"/>
        <w:spacing w:after="0" w:line="252" w:lineRule="auto"/>
        <w:tabs>
          <w:tab w:leader="none" w:pos="11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clinical trials involving unapproved medicines carried out in New Zealand; however, if a medicine is already approved by Medsafe for distribution in New Zealand, then there is no separate requirement to obtain approval for clinical trials with that medicine (including if the medicine is being tested for a use not provided for under its existing authorization).</w:t>
      </w:r>
    </w:p>
    <w:p>
      <w:pPr>
        <w:spacing w:after="0" w:line="194" w:lineRule="exact"/>
        <w:rPr>
          <w:sz w:val="20"/>
          <w:szCs w:val="20"/>
          <w:color w:val="auto"/>
        </w:rPr>
      </w:pPr>
    </w:p>
    <w:p>
      <w:pPr>
        <w:ind w:right="540" w:firstLine="490"/>
        <w:spacing w:after="0" w:line="258" w:lineRule="auto"/>
        <w:rPr>
          <w:sz w:val="20"/>
          <w:szCs w:val="20"/>
          <w:color w:val="auto"/>
        </w:rPr>
      </w:pPr>
      <w:r>
        <w:rPr>
          <w:rFonts w:ascii="Times New Roman" w:cs="Times New Roman" w:eastAsia="Times New Roman" w:hAnsi="Times New Roman"/>
          <w:sz w:val="20"/>
          <w:szCs w:val="20"/>
          <w:color w:val="auto"/>
        </w:rPr>
        <w:t>Medsafe also expects all clinical trials to be carried out in accordance with internationally accepted standards for good clinical practice as published by the EMA in its Guideline for Good Clinical Practice, to the extent that these standards are compatible with the Medicines Act.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trial approval process</w:t>
      </w:r>
    </w:p>
    <w:p>
      <w:pPr>
        <w:spacing w:after="0" w:line="11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clinical trial approval process requires submission of an online application to Medsafe. The application must include information about the nature of the medicine, the purpose of the trial, details of the investigators conducting the trial, written consent to nomination from each investigator, copies of information supplied to the investigators, a protocol of the trial, and details of the sites and facilities used. The application must be made by the actual or intended importer, manufacturer, packer, or supplier of the medicine in New Zealand. Once approved, the applicant becomes the “sponsor” and assumes responsibility and legal liability for the trial in New Zealand.</w:t>
      </w:r>
    </w:p>
    <w:p>
      <w:pPr>
        <w:spacing w:after="0" w:line="200"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auto"/>
        </w:rPr>
        <w:t>Once an application is received, Medsafe provides it to the Health Research Council of New Zealand (“HRC”). One of two HRC standing committees will consider the application and make a recommendation to Medsafe as to whether the clinical trial should be approved (with or without conditions) or declined.</w:t>
      </w:r>
    </w:p>
    <w:p>
      <w:pPr>
        <w:spacing w:after="0" w:line="18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The Standing Committee on Therapeutic Trials considers pharmaceutical medicine trial applications, while the Gene Technology Advisory Committee considers applications for trials involving gene and other biotechnology therapies. Both standing committees undertake a similar scientific assessment process, and consider factors such as trial protocol and design, data collection, and general compliance with the Guideline for Good Practice before making a recommendation to Medsafe.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Ethical requirements</w:t>
      </w:r>
    </w:p>
    <w:p>
      <w:pPr>
        <w:spacing w:after="0" w:line="118"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Medsafe expects all clinical trials to be approved by the Health and Disability Ethics Committee (“HDEC”), regardless of whether Medicines Act approval is required. HDEC reviews and approves applications and provides ongoing oversight of clinical trials to ensure alignment with good ethical practice. HDEC approval can be sought before, during, or after Medicines Act approval is sought from Medsafe.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Registration</w:t>
      </w:r>
    </w:p>
    <w:p>
      <w:pPr>
        <w:spacing w:after="0" w:line="118"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auto"/>
        </w:rPr>
        <w:t>A clinical trial’s sponsor may register a trial with the Australian New Zealand Clinical Trials Registry (“ANZCTR”), an online public registry of clinical trials undertaken in New Zealand, Australia, and elsewhere. While not mandatory, the ANZCTR is a recognized part of the World Health Organisation Registry Network and registration is encouraged by the World Health Organisation.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Approval for distribution</w:t>
      </w:r>
    </w:p>
    <w:p>
      <w:pPr>
        <w:spacing w:after="0" w:line="118"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If a sponsor decides to distribute the new medicine product in New Zealand after the clinical trial, the sponsor must apply for distribution approval. This is separate to the approval process for clinical trials and involves submitting an application to Medsafe for consideration. Medsafe assesses the safety, efficacy, quality and risk profile of the medicine, and makes a recommendation to</w:t>
      </w:r>
    </w:p>
    <w:p>
      <w:pPr>
        <w:sectPr>
          <w:pgSz w:w="12960" w:h="17280" w:orient="portrait"/>
          <w:cols w:equalWidth="0" w:num="1">
            <w:col w:w="10520"/>
          </w:cols>
          <w:pgMar w:left="1360" w:top="1420" w:right="1080" w:bottom="895"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960" w:h="17280" w:orient="portrait"/>
          <w:cols w:equalWidth="0" w:num="1">
            <w:col w:w="10520"/>
          </w:cols>
          <w:pgMar w:left="1360" w:top="1420" w:right="1080" w:bottom="895" w:gutter="0" w:footer="0" w:header="0"/>
          <w:type w:val="continuous"/>
        </w:sectPr>
      </w:pPr>
    </w:p>
    <w:bookmarkStart w:id="40" w:name="page41"/>
    <w:bookmarkEnd w:id="40"/>
    <w:p>
      <w:pPr>
        <w:ind w:right="100"/>
        <w:spacing w:after="0" w:line="277" w:lineRule="auto"/>
        <w:rPr>
          <w:sz w:val="20"/>
          <w:szCs w:val="20"/>
          <w:color w:val="auto"/>
        </w:rPr>
      </w:pPr>
      <w:r>
        <w:rPr>
          <w:rFonts w:ascii="Times New Roman" w:cs="Times New Roman" w:eastAsia="Times New Roman" w:hAnsi="Times New Roman"/>
          <w:sz w:val="20"/>
          <w:szCs w:val="20"/>
          <w:color w:val="auto"/>
        </w:rPr>
        <w:t>the Minister of Health as to whether the medicine should be approved for distribution (in practice, the Minister follows Medsafe’s recommendation).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44" w:lineRule="exact"/>
        <w:rPr>
          <w:sz w:val="20"/>
          <w:szCs w:val="20"/>
          <w:color w:val="auto"/>
        </w:rPr>
      </w:pPr>
    </w:p>
    <w:p>
      <w:pPr>
        <w:ind w:right="400" w:firstLine="720"/>
        <w:spacing w:after="0" w:line="252" w:lineRule="auto"/>
        <w:rPr>
          <w:sz w:val="20"/>
          <w:szCs w:val="20"/>
          <w:color w:val="auto"/>
        </w:rPr>
      </w:pPr>
      <w:r>
        <w:rPr>
          <w:rFonts w:ascii="Times New Roman" w:cs="Times New Roman" w:eastAsia="Times New Roman" w:hAnsi="Times New Roman"/>
          <w:sz w:val="20"/>
          <w:szCs w:val="20"/>
          <w:color w:val="auto"/>
        </w:rPr>
        <w:t>As of December 31, 2025, we had seven full-time employees, including one who holds a Ph.D. and M.D. degree. In January 2026, we expanded our leadership team to include Dr. Becker Hewes as our Chief Medical Officer and Sherwin Sattarzadeh as our Chief Operating Officer. Most of our employees work remotely. None of our employees are represented by labor unions or covered by collective bargaining agreements.</w:t>
      </w:r>
    </w:p>
    <w:p>
      <w:pPr>
        <w:spacing w:after="0" w:line="194" w:lineRule="exact"/>
        <w:rPr>
          <w:sz w:val="20"/>
          <w:szCs w:val="20"/>
          <w:color w:val="auto"/>
        </w:rPr>
      </w:pPr>
    </w:p>
    <w:p>
      <w:pPr>
        <w:ind w:right="420" w:firstLine="720"/>
        <w:spacing w:after="0" w:line="246" w:lineRule="auto"/>
        <w:rPr>
          <w:sz w:val="20"/>
          <w:szCs w:val="20"/>
          <w:color w:val="auto"/>
        </w:rPr>
      </w:pPr>
      <w:r>
        <w:rPr>
          <w:rFonts w:ascii="Times New Roman" w:cs="Times New Roman" w:eastAsia="Times New Roman" w:hAnsi="Times New Roman"/>
          <w:sz w:val="20"/>
          <w:szCs w:val="20"/>
          <w:color w:val="auto"/>
        </w:rPr>
        <w:t>We consistently assess the current business environment and labor market to refine our compensation and benefits programs and other resources available to our employees. The principal purposes of our equity and cash incentive plans are to attract, retain and reward personnel through the granting of stock -based and cash-based compensation awards, to increase stockholder value and the success of our company by motivating such individuals to perform to the best of their abilities and achieve our objectives. We believe that a compensation program with both short-term and long-term awards provides fair and competitive compensation and aligns employee and stockholder interests, including incentivizing business performance and integrating compensation with our overall business plans and strategy.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Corporation Information</w:t>
      </w:r>
    </w:p>
    <w:p>
      <w:pPr>
        <w:spacing w:after="0" w:line="124"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were founded as Galecto Biotech AB, a Swedish company, in 2011 and incorporated in Delaware as Galecto, Inc. in October 2019. On November 10, 2025, we completed the Asset Acquisition, pursuant to which we assumed the rights and obligations of Pre-Acquisition Damora under the Paragon Option Agreement, and all of Pre-Acquisition Damora’s outstanding equity interests were exchanged based on a fixed exchange ratio of 1 to 1.6366 for consideration from us of 265,309 shares of common stock, 16,366 shares of Series B Preferred Stock (or 16,366,000 shares on an as-converted-to-common stock basis), and 4,241 shares of Series C Preferred Stock (or 4,241,000 shares on an as-converted-to-common stock basis), in addition to the assumption of outstanding and unexercised stock options to purchase 434,508 shares of common stock from the Damora Therapeutics, Inc. 2025 Equity Incentive Plan. In connection with the Asset Acquisition, we also issued 39,641 shares of Series C Preferred Stock (or 39,641,000 shares on an as-converted-to-common stock basis) to new and existing investors in the PIPE. On March 6, 2026, we filed with the Secretary of State of the State of Delaware an amendment to our amended and restated certificate of incorporation to change the name of the Company from “Galecto, Inc.” to “Damora Therapeutics, Inc.”, which became effective on March 10, 2026. Our principal executive offices are located at 221 Crescent Street, Building 23, Suite 105, Waltham, MA 02453, and our telephone number is (781) 281-9020.</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44"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Our Internet address is www.damoratx.com. Our Annual Reports on Form 10-K, Quarterly Reports on Form 10-Q, Current Reports on Form 8-K, including exhibits, proxy, and information statements and amendments to those reports filed or furnished pursuant to Sections 13(a), 14, and 15(d) of the Exchange Act are available through the “Investors” portion of our website free of charge as soon as reasonably practicable after we electronically file such material with, or furnish it to, the SEC. In addition, our filings with the SEC may be accessed through the SEC’s Interactive Data Electronic Applications system at www.sec.gov.</w:t>
      </w:r>
    </w:p>
    <w:p>
      <w:pPr>
        <w:spacing w:after="0" w:line="20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Information contained on, or that can be accessible through, our website is not part of this Annual Report on Form 10-K or any of our other securities filings unless specifically incorporated herein by reference.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97" w:lineRule="exact"/>
        <w:rPr>
          <w:sz w:val="20"/>
          <w:szCs w:val="20"/>
          <w:color w:val="auto"/>
        </w:rPr>
      </w:pPr>
    </w:p>
    <w:p>
      <w:pPr>
        <w:jc w:val="both"/>
        <w:ind w:right="580" w:firstLine="720"/>
        <w:spacing w:after="0" w:line="258" w:lineRule="auto"/>
        <w:rPr>
          <w:sz w:val="20"/>
          <w:szCs w:val="20"/>
          <w:color w:val="auto"/>
        </w:rPr>
      </w:pPr>
      <w:r>
        <w:rPr>
          <w:rFonts w:ascii="Times New Roman" w:cs="Times New Roman" w:eastAsia="Times New Roman" w:hAnsi="Times New Roman"/>
          <w:sz w:val="20"/>
          <w:szCs w:val="20"/>
          <w:color w:val="auto"/>
        </w:rPr>
        <w:t>Our code of business conduct and ethics, corporate governance guidelines and the charters of our audit committee, compensation committee and nominating and corporate governance committee are available through our Internet website at www.damoratx.com.</w:t>
      </w:r>
    </w:p>
    <w:p>
      <w:pPr>
        <w:sectPr>
          <w:pgSz w:w="12960" w:h="17280" w:orient="portrait"/>
          <w:cols w:equalWidth="0" w:num="1">
            <w:col w:w="10500"/>
          </w:cols>
          <w:pgMar w:left="1360" w:top="142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2960" w:h="17280" w:orient="portrait"/>
          <w:cols w:equalWidth="0" w:num="1">
            <w:col w:w="10500"/>
          </w:cols>
          <w:pgMar w:left="1360" w:top="1420" w:right="1100" w:bottom="895"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6"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i w:val="1"/>
          <w:iCs w:val="1"/>
          <w:color w:val="auto"/>
        </w:rPr>
        <w:t>You should carefully consider the risks described below, as well as the other information in this Annual Report on Form 10-K, including our financial statements and related notes appearing elsewhere in this Annual Report on Form 10-K and in the section entitled “Management’s Discussion and Analysis of Financial Condition and Results of Operations”.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w:t>
      </w:r>
    </w:p>
    <w:p>
      <w:pPr>
        <w:spacing w:after="0" w:line="314" w:lineRule="exact"/>
        <w:rPr>
          <w:sz w:val="20"/>
          <w:szCs w:val="20"/>
          <w:color w:val="auto"/>
        </w:rPr>
      </w:pPr>
    </w:p>
    <w:p>
      <w:pPr>
        <w:ind w:right="2080"/>
        <w:spacing w:after="0" w:line="367" w:lineRule="auto"/>
        <w:rPr>
          <w:sz w:val="20"/>
          <w:szCs w:val="20"/>
          <w:color w:val="auto"/>
        </w:rPr>
      </w:pPr>
      <w:r>
        <w:rPr>
          <w:rFonts w:ascii="Times New Roman" w:cs="Times New Roman" w:eastAsia="Times New Roman" w:hAnsi="Times New Roman"/>
          <w:sz w:val="20"/>
          <w:szCs w:val="20"/>
          <w:b w:val="1"/>
          <w:bCs w:val="1"/>
          <w:color w:val="auto"/>
        </w:rPr>
        <w:t xml:space="preserve">Risks Related to Our Limited Operating History, Financial Position and Capital Requirements </w:t>
      </w:r>
      <w:r>
        <w:rPr>
          <w:rFonts w:ascii="Times New Roman" w:cs="Times New Roman" w:eastAsia="Times New Roman" w:hAnsi="Times New Roman"/>
          <w:sz w:val="20"/>
          <w:szCs w:val="20"/>
          <w:b w:val="1"/>
          <w:bCs w:val="1"/>
          <w:i w:val="1"/>
          <w:iCs w:val="1"/>
          <w:color w:val="auto"/>
        </w:rPr>
        <w:t>There is no guarantee that our acquisition of Pre-Acquisition Damora will increase stockholder value.</w:t>
      </w:r>
    </w:p>
    <w:p>
      <w:pPr>
        <w:spacing w:after="0" w:line="1"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In November 2025, we acquired Pre-Acquisition Damora. We cannot guarantee that implementing the Asset Acquisition and related transactions will not impair stockholder value or otherwise adversely affect our business. The Asset Acquisition poses significant integration challenges between our businesses which could result in management and business disruptions, any of which could harm our results of operation, business prospects, and impair the value of the Asset Acquisition to our stockholders.</w:t>
      </w:r>
    </w:p>
    <w:p>
      <w:pPr>
        <w:spacing w:after="0" w:line="31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a preclinical stage biotechnology company with a limited operating history on which to assess our business; we have no products that have been administered to humans or approved for commercial sale, which may make it difficult to evaluate our current business and likelihood of success and viability.</w:t>
      </w:r>
    </w:p>
    <w:p>
      <w:pPr>
        <w:spacing w:after="0" w:line="68"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We are a preclinical stage biotechnology company with limited operating history. Since our inception, we have incurred operating losses with no corresponding revenue and have utilized substantially all of our resources to identify, license and develop our product candidates, organize and staff our company and provide other general and administrative support for our operations. We have limited experience as a company in initiating, conducting and completing preclinical studies and clinical trials. In part because of this lack of experience, we cannot be certain that our preclinical studies or clinical trials will begin or be completed on time, if at all. In addition, we have not yet demonstrated an ability to obtain regulatory approvals, manufacture a commercial-scale product or arrange for a third party to do so on our behalf, or conduct sales, marketing and distribution activities necessary for successful product commercialization. Consequently, any predictions about our future success or viability may not be as accurate as they could be if we had a longer operating history.</w:t>
      </w:r>
    </w:p>
    <w:p>
      <w:pPr>
        <w:spacing w:after="0" w:line="206"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auto"/>
        </w:rPr>
        <w:t>In addition, as our business grows, we may encounter unforeseen expenses, restrictions, difficulties, complications, delays and other known and unknown factors. We will need to transition at some point from a company with an early research and development focus to a company capable of supporting larger scale clinical trials and eventually commercial activities. We may not be successful in such a transition.</w:t>
      </w:r>
    </w:p>
    <w:p>
      <w:pPr>
        <w:spacing w:after="0" w:line="314"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will require substantial additional capital to finance our operations in the future. If we are unable to raise such capital when needed, or on acceptable terms, we may be forced to delay, reduce and/or eliminate one or more of our research programs or future commercialization efforts.</w:t>
      </w:r>
    </w:p>
    <w:p>
      <w:pPr>
        <w:spacing w:after="0" w:line="6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Developing biotechnology products is a long, time-consuming, expensive and uncertain process that takes years to complete. We expect our expenses to increase in connection with our ongoing activities, particularly as we conduct preclinical studies and clinical trials of, and seek regulatory approval for our product candidates, advance discovery efforts with respect to our research and research programs, and advance any future programs and product candidates that we may develop or license. Even if one or more of the programs that we develop is approved for commercial sale, we anticipate incurring significant costs associated with sales, marketing, manufacturing and distribution activities to launch any such product. Our expenses could increase beyond expectations if we are required by the FDA or other regulatory agencies to perform preclinical studies or clinical trials in addition to or more expansive than those that we currently anticipate. Because the design and outcome of our planned and anticipated clinical trials are highly uncertain, we cannot reasonably estimate the actual amount of funding that will be necessary to successfully complete the development and commercialization of any program we develop. Our future capital requirements depend on many factors, including but not limited to:</w:t>
      </w:r>
    </w:p>
    <w:p>
      <w:pPr>
        <w:spacing w:after="0" w:line="89" w:lineRule="exact"/>
        <w:rPr>
          <w:sz w:val="20"/>
          <w:szCs w:val="20"/>
          <w:color w:val="auto"/>
        </w:rPr>
      </w:pPr>
    </w:p>
    <w:p>
      <w:pPr>
        <w:ind w:left="1100" w:right="540" w:hanging="358"/>
        <w:spacing w:after="0" w:line="277" w:lineRule="auto"/>
        <w:tabs>
          <w:tab w:leader="none" w:pos="11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design, progress, results and costs of discovery, preclinical and clinical development for our product candidates;</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timing of completion of clinical and commercial-scale manufacturing activities;</w:t>
      </w:r>
    </w:p>
    <w:p>
      <w:pPr>
        <w:spacing w:after="0" w:line="120" w:lineRule="exact"/>
        <w:rPr>
          <w:rFonts w:ascii="Times New Roman" w:cs="Times New Roman" w:eastAsia="Times New Roman" w:hAnsi="Times New Roman"/>
          <w:sz w:val="20"/>
          <w:szCs w:val="20"/>
          <w:color w:val="auto"/>
        </w:rPr>
      </w:pPr>
    </w:p>
    <w:p>
      <w:pPr>
        <w:ind w:left="1100" w:right="180" w:hanging="358"/>
        <w:spacing w:after="0" w:line="258" w:lineRule="auto"/>
        <w:tabs>
          <w:tab w:leader="none" w:pos="11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 timing of preparing, filing and prosecuting patent applications, maintaining, defending and enforcing our intellectual property and proprietary rights, and defending intellectual property-related claims, including claims of infringement, misappropriation or other violations of third-party intellectual property;</w:t>
      </w:r>
    </w:p>
    <w:p>
      <w:pPr>
        <w:sectPr>
          <w:pgSz w:w="12960" w:h="17280" w:orient="portrait"/>
          <w:cols w:equalWidth="0" w:num="1">
            <w:col w:w="10520"/>
          </w:cols>
          <w:pgMar w:left="1360" w:top="1416" w:right="1080" w:bottom="895"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960" w:h="17280" w:orient="portrait"/>
          <w:cols w:equalWidth="0" w:num="1">
            <w:col w:w="10520"/>
          </w:cols>
          <w:pgMar w:left="1360" w:top="1416" w:right="1080" w:bottom="895" w:gutter="0" w:footer="0" w:header="0"/>
          <w:type w:val="continuous"/>
        </w:sectPr>
      </w:pPr>
    </w:p>
    <w:bookmarkStart w:id="42" w:name="page43"/>
    <w:bookmarkEnd w:id="42"/>
    <w:p>
      <w:pPr>
        <w:ind w:left="1100" w:right="720" w:hanging="358"/>
        <w:spacing w:after="0" w:line="277" w:lineRule="auto"/>
        <w:tabs>
          <w:tab w:leader="none" w:pos="11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timing and outcome of the regulatory review of our product candidates and obtaining the requisite regulatory approvals;</w:t>
      </w:r>
    </w:p>
    <w:p>
      <w:pPr>
        <w:spacing w:after="0" w:line="49" w:lineRule="exact"/>
        <w:rPr>
          <w:rFonts w:ascii="Times New Roman" w:cs="Times New Roman" w:eastAsia="Times New Roman" w:hAnsi="Times New Roman"/>
          <w:sz w:val="20"/>
          <w:szCs w:val="20"/>
          <w:color w:val="auto"/>
        </w:rPr>
      </w:pPr>
    </w:p>
    <w:p>
      <w:pPr>
        <w:ind w:left="1100" w:right="80" w:hanging="358"/>
        <w:spacing w:after="0" w:line="258" w:lineRule="auto"/>
        <w:tabs>
          <w:tab w:leader="none" w:pos="11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our future commercialization activities, either on our own or in collaboration with others, including product sales, marketing, manufacturing, and distribution for any product candidate for which we receive regulatory approval;</w:t>
      </w:r>
    </w:p>
    <w:p>
      <w:pPr>
        <w:spacing w:after="0" w:line="68"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revenue, if any, received from commercial sales of product candidates for which we receive regulatory approval;</w:t>
      </w:r>
    </w:p>
    <w:p>
      <w:pPr>
        <w:spacing w:after="0" w:line="120" w:lineRule="exact"/>
        <w:rPr>
          <w:rFonts w:ascii="Times New Roman" w:cs="Times New Roman" w:eastAsia="Times New Roman" w:hAnsi="Times New Roman"/>
          <w:sz w:val="20"/>
          <w:szCs w:val="20"/>
          <w:color w:val="auto"/>
        </w:rPr>
      </w:pPr>
    </w:p>
    <w:p>
      <w:pPr>
        <w:ind w:left="1100" w:right="60" w:hanging="358"/>
        <w:spacing w:after="0" w:line="277" w:lineRule="auto"/>
        <w:tabs>
          <w:tab w:leader="none" w:pos="11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our current or future collaborations, including our collaboration with Paragon pursuant to the Paragon Option Agreement and any future license agreements we enter into with Paragon;</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maintain additional collaborations on favorable terms, if at all;</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acquire or in-license products, intellectual property and technologies;</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operational, financial and management information systems and associated personnel; and</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operating as a public company.</w:t>
      </w:r>
    </w:p>
    <w:p>
      <w:pPr>
        <w:spacing w:after="0" w:line="24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 xml:space="preserve">As a result, we will require substantial additional funding to continue our operations. As of December 31, 2025, we had $257.6 million of cash and cash equivalents. We expect that our existing cash and cash equivalents will be sufficient to fund our operations </w:t>
      </w:r>
      <w:r>
        <w:rPr>
          <w:rFonts w:ascii="Times New Roman" w:cs="Times New Roman" w:eastAsia="Times New Roman" w:hAnsi="Times New Roman"/>
          <w:sz w:val="19"/>
          <w:szCs w:val="19"/>
          <w:color w:val="auto"/>
        </w:rPr>
        <w:t>into Phase 3 development of DMR-001</w:t>
      </w:r>
      <w:r>
        <w:rPr>
          <w:rFonts w:ascii="Times New Roman" w:cs="Times New Roman" w:eastAsia="Times New Roman" w:hAnsi="Times New Roman"/>
          <w:sz w:val="20"/>
          <w:szCs w:val="20"/>
          <w:color w:val="auto"/>
        </w:rPr>
        <w:t>. We will still need to raise additional capital to continue to fund our operations in the future. If we are unable to raise additional capital when needed, that could raise substantial doubt about our ability to continue as a going concern.</w:t>
      </w:r>
    </w:p>
    <w:p>
      <w:pPr>
        <w:spacing w:after="0" w:line="19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may be required to seek additional funds sooner than planned through public or private equity offerings, debt financings, collaborations and licensing arrangements or other sources, and adequate additional financing may not be available to us on acceptable terms, or at all. Such financing may dilute our stockholders or the failure to obtain such financing may restrict our operating activities. Any additional fundraising efforts may divert our management from their day-to-day activities, which may adversely affect our business. To the extent that we raise additional capital through the sale of equity or convertible debt securities, the ownership interest of our stockholders will be diluted, and the terms may include liquidation or other preferences and anti-dilution protections that adversely affect the rights of our stockholders. Debt financing may result in the imposition of debt covenants, increased fixed payment obligations or other restrictions that may affect our business. If we raise additional funds through upfront payments or milestone payments pursuant to current or future collaborations with third parties, we may have to relinquish valuable rights to our product candidates, or grant licenses on terms that are not favorable to us. Our ability to raise additional capital may be adversely impacted by global macroeconomic conditions and volatility in the credit and financial markets in the United States and worldwide. Our failure to raise capital as and when needed or on acceptable terms would have a negative impact on our financial condition and our ability to pursue our business strategy, and we may have to delay, reduce the scope of, suspend or eliminate one or more of our product candidates, clinical trials or future commercialization efforts or cease our operations.</w:t>
      </w:r>
    </w:p>
    <w:p>
      <w:pPr>
        <w:spacing w:after="0" w:line="332"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expect to continue to incur losses for the foreseeable future and may not be able to achieve or sustain profitability in the future. We have no products approved for sale, have not generated any revenue from our product candidates and may never generate revenue or become profitable.</w:t>
      </w:r>
    </w:p>
    <w:p>
      <w:pPr>
        <w:spacing w:after="0" w:line="6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Investment in biotechnology product development is a highly speculative undertaking and entails substantial upfront capital expenditures and significant risks that any product candidate will fail to demonstrate adequate efficacy or an acceptable safety profile, gain regulatory approval and become commercially viable. We have no products that have been dosed in humans or approved for commercial sale, have not generated any revenue from product sales to date, and continue to incur significant research and development and other expenses related to our ongoing operations. We do not expect to generate product revenue unless or until we successfully complete preclinical and clinical development and obtain regulatory approval of, and then successfully commercialize, at least one of our product candidates. We may never succeed in these activities and, even if we do, may never generate revenues that are significant or large enough to achieve profitability. If we are unable to raise sufficient additional capital to advance a product candidate to commercialization or generate sufficient revenue through the sale of any approved products, we may be unable to continue operations without additional funding.</w:t>
      </w:r>
    </w:p>
    <w:p>
      <w:pPr>
        <w:spacing w:after="0" w:line="202" w:lineRule="exact"/>
        <w:rPr>
          <w:sz w:val="20"/>
          <w:szCs w:val="20"/>
          <w:color w:val="auto"/>
        </w:rPr>
      </w:pPr>
    </w:p>
    <w:p>
      <w:pPr>
        <w:jc w:val="both"/>
        <w:ind w:right="120" w:firstLine="490"/>
        <w:spacing w:after="0" w:line="249" w:lineRule="auto"/>
        <w:rPr>
          <w:sz w:val="20"/>
          <w:szCs w:val="20"/>
          <w:color w:val="auto"/>
        </w:rPr>
      </w:pPr>
      <w:r>
        <w:rPr>
          <w:rFonts w:ascii="Times New Roman" w:cs="Times New Roman" w:eastAsia="Times New Roman" w:hAnsi="Times New Roman"/>
          <w:sz w:val="20"/>
          <w:szCs w:val="20"/>
          <w:color w:val="auto"/>
        </w:rPr>
        <w:t>We have incurred significant net losses in each period since our inception in 2011. For the years ended December 31, 2025 and 2024, we had net losses of $209.8 million and $21.4 million, respectively. As of December 31, 2025, we had an accumulated deficit of $487.4 million. We expect to continue to incur losses for the foreseeable future. Our operating expenses and net losses may fluctuate significantly from quarter to quarter and year to year. We anticipate that our expenses will increase substantially if and as we:</w:t>
      </w:r>
    </w:p>
    <w:p>
      <w:pPr>
        <w:spacing w:after="0" w:line="77" w:lineRule="exact"/>
        <w:rPr>
          <w:sz w:val="20"/>
          <w:szCs w:val="20"/>
          <w:color w:val="auto"/>
        </w:rPr>
      </w:pPr>
    </w:p>
    <w:p>
      <w:pPr>
        <w:ind w:left="1100" w:hanging="358"/>
        <w:spacing w:after="0"/>
        <w:tabs>
          <w:tab w:leader="none" w:pos="11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our existing and future product candidates through preclinical and clinical development;</w:t>
      </w:r>
    </w:p>
    <w:p>
      <w:pPr>
        <w:sectPr>
          <w:pgSz w:w="12960" w:h="17280" w:orient="portrait"/>
          <w:cols w:equalWidth="0" w:num="1">
            <w:col w:w="10480"/>
          </w:cols>
          <w:pgMar w:left="1360" w:top="1420" w:right="1120" w:bottom="895" w:gutter="0" w:footer="0" w:header="0"/>
        </w:sect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37</w:t>
      </w:r>
    </w:p>
    <w:p>
      <w:pPr>
        <w:sectPr>
          <w:pgSz w:w="12960" w:h="17280" w:orient="portrait"/>
          <w:cols w:equalWidth="0" w:num="1">
            <w:col w:w="10480"/>
          </w:cols>
          <w:pgMar w:left="1360" w:top="1420" w:right="1120" w:bottom="895" w:gutter="0" w:footer="0" w:header="0"/>
          <w:type w:val="continuous"/>
        </w:sectPr>
      </w:pPr>
    </w:p>
    <w:bookmarkStart w:id="43" w:name="page44"/>
    <w:bookmarkEnd w:id="43"/>
    <w:p>
      <w:pPr>
        <w:ind w:left="1100" w:hanging="358"/>
        <w:spacing w:after="0"/>
        <w:tabs>
          <w:tab w:leader="none" w:pos="11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to identify additional product candidates;</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expand, enforce, defend and protect our intellectual property portfolio;</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obtain and maintain regulatory and regulatory approvals for our product candidates;</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to identify, establish and maintain additional collaborations and license agreements;</w:t>
      </w:r>
    </w:p>
    <w:p>
      <w:pPr>
        <w:spacing w:after="0" w:line="120" w:lineRule="exact"/>
        <w:rPr>
          <w:rFonts w:ascii="Times New Roman" w:cs="Times New Roman" w:eastAsia="Times New Roman" w:hAnsi="Times New Roman"/>
          <w:sz w:val="20"/>
          <w:szCs w:val="20"/>
          <w:color w:val="auto"/>
        </w:rPr>
      </w:pPr>
    </w:p>
    <w:p>
      <w:pPr>
        <w:ind w:left="1100" w:right="800" w:hanging="358"/>
        <w:spacing w:after="0" w:line="277" w:lineRule="auto"/>
        <w:tabs>
          <w:tab w:leader="none" w:pos="11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milestone payments to Paragon under the Paragon Option Agreement and under any additional future collaboration or license agreements that we enter into;</w:t>
      </w:r>
    </w:p>
    <w:p>
      <w:pPr>
        <w:spacing w:after="0" w:line="49" w:lineRule="exact"/>
        <w:rPr>
          <w:rFonts w:ascii="Times New Roman" w:cs="Times New Roman" w:eastAsia="Times New Roman" w:hAnsi="Times New Roman"/>
          <w:sz w:val="20"/>
          <w:szCs w:val="20"/>
          <w:color w:val="auto"/>
        </w:rPr>
      </w:pPr>
    </w:p>
    <w:p>
      <w:pPr>
        <w:ind w:left="1100" w:right="160" w:hanging="358"/>
        <w:spacing w:after="0" w:line="277" w:lineRule="auto"/>
        <w:tabs>
          <w:tab w:leader="none" w:pos="11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ultimately establish a sales, marketing and distribution infrastructure to commercialize any drug products for which we may obtain regulatory approval, either on our own or in collaboration with others;</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generate revenue from commercial sales of product candidates for which we receive regulatory approval, if any;</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additional personnel including research and development, clinical and commercial personnel;</w:t>
      </w:r>
    </w:p>
    <w:p>
      <w:pPr>
        <w:spacing w:after="0" w:line="120" w:lineRule="exact"/>
        <w:rPr>
          <w:rFonts w:ascii="Times New Roman" w:cs="Times New Roman" w:eastAsia="Times New Roman" w:hAnsi="Times New Roman"/>
          <w:sz w:val="20"/>
          <w:szCs w:val="20"/>
          <w:color w:val="auto"/>
        </w:rPr>
      </w:pPr>
    </w:p>
    <w:p>
      <w:pPr>
        <w:ind w:left="1100" w:right="260" w:hanging="358"/>
        <w:spacing w:after="0" w:line="277" w:lineRule="auto"/>
        <w:tabs>
          <w:tab w:leader="none" w:pos="11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 operational, financial and management information systems and personnel, including personnel to support our product development;</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in-license products, intellectual property and technologies;</w:t>
      </w:r>
    </w:p>
    <w:p>
      <w:pPr>
        <w:spacing w:after="0" w:line="112" w:lineRule="exact"/>
        <w:rPr>
          <w:rFonts w:ascii="Times New Roman" w:cs="Times New Roman" w:eastAsia="Times New Roman" w:hAnsi="Times New Roman"/>
          <w:sz w:val="20"/>
          <w:szCs w:val="20"/>
          <w:color w:val="auto"/>
        </w:rPr>
      </w:pPr>
    </w:p>
    <w:p>
      <w:pPr>
        <w:ind w:left="1100" w:right="120" w:hanging="358"/>
        <w:spacing w:after="0" w:line="277" w:lineRule="auto"/>
        <w:tabs>
          <w:tab w:leader="none" w:pos="11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clinical and commercial-scale cGMPs capabilities through a third-party or our own manufacturing facility; and</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integrate Pre-Acquisition Damora into our operations.</w:t>
      </w:r>
    </w:p>
    <w:p>
      <w:pPr>
        <w:spacing w:after="0" w:line="24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In addition, our expenses will increase if, among other things, we are required by the FDA or other regulatory authorities to perform clinical trials or studies in addition to, or different than, those that we currently anticipate, there are any delays in completing our clinical trials or the development of any of our product candidates, or there are any third-party challenges to our intellectual property or we need to defend against any intellectual property-related claim.</w:t>
      </w:r>
    </w:p>
    <w:p>
      <w:pPr>
        <w:spacing w:after="0" w:line="19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Even if we obtain regulatory approval for, and are successful in commercializing, one or more of our product candidates, we expect to incur substantial additional research and development and other expenditures to develop and market additional product candidates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97"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Our failure to become profitable would decrease our value and could impair our ability to raise capital, maintain our research and development efforts, expand our business and/or continue our operations. A decline in the value of our stock could also cause stockholders to lose all or part of their investment.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Discovery, Development and Commercialization</w:t>
      </w:r>
    </w:p>
    <w:p>
      <w:pPr>
        <w:spacing w:after="0" w:line="124"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competition from entities that have developed or may develop product candidates for the diseases addressed by our product candidates.</w:t>
      </w:r>
    </w:p>
    <w:p>
      <w:pPr>
        <w:spacing w:after="0" w:line="49" w:lineRule="exact"/>
        <w:rPr>
          <w:sz w:val="20"/>
          <w:szCs w:val="20"/>
          <w:color w:val="auto"/>
        </w:rPr>
      </w:pPr>
    </w:p>
    <w:p>
      <w:pPr>
        <w:ind w:right="100" w:firstLine="490"/>
        <w:spacing w:after="0" w:line="242" w:lineRule="auto"/>
        <w:rPr>
          <w:sz w:val="20"/>
          <w:szCs w:val="20"/>
          <w:color w:val="auto"/>
        </w:rPr>
      </w:pPr>
      <w:r>
        <w:rPr>
          <w:rFonts w:ascii="Times New Roman" w:cs="Times New Roman" w:eastAsia="Times New Roman" w:hAnsi="Times New Roman"/>
          <w:sz w:val="20"/>
          <w:szCs w:val="20"/>
          <w:color w:val="auto"/>
        </w:rPr>
        <w:t>The development and commercialization of drugs is highly competitive. Our product candidates, if approved, will face significant competition and our failure to effectively compete may prevent us from achieving significant market penetration. We compete with a variety of multinational biopharmaceutical companies, specialized biotechnology companies and emerging biotechnology companies. If approved for the treatment of patients with mutCALR-driven MPNs, our portfolio of products would compete with hydroxyurea, which is not approved for the treatment of ET in the United States, anagrelide, ruxolitinib, and interferon, which has not been approved for ET, as well as ruxolitinib, momelotinib, pacritinib and fedratinib in MF. In addition, we are aware of several companies with product candidates in development for the treatment of patients with mutCALR-driven MPNs, including Incyte’s INCA033989 and INCA035784, Janssen Pharmaceuticals, Inc.’s JNJ-88549968, Meiji Seika Pharma’s mutCALR TCE, Prelude Therapeutics, LLC’s mCALR CDK9d DAC, Alethio Therapeutics’ AT-02, PharmaEssentia Corporation’s ropeginterferon alfa-2b, Merck &amp; Co., Inc’s bomedemstat, Novartis AG’s pelabresib, Geron Corporation’s imetelstat, and Kartos Therapeutics, Inc.’s navtemadlin. We also compete with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regulatory approved products than we do, and are further along in the clinical development and/or commercialization process.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w:t>
      </w:r>
    </w:p>
    <w:p>
      <w:pPr>
        <w:sectPr>
          <w:pgSz w:w="12960" w:h="17280" w:orient="portrait"/>
          <w:cols w:equalWidth="0" w:num="1">
            <w:col w:w="10520"/>
          </w:cols>
          <w:pgMar w:left="1360" w:top="1420" w:right="1080" w:bottom="895" w:gutter="0" w:footer="0" w:header="0"/>
        </w:sect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960" w:h="17280" w:orient="portrait"/>
          <w:cols w:equalWidth="0" w:num="1">
            <w:col w:w="10520"/>
          </w:cols>
          <w:pgMar w:left="1360" w:top="1420" w:right="1080" w:bottom="895" w:gutter="0" w:footer="0" w:header="0"/>
          <w:type w:val="continuous"/>
        </w:sectPr>
      </w:pPr>
    </w:p>
    <w:bookmarkStart w:id="44" w:name="page45"/>
    <w:bookmarkEnd w:id="44"/>
    <w:p>
      <w:pPr>
        <w:ind w:right="100"/>
        <w:spacing w:after="0" w:line="258" w:lineRule="auto"/>
        <w:rPr>
          <w:sz w:val="20"/>
          <w:szCs w:val="20"/>
          <w:color w:val="auto"/>
        </w:rPr>
      </w:pPr>
      <w:r>
        <w:rPr>
          <w:rFonts w:ascii="Times New Roman" w:cs="Times New Roman" w:eastAsia="Times New Roman" w:hAnsi="Times New Roman"/>
          <w:sz w:val="20"/>
          <w:szCs w:val="20"/>
          <w:color w:val="auto"/>
        </w:rPr>
        <w:t>scientific and management personnel, establishing clinical trial sites, raising capital, patient registration for clinical trials, establishing and defending rights to intellectual property, as well as in acquiring technologies complementary to, or necessary for, our product candidates.</w:t>
      </w:r>
    </w:p>
    <w:p>
      <w:pPr>
        <w:spacing w:after="0" w:line="151"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Our competitors have developed or are developing, and may in the future develop, product candidates or products competitive with our product candidates. Competitive therapeutic treatments include those that have already been approved and accepted by the medical community and any potential new treatments, including those currently under clinical development.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the products we develop, or if our competitors develop competing products or biosimilars that enter the market more quickly than we do and are able to gain market acceptance. Conversely, the lack of commercial success of other competing therapies may raise concerns about the financial viability of our product candidates.</w:t>
      </w:r>
    </w:p>
    <w:p>
      <w:pPr>
        <w:spacing w:after="0" w:line="206" w:lineRule="exact"/>
        <w:rPr>
          <w:sz w:val="20"/>
          <w:szCs w:val="20"/>
          <w:color w:val="auto"/>
        </w:rPr>
      </w:pPr>
    </w:p>
    <w:p>
      <w:pPr>
        <w:ind w:right="300" w:firstLine="490"/>
        <w:spacing w:after="0" w:line="246" w:lineRule="auto"/>
        <w:rPr>
          <w:sz w:val="20"/>
          <w:szCs w:val="20"/>
          <w:color w:val="auto"/>
        </w:rPr>
      </w:pPr>
      <w:r>
        <w:rPr>
          <w:rFonts w:ascii="Times New Roman" w:cs="Times New Roman" w:eastAsia="Times New Roman" w:hAnsi="Times New Roman"/>
          <w:sz w:val="20"/>
          <w:szCs w:val="20"/>
          <w:color w:val="auto"/>
        </w:rPr>
        <w:t>In addition, because of the competitive landscape for MPNs, we may also face competition for establishing trial sites and clinical trial enrollment. Patient enrollment will depend on many factors, including if potential clinical trial patients choose to undergo treatment with approved products or enroll in competitors’ ongoing clinical trials for product candidates that are under development for the same indications as our product candidates. An increase in the number of approved products for the indications we are targeting with our product candidates will likely further exacerbate this competition. Our inability to enroll a sufficient number of patients could, among other impacts, delay our development timeline, which may further harm our competitive position.</w:t>
      </w:r>
    </w:p>
    <w:p>
      <w:pPr>
        <w:spacing w:after="0" w:line="32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programs are in the preclinical stages of development and may fail in development or suffer delays that materially and adversely affect our viability. If we or our current or future collaborators are unable to complete development of or commercialize our product candidates, or experience significant delays in doing so, our business will be materially harmed.</w:t>
      </w:r>
    </w:p>
    <w:p>
      <w:pPr>
        <w:spacing w:after="0" w:line="6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We have no commercially approved products. Our programs are in the preclinical stages of development, and we have not begun or completed any clinical trials for these product candidates. As a result, we expect it will be many years before we commercialize any product candidate, if ever. Our ability to achieve and sustain profitability depends on obtaining regulatory approvals for, and successfully commercializing, our product candidates, either alone or with third parties, and we cannot guarantee you that we will ever obtain regulatory approval for any of our product candidates. We have not yet demonstrated our ability to obtain regulatory approvals, manufacture a commercial- scale product or arrange for a third party to do so on our behalf, or conduct sales and marketing activities necessary for successful product commercialization. Before obtaining regulatory approval for the commercial distribution of any product candidate, we or an existing or future collaborator must conduct extensive preclinical tests and clinical trials to demonstrate the safety and efficacy in humans of the product candidate.</w:t>
      </w:r>
    </w:p>
    <w:p>
      <w:pPr>
        <w:spacing w:after="0" w:line="206" w:lineRule="exact"/>
        <w:rPr>
          <w:sz w:val="20"/>
          <w:szCs w:val="20"/>
          <w:color w:val="auto"/>
        </w:rPr>
      </w:pPr>
    </w:p>
    <w:p>
      <w:pPr>
        <w:jc w:val="both"/>
        <w:ind w:right="260" w:firstLine="490"/>
        <w:spacing w:after="0" w:line="252" w:lineRule="auto"/>
        <w:rPr>
          <w:sz w:val="20"/>
          <w:szCs w:val="20"/>
          <w:color w:val="auto"/>
        </w:rPr>
      </w:pPr>
      <w:r>
        <w:rPr>
          <w:rFonts w:ascii="Times New Roman" w:cs="Times New Roman" w:eastAsia="Times New Roman" w:hAnsi="Times New Roman"/>
          <w:sz w:val="20"/>
          <w:szCs w:val="20"/>
          <w:color w:val="auto"/>
        </w:rPr>
        <w:t>We or our collaborators may experience delays in initiating or completing preclinical studies or clinical trials. We or our collaborators also may experience numerous unforeseen events during, or as a result of, any future preclinical studies or clinical trials that we could conduct that could delay or prevent our ability to receive regulatory approval or commercialize our product candidates, including:</w:t>
      </w:r>
    </w:p>
    <w:p>
      <w:pPr>
        <w:spacing w:after="0" w:line="74" w:lineRule="exact"/>
        <w:rPr>
          <w:sz w:val="20"/>
          <w:szCs w:val="20"/>
          <w:color w:val="auto"/>
        </w:rPr>
      </w:pPr>
    </w:p>
    <w:p>
      <w:pPr>
        <w:jc w:val="both"/>
        <w:ind w:left="1100" w:right="120" w:hanging="358"/>
        <w:spacing w:after="0" w:line="277" w:lineRule="auto"/>
        <w:tabs>
          <w:tab w:leader="none" w:pos="11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regulators, such as the FDA, institutional review boards (“IRBs”) or comparable foreign regulatory authorities may not authorize us or our investigators to commence a clinical trial or conduct a clinical trial at a prospective trial site;</w:t>
      </w:r>
    </w:p>
    <w:p>
      <w:pPr>
        <w:spacing w:after="0" w:line="49" w:lineRule="exact"/>
        <w:rPr>
          <w:rFonts w:ascii="Times New Roman" w:cs="Times New Roman" w:eastAsia="Times New Roman" w:hAnsi="Times New Roman"/>
          <w:sz w:val="20"/>
          <w:szCs w:val="20"/>
          <w:color w:val="auto"/>
        </w:rPr>
      </w:pPr>
    </w:p>
    <w:p>
      <w:pPr>
        <w:jc w:val="both"/>
        <w:ind w:left="1100" w:hanging="358"/>
        <w:spacing w:after="0" w:line="258" w:lineRule="auto"/>
        <w:tabs>
          <w:tab w:leader="none" w:pos="11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p>
      <w:pPr>
        <w:spacing w:after="0" w:line="68" w:lineRule="exact"/>
        <w:rPr>
          <w:rFonts w:ascii="Times New Roman" w:cs="Times New Roman" w:eastAsia="Times New Roman" w:hAnsi="Times New Roman"/>
          <w:sz w:val="20"/>
          <w:szCs w:val="20"/>
          <w:color w:val="auto"/>
        </w:rPr>
      </w:pPr>
    </w:p>
    <w:p>
      <w:pPr>
        <w:ind w:left="1100" w:right="20" w:hanging="358"/>
        <w:spacing w:after="0" w:line="258" w:lineRule="auto"/>
        <w:tabs>
          <w:tab w:leader="none" w:pos="11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trial sites may deviate from the trial protocol, fail to conduct trials in a compliant manner or drop out of a trial, which may require that we add new clinical trial sites or investigators or otherwise negatively impact the timing or integrity of our clinical trial(s);</w:t>
      </w:r>
    </w:p>
    <w:p>
      <w:pPr>
        <w:spacing w:after="0" w:line="61" w:lineRule="exact"/>
        <w:rPr>
          <w:rFonts w:ascii="Times New Roman" w:cs="Times New Roman" w:eastAsia="Times New Roman" w:hAnsi="Times New Roman"/>
          <w:sz w:val="20"/>
          <w:szCs w:val="20"/>
          <w:color w:val="auto"/>
        </w:rPr>
      </w:pPr>
    </w:p>
    <w:p>
      <w:pPr>
        <w:jc w:val="both"/>
        <w:ind w:left="1100" w:right="60" w:hanging="358"/>
        <w:spacing w:after="0" w:line="258" w:lineRule="auto"/>
        <w:tabs>
          <w:tab w:leader="none" w:pos="11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trials of any product candidates may fail to show safety or efficacy, or may produce negative or inconclusive results and we may decide, or regulators may require us, to conduct additional preclinical studies or clinical trials or we may decide to abandon a product research program;</w:t>
      </w:r>
    </w:p>
    <w:p>
      <w:pPr>
        <w:spacing w:after="0" w:line="68" w:lineRule="exact"/>
        <w:rPr>
          <w:rFonts w:ascii="Times New Roman" w:cs="Times New Roman" w:eastAsia="Times New Roman" w:hAnsi="Times New Roman"/>
          <w:sz w:val="20"/>
          <w:szCs w:val="20"/>
          <w:color w:val="auto"/>
        </w:rPr>
      </w:pPr>
    </w:p>
    <w:p>
      <w:pPr>
        <w:ind w:left="1100" w:right="40" w:hanging="358"/>
        <w:spacing w:after="0" w:line="258" w:lineRule="auto"/>
        <w:tabs>
          <w:tab w:leader="none" w:pos="11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subjects required for clinical trials of any product candidates may be larger than we anticipate, and enrollment in these clinical trials may be slower than we anticipate or subjects may drop out of these clinical trials or fail to return for post-treatment follow-up at a higher rate than we anticipate;</w:t>
      </w:r>
    </w:p>
    <w:p>
      <w:pPr>
        <w:spacing w:after="0" w:line="68" w:lineRule="exact"/>
        <w:rPr>
          <w:rFonts w:ascii="Times New Roman" w:cs="Times New Roman" w:eastAsia="Times New Roman" w:hAnsi="Times New Roman"/>
          <w:sz w:val="20"/>
          <w:szCs w:val="20"/>
          <w:color w:val="auto"/>
        </w:rPr>
      </w:pPr>
    </w:p>
    <w:p>
      <w:pPr>
        <w:jc w:val="both"/>
        <w:ind w:left="1100" w:right="120" w:hanging="358"/>
        <w:spacing w:after="0" w:line="258" w:lineRule="auto"/>
        <w:tabs>
          <w:tab w:leader="none" w:pos="11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third-party contractors may fail to comply with regulatory requirements or meet their contractual obligations to us in a timely manner, or at all, or may deviate from the clinical trial protocol or suffer other quality or performance issues that negatively impact the timing or integrity of our clinical trial(s);</w:t>
      </w:r>
    </w:p>
    <w:p>
      <w:pPr>
        <w:sectPr>
          <w:pgSz w:w="12960" w:h="17280" w:orient="portrait"/>
          <w:cols w:equalWidth="0" w:num="1">
            <w:col w:w="10500"/>
          </w:cols>
          <w:pgMar w:left="1360" w:top="1420" w:right="1100" w:bottom="895"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2960" w:h="17280" w:orient="portrait"/>
          <w:cols w:equalWidth="0" w:num="1">
            <w:col w:w="10500"/>
          </w:cols>
          <w:pgMar w:left="1360" w:top="1420" w:right="1100" w:bottom="895" w:gutter="0" w:footer="0" w:header="0"/>
          <w:type w:val="continuous"/>
        </w:sectPr>
      </w:pPr>
    </w:p>
    <w:bookmarkStart w:id="45" w:name="page46"/>
    <w:bookmarkEnd w:id="45"/>
    <w:p>
      <w:pPr>
        <w:ind w:left="1100" w:right="200" w:hanging="358"/>
        <w:spacing w:after="0" w:line="258" w:lineRule="auto"/>
        <w:tabs>
          <w:tab w:leader="none" w:pos="11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clinical trials are being exposed to unacceptable health risks;</w:t>
      </w:r>
    </w:p>
    <w:p>
      <w:pPr>
        <w:spacing w:after="0" w:line="68"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clinical trials of any of our product candidates may be greater than we anticipate;</w:t>
      </w:r>
    </w:p>
    <w:p>
      <w:pPr>
        <w:spacing w:after="0" w:line="120" w:lineRule="exact"/>
        <w:rPr>
          <w:rFonts w:ascii="Times New Roman" w:cs="Times New Roman" w:eastAsia="Times New Roman" w:hAnsi="Times New Roman"/>
          <w:sz w:val="20"/>
          <w:szCs w:val="20"/>
          <w:color w:val="auto"/>
        </w:rPr>
      </w:pPr>
    </w:p>
    <w:p>
      <w:pPr>
        <w:ind w:left="1100" w:right="120" w:hanging="358"/>
        <w:spacing w:after="0" w:line="277" w:lineRule="auto"/>
        <w:tabs>
          <w:tab w:leader="none" w:pos="11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quality of our product candidates or other materials necessary to conduct clinical trials of our product candidates may be inadequate to initiate or successfully complete a given clinical trial;</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manufacture sufficient quantities of our product candidates for use in clinical trials;</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reports from clinical testing of other therapies may raise safety or efficacy concerns about our product candidates;</w:t>
      </w:r>
    </w:p>
    <w:p>
      <w:pPr>
        <w:spacing w:after="0" w:line="120" w:lineRule="exact"/>
        <w:rPr>
          <w:rFonts w:ascii="Times New Roman" w:cs="Times New Roman" w:eastAsia="Times New Roman" w:hAnsi="Times New Roman"/>
          <w:sz w:val="20"/>
          <w:szCs w:val="20"/>
          <w:color w:val="auto"/>
        </w:rPr>
      </w:pPr>
    </w:p>
    <w:p>
      <w:pPr>
        <w:ind w:left="1100" w:right="120" w:hanging="358"/>
        <w:spacing w:after="0" w:line="258" w:lineRule="auto"/>
        <w:tabs>
          <w:tab w:leader="none" w:pos="11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fail to establish an appropriate safety profile for a product candidate based on clinical or preclinical data for such product candidates as well as data emerging from other therapies in the same class as our product candidates; and</w:t>
      </w:r>
    </w:p>
    <w:p>
      <w:pPr>
        <w:spacing w:after="0" w:line="68" w:lineRule="exact"/>
        <w:rPr>
          <w:rFonts w:ascii="Times New Roman" w:cs="Times New Roman" w:eastAsia="Times New Roman" w:hAnsi="Times New Roman"/>
          <w:sz w:val="20"/>
          <w:szCs w:val="20"/>
          <w:color w:val="auto"/>
        </w:rPr>
      </w:pPr>
    </w:p>
    <w:p>
      <w:pPr>
        <w:ind w:left="1100" w:right="560" w:hanging="358"/>
        <w:spacing w:after="0" w:line="277" w:lineRule="auto"/>
        <w:tabs>
          <w:tab w:leader="none" w:pos="11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other regulatory authorities may require us to submit additional data, such as long-term toxicology studies, or impose other requirements before permitting us to initiate a clinical trial.</w:t>
      </w:r>
    </w:p>
    <w:p>
      <w:pPr>
        <w:spacing w:after="0" w:line="16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Commencing clinical trials in the United States is subject to acceptance by the FDA of an IND and finalizing the trial design based on discussions with the FDA. Commencing clinical trials in jurisdictions outside of the United States is similarly subject to acceptance by the applicable regulatory authority of clinical trial documentation following discussions with such authority. In the event that the FDA or other applicable regulatory authority requires us to complete additional preclinical studies or we are required to satisfy other FDA or foreign regulatory authority requests, respectively, prior to commencing clinical trials, the start of our first clinical trial for a product candidate may be delayed. Even after we receive and incorporate guidance from these regulatory authorities, the FDA or other regulatory authorities could disagree as to whether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or impose stricter approval conditions than we currently expect. There are analogous processes and risks applicable to clinical trial applications in other countries, including but not limited to Canada, New Zealand, Australia, countries in the EU and countries in Asia.</w:t>
      </w:r>
    </w:p>
    <w:p>
      <w:pPr>
        <w:spacing w:after="0" w:line="209"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We may not have the financial resources to continue development of our product candidates if we experience any issues that delay or prevent regulatory approval of, or our ability to commercialize, our product candidates. We or our current or future collaborators’ inability to complete development of, or commercialize our product candidates, or significant delays in doing so, could have a material and adverse effect on our business, financial condition, results of operations and prospects.</w:t>
      </w:r>
    </w:p>
    <w:p>
      <w:pPr>
        <w:spacing w:after="0" w:line="24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substantially dependent on the success of DMR-001, and our anticipated future clinical trials of such product candidate may not be successful.</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 xml:space="preserve">Our future success is substantially dependent on our ability to timely obtain regulatory approval for, and then successfully commercialize, DMR-001. We are initially investing a majority of our efforts and financial resources into the research and development of this program. We intend to file an IND or CTA for DMR-001 in mid-2026 and initiate a Phase 1 trial in ET and MF patients with a subcutaneous formulation thereafter, subject to regulatory approval. The success of DMR-001 is dependent on observing rapid and sustained reduction in excess platelets, the key pathology in ET, compared to other anti-mutCALR antibody product candidates in clinical development. This is based in part on the assumption that the increased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potency and improved pharmacokinetics observed in NHPs will translate into inhibition of Type 1 and Type 2 mutCALR-dependent cell proliferation and improved pharmacokinetic properties of DMR-001 in humans, resulting in a more convenient dosing regimen. To the extent we do not observe this inhibition of Type 1 and Type 2 mutCALR-dependent cell proliferation or improved pharmacokinetic properties in our Phase 1 clinical trial of DMR-001 or in additional clinical trials, it would significantly and adversely affect the clinical and commercial potential of DMR-001.</w:t>
      </w:r>
    </w:p>
    <w:p>
      <w:pPr>
        <w:spacing w:after="0" w:line="209"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Our product candidates will require additional clinical development, evaluation of clinical, preclinical and manufacturing activities, regulatory approval in multiple jurisdictions, substantial investment and significant marketing efforts before we generate any revenues from product sales. We are not permitted to market or promote these product candidates, or any other product candidates, before we receive regulatory approval from the FDA and comparable foreign regulatory authorities, and we may never receive such regulatory approvals.</w:t>
      </w:r>
    </w:p>
    <w:p>
      <w:pPr>
        <w:spacing w:after="0" w:line="197"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The success of our product candidates will depend on a variety of factors. We do not have complete control over many of these factors, including certain aspects of clinical development and the regulatory submission process, potential threats to our intellectual property rights, potential threats from the intellectual property rights of third parties and the manufacturing, marketing, distribution and sales efforts of any current or future collaborator. Accordingly, we cannot assure you that we will ever be able to generate revenue through the sale of these product candidates, even if approved. If we are not successful in obtaining regulatory</w:t>
      </w:r>
    </w:p>
    <w:p>
      <w:pPr>
        <w:sectPr>
          <w:pgSz w:w="12960" w:h="17280" w:orient="portrait"/>
          <w:cols w:equalWidth="0" w:num="1">
            <w:col w:w="10520"/>
          </w:cols>
          <w:pgMar w:left="1360" w:top="1420" w:right="1080" w:bottom="895"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960" w:h="17280" w:orient="portrait"/>
          <w:cols w:equalWidth="0" w:num="1">
            <w:col w:w="10520"/>
          </w:cols>
          <w:pgMar w:left="1360" w:top="1420" w:right="1080" w:bottom="895" w:gutter="0" w:footer="0" w:header="0"/>
          <w:type w:val="continuous"/>
        </w:sectPr>
      </w:pPr>
    </w:p>
    <w:bookmarkStart w:id="46" w:name="page47"/>
    <w:bookmarkEnd w:id="46"/>
    <w:p>
      <w:pPr>
        <w:ind w:right="60"/>
        <w:spacing w:after="0" w:line="277" w:lineRule="auto"/>
        <w:rPr>
          <w:sz w:val="20"/>
          <w:szCs w:val="20"/>
          <w:color w:val="auto"/>
        </w:rPr>
      </w:pPr>
      <w:r>
        <w:rPr>
          <w:rFonts w:ascii="Times New Roman" w:cs="Times New Roman" w:eastAsia="Times New Roman" w:hAnsi="Times New Roman"/>
          <w:sz w:val="20"/>
          <w:szCs w:val="20"/>
          <w:color w:val="auto"/>
        </w:rPr>
        <w:t>approval and commercializing DMR-001, DMR-002, DMR-003 or future product candidates, or are significantly delayed in doing so, our business will be materially harmed.</w:t>
      </w:r>
    </w:p>
    <w:p>
      <w:pPr>
        <w:spacing w:after="0" w:line="2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do not achieve our projected development objectives in the time frames we announce and expect, the commercialization of our product candidates may be delayed which may harm our reputation and prospects, increase our expenses and cause our stock price to decline.</w:t>
      </w:r>
    </w:p>
    <w:p>
      <w:pPr>
        <w:spacing w:after="0" w:line="6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such as the expected timing for the initiation of our Phase 1 clinical trials of DMR-001, DMR-002 and DMR-003, the timing for receipt of clinical data, and the timing for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many cases for reasons beyond our control. If we do not meet these milestones as publicly announced, or at all, our prospects and reputation may be adversely affected and our stock price may decline. Additionally, delays relative to our projected timelines are likely to cause overall expenses to increase, which may require us to raise additional capital sooner than expected and prior to achieving targeted development milestones.</w:t>
      </w:r>
    </w:p>
    <w:p>
      <w:pPr>
        <w:spacing w:after="0" w:line="3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target patient population for the treatment of MPNs is small and has not been definitively determined, and if estimates of the number of treatable patients is lower than expected, our potential revenues from sales of our product candidates, if approved, and our ability to achieve profitability would be compromised.</w:t>
      </w:r>
    </w:p>
    <w:p>
      <w:pPr>
        <w:spacing w:after="0" w:line="68"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The estimates of both the number of patients who have MPNs, as well as the subset of patients with the disease in a position to receive treatment from DMR-001 (i.e., those with mutCALR proteins &gt; 42,000 patients in the United States), if approved, may prove to be incorrect. These estimates have been derived from a variety of sources, including scientific literature, input from physicians that treat patients with the diseases we are targeting, patient foundations and secondary market research databases. For example, estimates of the prevalence of MPNs in certain geographies are based in part on the published prevalence of MPNs among patient populations in the United States split across ethnicities, and our own analyses of prevalence in Europe, and on published disease incidence rates for certain geographies and estimated for the populations of such geographies. Further, new studies may change the estimated incidence or prevalence of MPNs, and any regulatory approvals that patient population. Similar considerations would apply to estimates of patient population for target indications we select for DMR-002, DMR-003 and any future product candidates. Accordingly, our target patient populations may turn out to be lower than expected, in which case the potential revenues from sales of our product candidates, if approved, would be lower than expected.</w:t>
      </w:r>
    </w:p>
    <w:p>
      <w:pPr>
        <w:spacing w:after="0" w:line="329"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approach to the discovery and development of DMR-001, DMR-002 and DMR-003 is unproven, and we may not be successful in our efforts to build a pipeline of product candidates with commercial value.</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Our approach to the discovery and development of our product candidates leverages well-established mechanisms of action and incorporates advanced antibody engineering to optimize half-life and other properties designed to overcome limitations of existing therapies, including increased binding affinity. Our product candidates are purposefully designed to improve upon existing product candidates and products while maintaining the same, well-established mechanisms of action. However, the scientific research that forms the basis of our efforts to develop DMR-001, DMR-002 and DMR-003 using half-life extension technologies and to enhance efficacy through improved binding affinity, including monoclonal antibodies, is ongoing and may not result in viable product candidates. We have limited clinical data on product candidates utilizing monoclonal antibody half-life extension technologies, especially in autoimmune indications, demonstrating whether they are safe or effective for long-term treatment in humans. We also have no clinical data to indicate whether our modifications to enhance binding affinity translate into improved efficacy in humans. The long-term safety and efficacy of DMR-001, DMR-002 and DMR-003 compared to currently approved products is unknown.</w:t>
      </w:r>
    </w:p>
    <w:p>
      <w:pPr>
        <w:spacing w:after="0" w:line="209"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We may ultimately discover that utilizing half-life extension technologies for our specific targets and indications and any product candidates resulting therefrom do not possess certain properties required for therapeutic effectiveness. We currently have only preclinical data regarding the increased half-life properties of DMR-001, DMR-002 and DMR-003, and the same results may not be seen in humans. In addition, product candidates using half-life extension technologies may demonstrate different chemical and pharmacological properties in patients than they do in laboratory studies. This technology and any product candidates resulting therefrom may not demonstrate the same chemical and pharmacological properties in humans and may interact with human biological systems in unforeseen, ineffective or harmful ways. Many product candidates that appeared highly promising in preclinical studies or in early-stage clinical trials have failed when advanced into, or further in, clinical development.</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960" w:h="17280" w:orient="portrait"/>
          <w:cols w:equalWidth="0" w:num="1">
            <w:col w:w="10520"/>
          </w:cols>
          <w:pgMar w:left="1360" w:top="1420" w:right="1080" w:bottom="895" w:gutter="0" w:footer="0" w:header="0"/>
          <w:type w:val="continuous"/>
        </w:sectPr>
      </w:pPr>
    </w:p>
    <w:bookmarkStart w:id="47" w:name="page48"/>
    <w:bookmarkEnd w:id="47"/>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In addition, other companies are developing drug products that utilize half-life extension technology in other targets and indications. The failure of those companies to demonstrate the safety and efficacy of their product candidates may be harmful to our business, financial condition, results of operations and prospects.</w:t>
      </w:r>
    </w:p>
    <w:p>
      <w:pPr>
        <w:spacing w:after="0" w:line="18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addition, we may in the future seek to discover and develop product candidates that are based on novel targets and technologies that are unproven. If our discovery or business development activities fail to identify novel targets or technologies for drug development, or such targets or technologies prove to be unsuitable for treating human disease, we may not be able to develop viable additional product candidates.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our product candidates prove to be ineffective, unsafe or commercially unviable, our product candidates and pipeline would have little, if any, value, which would have a material and adverse effect on our business, financial condition, results of operations and prospects.</w:t>
      </w:r>
    </w:p>
    <w:p>
      <w:pPr>
        <w:spacing w:after="0" w:line="32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Preclinical and clinical development involves a lengthy and expensive process that is subject to delays and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74"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auto"/>
        </w:rPr>
        <w:t>Before obtaining regulatory approval from regulatory authorities for the sale of any product candidate, we must complete preclinical studies and then conduct extensive clinical trials to demonstrate the safety and efficacy of our product candidate in humans. Our clinical trials may not be conducted as planned or completed on schedule, if at all, and failure can occur at any time during the preclinical study or clinical trial process. For example, we depend on the availability of NHPs to conduct certain preclinical studies that we are required to complete prior to submitting an IND and initiating clinical development. There is currently a global shortage of NHPs available for drug development. While we currently do not anticipate that this shortage will materially impact our costs or timelines, a continuing or future shortage could cause the cost of obtaining NHPs for our future preclinical studies to increase significantly or result in delays to our development timelines.</w:t>
      </w:r>
    </w:p>
    <w:p>
      <w:pPr>
        <w:spacing w:after="0" w:line="20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Moreover, enrolling patients in clinical trials for cancer therapies is challenging, as cancer patients will first receive the applicable standard of care. Many patients who respond positively to the standard of care therapy (and thus do not enroll in clinical trials) are believed to have tumor types that may have responded well to our product candidates. This may limit the number of eligible patients able to enroll in our clinical trials and could extend development timelines or increase costs for these programs. Patients who fail to respond positively to the standard of care treatment will be eligible for clinical trials of unapproved drug candidates. However, these patients may have either compromised immune function from prior administration of chemotherapy or an enhanced immune response from the prior administration of checkpoint inhibitors. Either of these prior treatment regimens may render our therapies less effective in clinical trials. We have sought and may continue to seek to mitigate these effects in the future through modification of enrollment eligibility criteria. Additionally, patients who have failed approved therapies will typically have more advanced cancer and a poorer long-term prognosis. If we are unable to initiate or adequately enroll our clinical trial sites, our clinical trials may be delayed.</w:t>
      </w:r>
    </w:p>
    <w:p>
      <w:pPr>
        <w:spacing w:after="0" w:line="20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Furthermore, a failure of one or more clinical trials can occur at any clinical trial phase.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In addition, we expect to rely on patients to provide feedback on measures such as measures of disease and quality of life, which are subjective and inherently difficult to evaluate. These measures can be influenced by factors outside of our control and can vary widely from day to day for a particular patient, and from patient to patient and from site to site within a clinical trial.</w:t>
      </w:r>
    </w:p>
    <w:p>
      <w:pPr>
        <w:spacing w:after="0" w:line="20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 xml:space="preserve">We cannot be sure that the FDA or comparable foreign regulatory authorities will agree with our clinical development plans, and there is no guarantee that data from our Phase 1 trial will support additional trials. If the FDA or comparable foreign regulatory authorities require us to conduct additional trials or enroll additional patients, our development timelines may be delayed. We cannot be sure that submission of an IND or similar foreign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w:t>
      </w:r>
    </w:p>
    <w:p>
      <w:pPr>
        <w:sectPr>
          <w:pgSz w:w="12960" w:h="17280" w:orient="portrait"/>
          <w:cols w:equalWidth="0" w:num="1">
            <w:col w:w="10500"/>
          </w:cols>
          <w:pgMar w:left="1360" w:top="1420" w:right="1100" w:bottom="895"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2960" w:h="17280" w:orient="portrait"/>
          <w:cols w:equalWidth="0" w:num="1">
            <w:col w:w="10500"/>
          </w:cols>
          <w:pgMar w:left="1360" w:top="1420" w:right="1100" w:bottom="895" w:gutter="0" w:footer="0" w:header="0"/>
          <w:type w:val="continuous"/>
        </w:sectPr>
      </w:pPr>
    </w:p>
    <w:bookmarkStart w:id="48" w:name="page49"/>
    <w:bookmarkEnd w:id="48"/>
    <w:p>
      <w:pPr>
        <w:spacing w:after="0" w:line="243" w:lineRule="auto"/>
        <w:rPr>
          <w:sz w:val="20"/>
          <w:szCs w:val="20"/>
          <w:color w:val="auto"/>
        </w:rPr>
      </w:pPr>
      <w:r>
        <w:rPr>
          <w:rFonts w:ascii="Times New Roman" w:cs="Times New Roman" w:eastAsia="Times New Roman" w:hAnsi="Times New Roman"/>
          <w:sz w:val="20"/>
          <w:szCs w:val="20"/>
          <w:color w:val="auto"/>
        </w:rPr>
        <w:t>the terms of which can be subject to extensive negotiation and may vary significantly among different CROs and clinical trial sites; delays in identifying, recruiting and training suitable clinical investigators; delays in obtaining required IRB approval or positive ethics committee opinions at each clinical trial site; delays in manufacturing, testing, releasing, validating or importing/exporting sufficient stable quantities of our product candidates for use in clinical trials or the inability to do any of the foregoing; failure by our CROs, other third parties or us to adhere to clinical trial protocols; failure to perform in accordance with the FDA’s or any other regulatory authority’s GCP requirements or regulatory guidelines; changes to the clinical trial protocols; clinical sites deviating from trial protocol or dropping out of a trial; changes in regulatory requirements, guidance or clinical trial plans that require amending or submitting new clinical protocols; selection of clinical endpoints that require prolonged periods of observation or analyses of resulting data; transfer of manufacturing processes to new or larger-scale facilities and delays or failure by our contract manufacturing organizations (“CMOs”) or us to make any necessary changes to such manufacturing process; and third parties being unwilling or unable to satisfy their contractual obligations to us.</w:t>
      </w:r>
    </w:p>
    <w:p>
      <w:pPr>
        <w:spacing w:after="0" w:line="209"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auto"/>
        </w:rPr>
        <w:t>We could also encounter delays if a clinical trial is suspended or terminated by us, by the IRBs or ethics committees of the institutions in which such clinical trials are being conducted, by the Data Safety Monitoring Board, if any, for such clinical trial or by the FDA or comparable foreign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product candidate, changes in governmental regulations or administrative actions or lack of adequate funding to continue the clinical trial. If we are required to conduct additional clinical trials or other testing of our product candidates beyond those that we currently contemplate, if we are unable to successfully complete clinical trials of our product candidates, if the results of these trials are not positive or are only moderately positive or if there are safety concerns, our business and results of operations would be adversely affected.</w:t>
      </w:r>
    </w:p>
    <w:p>
      <w:pPr>
        <w:spacing w:after="0" w:line="3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find it difficult to enroll patients in our clinical trials, particularly given the relatively small patient population. If we encounter difficulties enrolling patients in our future clinical trial of DMR-001 or our other programs, our clinical development activities could be delayed or otherwise adversely affected.</w:t>
      </w:r>
    </w:p>
    <w:p>
      <w:pPr>
        <w:spacing w:after="0" w:line="68" w:lineRule="exact"/>
        <w:rPr>
          <w:sz w:val="20"/>
          <w:szCs w:val="20"/>
          <w:color w:val="auto"/>
        </w:rPr>
      </w:pPr>
    </w:p>
    <w:p>
      <w:pPr>
        <w:jc w:val="both"/>
        <w:ind w:right="520" w:firstLine="490"/>
        <w:spacing w:after="0" w:line="258" w:lineRule="auto"/>
        <w:rPr>
          <w:sz w:val="20"/>
          <w:szCs w:val="20"/>
          <w:color w:val="auto"/>
        </w:rPr>
      </w:pPr>
      <w:r>
        <w:rPr>
          <w:rFonts w:ascii="Times New Roman" w:cs="Times New Roman" w:eastAsia="Times New Roman" w:hAnsi="Times New Roman"/>
          <w:sz w:val="20"/>
          <w:szCs w:val="20"/>
          <w:color w:val="auto"/>
        </w:rPr>
        <w:t>We may experience difficulties in patient enrollment in our current or future clinical trials for a variety of reasons. The timely completion of clinical trials in accordance with their protocols depends, among other things, on our ability to enroll a sufficient number of patients who remain in the trial until our conclusion.</w:t>
      </w:r>
    </w:p>
    <w:p>
      <w:pPr>
        <w:spacing w:after="0" w:line="188"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auto"/>
        </w:rPr>
        <w:t>In addition, cancer therapies are sometimes characterized by line of therapy (first, second, third, fourth, etc.), and the FDA often initially approves new therapies only for use in a particular line or lines of therapy. For example, we may initially seek approval of our product candidates as a third-line therapy for patients who have failed other approved treatments. We may subsequently seek approval as a second- and first-line therapy. There is no guarantee that our product candidates, even if initially approved, would be subsequently approved as a second or first line therapy, which may further reduce the number of patients available to us.</w:t>
      </w:r>
    </w:p>
    <w:p>
      <w:pPr>
        <w:spacing w:after="0" w:line="200"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Currently, most ET patients are often treated with aspirin alone. However, the remaining ET patients carry a higher risk of clotting and bleeding and are generally treated with hydroxyurea, which is not approved for the treatment of ET in the United States, anagrelide or interferon.</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enrollment of patients in future trials for any of our product candidates will depend on many factors, including:</w:t>
      </w:r>
    </w:p>
    <w:p>
      <w:pPr>
        <w:spacing w:after="0" w:line="120" w:lineRule="exact"/>
        <w:rPr>
          <w:sz w:val="20"/>
          <w:szCs w:val="20"/>
          <w:color w:val="auto"/>
        </w:rPr>
      </w:pPr>
    </w:p>
    <w:p>
      <w:pPr>
        <w:ind w:left="1100" w:hanging="358"/>
        <w:spacing w:after="0"/>
        <w:tabs>
          <w:tab w:leader="none" w:pos="11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size and nature of the patient population;</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severity of the disease under investigation;</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and efficacy of approved drugs for the disease under investigation;</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 eligibility and exclusion criteria for the trial in question;</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patients’ and clinicians’ perceived risks and benefits of the product candidate under study;</w:t>
      </w:r>
    </w:p>
    <w:p>
      <w:pPr>
        <w:spacing w:after="0" w:line="120" w:lineRule="exact"/>
        <w:rPr>
          <w:rFonts w:ascii="Times New Roman" w:cs="Times New Roman" w:eastAsia="Times New Roman" w:hAnsi="Times New Roman"/>
          <w:sz w:val="20"/>
          <w:szCs w:val="20"/>
          <w:color w:val="auto"/>
        </w:rPr>
      </w:pPr>
    </w:p>
    <w:p>
      <w:pPr>
        <w:jc w:val="both"/>
        <w:ind w:left="1100" w:right="140" w:hanging="358"/>
        <w:spacing w:after="0" w:line="258" w:lineRule="auto"/>
        <w:tabs>
          <w:tab w:leader="none" w:pos="11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patients choose to enroll in clinical trials, rather than using approved products, or if our competitors have ongoing clinical trials for product candidates that are under development for the same indications as our product candidates, and patients instead enroll in such clinical trials;</w:t>
      </w:r>
    </w:p>
    <w:p>
      <w:pPr>
        <w:spacing w:after="0" w:line="68"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efforts to facilitate timely enrollment in clinical trials;</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 referral practices of physicians;</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monitor patients adequately during and after treatment;</w:t>
      </w:r>
    </w:p>
    <w:p>
      <w:pPr>
        <w:sectPr>
          <w:pgSz w:w="12960" w:h="17280" w:orient="portrait"/>
          <w:cols w:equalWidth="0" w:num="1">
            <w:col w:w="10520"/>
          </w:cols>
          <w:pgMar w:left="1360" w:top="1420" w:right="1080" w:bottom="895"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960" w:h="17280" w:orient="portrait"/>
          <w:cols w:equalWidth="0" w:num="1">
            <w:col w:w="10520"/>
          </w:cols>
          <w:pgMar w:left="1360" w:top="1420" w:right="1080" w:bottom="895" w:gutter="0" w:footer="0" w:header="0"/>
          <w:type w:val="continuous"/>
        </w:sectPr>
      </w:pPr>
    </w:p>
    <w:bookmarkStart w:id="49" w:name="page50"/>
    <w:bookmarkEnd w:id="49"/>
    <w:p>
      <w:pPr>
        <w:ind w:left="1100" w:hanging="358"/>
        <w:spacing w:after="0"/>
        <w:tabs>
          <w:tab w:leader="none" w:pos="11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proximity and availability of clinical trial sites for prospective patients; and</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enrollment of prospective patients by clinical trial sites.</w:t>
      </w:r>
    </w:p>
    <w:p>
      <w:pPr>
        <w:spacing w:after="0" w:line="24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Additionally, the number of patients required for clinical trials of our product candidates may be larger than we anticipate. Even if we are able to enroll a sufficient number of patients for our future clinical trials, we may have difficulty maintaining patients in our clinical trials. Our inability to enroll or maintain a sufficient number of patients would result in significant delays in completing clinical trials or receipt of regulatory approvals and increased development costs or may require us to abandon one or more clinical trials altogether, which could cause our value to decline, limit our ability to obtain additional financing and otherwise harm our prospects.</w:t>
      </w:r>
    </w:p>
    <w:p>
      <w:pPr>
        <w:spacing w:after="0" w:line="32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Preliminary, “topline” or interim data from our clinical trials that we announce or publish from time to time may change as more patient data become available and are subject to audit and verification procedures.</w:t>
      </w:r>
    </w:p>
    <w:p>
      <w:pPr>
        <w:spacing w:after="0" w:line="49"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From time to time, we may publicly disclose preliminary or topline data from our preclinical studies and clinical trials, which are based on a preliminary analysis of then-available data.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spacing w:after="0" w:line="20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Any preliminary or topline data should be viewed with caution until the final data are available. 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 Further, others, including regulatory authorities, may not accept or agree with our assumptions, estimates, calculations, conclusions or analyses or may interpret or weigh the importance of data differently, which could impact the value of the particular product candidate, the approvability or commercialization of the particular product candidate and of us as a company.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As a result, you or others may have reached different conclusions based on such extensive information in comparison to our publicly disclosed conclusion regarding a particular preclinical study or clinical trial. If the preliminary, topline or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323"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future clinical trials or those of our current or future collaborators may reveal significant adverse events or undesirable side effects not seen in our preclinical studies and may result in a safety profile that could halt clinical development, inhibit regulatory approval or limit commercial potential or market acceptance of any of our product candidates.</w:t>
      </w:r>
    </w:p>
    <w:p>
      <w:pPr>
        <w:spacing w:after="0" w:line="68"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 xml:space="preserve">Results of our clinical trials could reveal a high or unacceptable severity and prevalence of side effects, adverse events or unexpected characteristics. If significant adverse events or other side effects are observed in any of our future clinical trials, we may have difficulty recruiting patients to such trials, patients may drop out of our trials, or we may be required to abandon the trials or our development efforts of one or more product candidates altogether. For example, although anti-mutCALR monoclonal antibodies have been generally well tolerated in clinical trials to date, four discontinuations out of 55 patients, one of which was due to a treatment-emergent adverse event (“TEAE”), were reported by Incyte in its Phase 1 trial investigating INCA033989 in ET patients resistant or intolerant to prior cytoreductive therapy. The most frequent grade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3 TEAEs were neutropenia, amylase increase, anemia and lipase increase. Because DMR-001 will have a similar mechanism of action, it is possible that patients in our future clinical trials could exhibit similar grade TEAEs as well. We, the FDA or other applicable regulatory authorities, or an IRB or ethics committee, may suspend any clinical trials of any product candidate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Other potential products have shown side effects in preclinical studies, which side effects do not present themselves in clinical trials in humans. Even if the side effects do not preclude the product candidate from obtaining or maintaining regulatory approval, undesirable side effects may inhibit market acceptance of the approved product due to our tolerability versus other therapies. In addition, an extended half-life could prolong the duration of undesirable side effects, which could also inhibit market acceptance. TEAEs could also affect patient recruitment or the ability of enrolled subjects to complete our clinical trials or could result in potential product liability claims. Potential side effects associated with our product candidates may not be appropriately recognized or managed by the treating medical staff, as</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960" w:h="17280" w:orient="portrait"/>
          <w:cols w:equalWidth="0" w:num="1">
            <w:col w:w="10520"/>
          </w:cols>
          <w:pgMar w:left="1360" w:top="1420" w:right="1080" w:bottom="895" w:gutter="0" w:footer="0" w:header="0"/>
          <w:type w:val="continuous"/>
        </w:sectPr>
      </w:pPr>
    </w:p>
    <w:bookmarkStart w:id="50" w:name="page51"/>
    <w:bookmarkEnd w:id="50"/>
    <w:p>
      <w:pPr>
        <w:jc w:val="both"/>
        <w:ind w:right="40"/>
        <w:spacing w:after="0" w:line="277" w:lineRule="auto"/>
        <w:rPr>
          <w:sz w:val="20"/>
          <w:szCs w:val="20"/>
          <w:color w:val="auto"/>
        </w:rPr>
      </w:pPr>
      <w:r>
        <w:rPr>
          <w:rFonts w:ascii="Times New Roman" w:cs="Times New Roman" w:eastAsia="Times New Roman" w:hAnsi="Times New Roman"/>
          <w:sz w:val="20"/>
          <w:szCs w:val="20"/>
          <w:color w:val="auto"/>
        </w:rPr>
        <w:t>toxicities resulting from our product candidates may not be normally encountered in the general patient population and by medical personnel. Any of these occurrences could harm our business, financial condition, results of operations and prospects significantly.</w:t>
      </w:r>
    </w:p>
    <w:p>
      <w:pPr>
        <w:spacing w:after="0" w:line="169"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auto"/>
        </w:rPr>
        <w:t>In addition, even if we successfully advance our product candidates or any future product candidate through clinical trials, such trials will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after approval. Further, any clinical trials may not be sufficient to determine the effect and safety consequences of using our product candidates over a multi-year period.</w:t>
      </w:r>
    </w:p>
    <w:p>
      <w:pPr>
        <w:spacing w:after="0" w:line="197"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auto"/>
        </w:rPr>
        <w:t>If any of the foregoing events occur or if one or more of our product candidates prove to be unsafe, our entire pipeline could be affected, any of which would have a material adverse effect on our business, financial condition, results of operations and prospects.</w:t>
      </w:r>
    </w:p>
    <w:p>
      <w:pPr>
        <w:spacing w:after="0" w:line="30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expend our resources to pursue a particular program and fail to capitalize on programs that may be more profitable or for which there is a greater likelihood of success.</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Because we have limited financial and managerial resources, we focus our research and development efforts on certain selected programs. For example, we are currently focused primarily on DMR-001.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of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In addition, we select product candidates amongst a variety of potential product candidates from Paragon, and the product candidates we select may fail to be viable commercial products or the product candidates we do not select may have a greater likelihood of success.</w:t>
      </w:r>
    </w:p>
    <w:p>
      <w:pPr>
        <w:spacing w:after="0" w:line="329"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Any approved products resulting from our current programs or any future program may not achieve adequate market acceptance among clinicians, patients, healthcare third-party payors and others in the medical community necessary for commercial success and we may not generate any future revenue from the sale or licensing of such products.</w:t>
      </w:r>
    </w:p>
    <w:p>
      <w:pPr>
        <w:spacing w:after="0" w:line="68"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Even if regulatory approval is obtained for a product candidate resulting from one of our current or future programs, we may not gain market acceptance among physicians, healthcare professionals, patients, healthcare payors or the medical community. We may not generate or sustain revenue from sales of the product due to factors such as whether the product can be sold at a competitive cost and whether it will otherwise be accepted in the market. Market acceptance will depend on many factors, including factors that are not within our control. There are two recently approved products and additional product candidates in later stages of development for the treatment of MPNs, including momelotinib (approved in 2023) and pacritinib (approved in 2022) as well as late-stage ropeginterferon alfa-2b, imetelstat, pelabresib, bomedemstat, and navtemadlin. However, DMR-001 is designed to have improved potency against both Type 1 and Type 2 mutCALR and contain modifications that are known to increase the half-life of antibodies in circulation; to date, no such disease-modifying therapy that reduces platelet counts in ET patients with high risk of clotting and bleeding has been approved by the FDA for the treatment of MPNs, though several such agents are in advanced clinical development and close to approval. Market participants with significant influence over acceptance of new treatments, such as clinicians and third-party payors, may not adopt a biologic that incorporates anti-mutCALR antibodies and half-life extension for our targeted indication, and we may not be able to convince the medical community and third-party payors to accept and use, or to provide favorable reimbursement for, any programs developed by us or our existing or future collaborators. Market acceptance of our product candidates may be negatively impacted by potential poor performance of our competitors, including the occurrence of serious adverse events in such competitors’ clinical trials or failure by such competitors to obtain and maintain regulatory approval for their product candidates. Additionally, although we believe that the improved dosing and convenience we expect our product candidates to provide will improve market acceptance of such product candidates and that our candidates will have a competitive efficacy profile, our predictions may not be accurate and other competitive products may instead gain and hold the applicable market. Sales of medical products also depend on the willingness of clinicians to prescribe the treatment. We cannot predict whether clinicians, clinicians’ organizations, hospitals, other healthcare providers, government agencies or private insurers will determine that our product is safe, therapeutically effective, cost effective or less burdensome as compared with competing treatments. If any current or future product candidate is approved but does not achieve an adequate level of acceptance by such parties, we may not generate or derive sufficient revenue from that product candidate and may not become or remain profitable.</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960" w:h="17280" w:orient="portrait"/>
          <w:cols w:equalWidth="0" w:num="1">
            <w:col w:w="10520"/>
          </w:cols>
          <w:pgMar w:left="1360" w:top="1420" w:right="1080" w:bottom="895" w:gutter="0" w:footer="0" w:header="0"/>
          <w:type w:val="continuous"/>
        </w:sectPr>
      </w:pPr>
    </w:p>
    <w:bookmarkStart w:id="51" w:name="page52"/>
    <w:bookmarkEnd w:id="51"/>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Certain of our programs may compete with our other programs, which could negatively impact our business and reduce our future revenue.</w:t>
      </w:r>
    </w:p>
    <w:p>
      <w:pPr>
        <w:spacing w:after="0" w:line="4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We are developing DMR-001 for the treatment of ET and MF and intend to develop DMR-002 and DMR-003 for other MPNs, and we may in the future develop programs for additional MPNs. However, developing multiple product candidates for MPNs may negatively impact our business if the product candidates compete with each other. For example, if multiple product candidates are conducting clinical trials at the same time, they could compete for the enrollment of patients. In addition, if multiple product candidates are approved for the same indication, they may compete for market share, which could limit our future revenue.</w:t>
      </w:r>
    </w:p>
    <w:p>
      <w:pPr>
        <w:spacing w:after="0" w:line="317"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plan to conduct clinical trials for product candidates at sites outside the United States, and the FDA may not accept data from trials conducted in such locations.</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are planning to conduct our Phase 1 clinical trial of DMR-001 in several geographies, including the United States and Australia, and we may choose to conduct one or more of our future clinical trials outside the United States in whole or in part.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our determination that the trials also complied with all applicable U.S. laws and regulations.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relevant jurisdiction, as applicable. If the FDA or any comparable foreign regulatory authority does not accept such data, it would likely result in the need for additional trials, which would be costly and time-consuming and would delay or permanently halt our development of the applicable product candidates or delay or prevent regulatory approval for commercialization in the applicable jurisdiction. Even if the FDA or any comparable foreign regulatory authority accepted such data, it could require us to modify our planned clinical trials to receive clearance to initiate such trials in the United States or the relevant jurisdiction, as applicable, or to continue such trials once initiated.</w:t>
      </w:r>
    </w:p>
    <w:p>
      <w:pPr>
        <w:spacing w:after="0" w:line="208" w:lineRule="exact"/>
        <w:rPr>
          <w:sz w:val="20"/>
          <w:szCs w:val="20"/>
          <w:color w:val="auto"/>
        </w:rPr>
      </w:pPr>
    </w:p>
    <w:p>
      <w:pPr>
        <w:ind w:right="320" w:firstLine="490"/>
        <w:spacing w:after="0" w:line="249" w:lineRule="auto"/>
        <w:rPr>
          <w:sz w:val="20"/>
          <w:szCs w:val="20"/>
          <w:color w:val="auto"/>
        </w:rPr>
      </w:pPr>
      <w:r>
        <w:rPr>
          <w:rFonts w:ascii="Times New Roman" w:cs="Times New Roman" w:eastAsia="Times New Roman" w:hAnsi="Times New Roman"/>
          <w:sz w:val="20"/>
          <w:szCs w:val="20"/>
          <w:color w:val="auto"/>
        </w:rPr>
        <w:t>Further, conducting international clinical trials presents additional risks that may delay completion of our clinical trials. These risks include the failure of enrolled patients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rely on collaborations and licensing arrangements with third parties, including Paragon. If we are unable to maintain these collaborations or licensing arrangements, or if these collaborations or licensing arrangements are not successful, our business could be negatively impacted.</w:t>
      </w:r>
    </w:p>
    <w:p>
      <w:pPr>
        <w:spacing w:after="0" w:line="68" w:lineRule="exact"/>
        <w:rPr>
          <w:sz w:val="20"/>
          <w:szCs w:val="20"/>
          <w:color w:val="auto"/>
        </w:rPr>
      </w:pPr>
    </w:p>
    <w:p>
      <w:pPr>
        <w:ind w:right="260" w:firstLine="490"/>
        <w:spacing w:after="0" w:line="246" w:lineRule="auto"/>
        <w:rPr>
          <w:sz w:val="20"/>
          <w:szCs w:val="20"/>
          <w:color w:val="auto"/>
        </w:rPr>
      </w:pPr>
      <w:r>
        <w:rPr>
          <w:rFonts w:ascii="Times New Roman" w:cs="Times New Roman" w:eastAsia="Times New Roman" w:hAnsi="Times New Roman"/>
          <w:sz w:val="20"/>
          <w:szCs w:val="20"/>
          <w:color w:val="auto"/>
        </w:rPr>
        <w:t>We rely on our collaboration with a third party, Paragon, for a substantial portion of our discovery capabilities and for the rights necessary to develop and commercialize our product candidates. In the future, we could also rely on additional licensing arrangements with third parties. For example, we have entered into the Paragon Option Agreement. However, Paragon could terminate the Paragon Option Agreement under certain circumstances, including our failure to make any payments owed to Paragon under the agreement or any uncured material breach of the agreement by us, in which event we may lose intellectual property rights and may not be able to develop or commercialize the product candidates covered by that agreement, including DMR-001, DMR-002 or DMR-003, as applicable.</w:t>
      </w:r>
    </w:p>
    <w:p>
      <w:pPr>
        <w:spacing w:after="0" w:line="20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Collaborations or licensing arrangements that we enter into may not be successful, and any success will depend heavily on the efforts and activities of such collaborators or licensors. If any of our collaborators or licensors experiences delays in performance of, or fails to perform, our obligations under our agreement with us, disagrees with our interpretation of the terms of such agreement or terminates their agreement with us, our pipeline and product candidates and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leading to the potential invalidation of our intellectual property, or they may even infringe upon our intellectual property rights, any of which could subject us to litigation or arbitration, which would be time-consuming and expensive and could harm our ability to commercialize</w:t>
      </w:r>
    </w:p>
    <w:p>
      <w:pPr>
        <w:sectPr>
          <w:pgSz w:w="12960" w:h="17280" w:orient="portrait"/>
          <w:cols w:equalWidth="0" w:num="1">
            <w:col w:w="10500"/>
          </w:cols>
          <w:pgMar w:left="1360" w:top="1420" w:right="1100" w:bottom="895"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2960" w:h="17280" w:orient="portrait"/>
          <w:cols w:equalWidth="0" w:num="1">
            <w:col w:w="10500"/>
          </w:cols>
          <w:pgMar w:left="1360" w:top="1420" w:right="1100" w:bottom="895" w:gutter="0" w:footer="0" w:header="0"/>
          <w:type w:val="continuous"/>
        </w:sectPr>
      </w:pPr>
    </w:p>
    <w:bookmarkStart w:id="52" w:name="page53"/>
    <w:bookmarkEnd w:id="52"/>
    <w:p>
      <w:pPr>
        <w:ind w:right="180"/>
        <w:spacing w:after="0" w:line="252" w:lineRule="auto"/>
        <w:rPr>
          <w:sz w:val="20"/>
          <w:szCs w:val="20"/>
          <w:color w:val="auto"/>
        </w:rPr>
      </w:pPr>
      <w:r>
        <w:rPr>
          <w:rFonts w:ascii="Times New Roman" w:cs="Times New Roman" w:eastAsia="Times New Roman" w:hAnsi="Times New Roman"/>
          <w:sz w:val="20"/>
          <w:szCs w:val="20"/>
          <w:color w:val="auto"/>
        </w:rPr>
        <w:t>our product candidates. In addition, 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19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As part of our strategy, we plan to evaluate additional opportunities to enhance our capabilities and expand our development pipeline or add development or commercialization capabilities. We may not realize the benefits of such collaborations, alliances or licensing arrangements. Any of these relationships may require us to incur non-recurring and other charges, increase our near and long-term expenditures, issue securities that dilute our existing stockholders or disrupt our management and business.</w:t>
      </w:r>
    </w:p>
    <w:p>
      <w:pPr>
        <w:spacing w:after="0" w:line="19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may be unwilling to assign or license rights to us, whether they perceive us to be a competitor or for other reasons. Whether we reach a definitive agreement for a collaboration will depend, among other things, upon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does not have sufficient funds or expertise to undertake the necessary development and commercialization activities, we may not be able to further develop our product candidates or bring them to market.</w:t>
      </w:r>
    </w:p>
    <w:p>
      <w:pPr>
        <w:spacing w:after="0" w:line="32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Risks associated with the in-licensing or acquisition of product candidates could cause substantial delays in the preclinical and clinical development of our product candidates.</w:t>
      </w:r>
    </w:p>
    <w:p>
      <w:pPr>
        <w:spacing w:after="0" w:line="49"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We have relied and continue to rely on Paragon, and expect to rely on our future licensing partners, to (i) conduct research and development in accordance with the applicable protocol, legal, regulatory and scientific standards, (ii) accurately report the results of all preclinical trials conducted prior to our licensing or acquisition of the relevant product candidates and (iii) correctly collect and interpret the data from these trials. If the research and development processes or the results of the research programs prior to our licensing or acquisition of our product candidates prove to be unreliable, this could result in increased costs and delays in the development of our product candidates, which could adversely affect any future revenue from such product candidates, if approved.</w:t>
      </w:r>
    </w:p>
    <w:p>
      <w:pPr>
        <w:spacing w:after="0" w:line="20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We may also acquire or in-license additional product candidates for preclinical or clinical development in the future as we continue to build our pipeline. The risks associated with acquiring or in-licensing product candidates could result in delays in the commencement or completion of our preclinical studies and clinical trials, if they are ever commenced or completed, and our ability to generate revenues from our product candidates may be delayed. Please see the section titled “</w:t>
      </w:r>
      <w:r>
        <w:rPr>
          <w:rFonts w:ascii="Times New Roman" w:cs="Times New Roman" w:eastAsia="Times New Roman" w:hAnsi="Times New Roman"/>
          <w:sz w:val="20"/>
          <w:szCs w:val="20"/>
          <w:i w:val="1"/>
          <w:iCs w:val="1"/>
          <w:color w:val="auto"/>
        </w:rPr>
        <w:t>Risk Factors-Risks Related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to Our Intellectual Property-If we are unable to obtain or maintain necessary rights to our programs through acquisitions and in-licenses, our business may be materially harmed</w:t>
      </w:r>
      <w:r>
        <w:rPr>
          <w:rFonts w:ascii="Times New Roman" w:cs="Times New Roman" w:eastAsia="Times New Roman" w:hAnsi="Times New Roman"/>
          <w:sz w:val="20"/>
          <w:szCs w:val="20"/>
          <w:color w:val="auto"/>
        </w:rPr>
        <w:t>” below for additional information regarding such risks.</w:t>
      </w:r>
    </w:p>
    <w:p>
      <w:pPr>
        <w:spacing w:after="0" w:line="32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have utilized and plan to continue to utilize and depend upon independent investigators and collaborators, such as medical institutions, CROs, contract testing labs and strategic partners, to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which are regulations and guidelines enforced by the FDA and comparable foreign regulatory authorities for all of our product candidates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In addition, our clinical trials must be conducted with products manufactured in accordance with cGMPs. Our failure to comply with these requirements may require us to repeat clinical trials, which would delay the regulatory approval process. Moreover, our business may be implicated if any of these third parties violates</w:t>
      </w:r>
    </w:p>
    <w:p>
      <w:pPr>
        <w:sectPr>
          <w:pgSz w:w="12960" w:h="17280" w:orient="portrait"/>
          <w:cols w:equalWidth="0" w:num="1">
            <w:col w:w="10480"/>
          </w:cols>
          <w:pgMar w:left="1360" w:top="1420" w:right="1120" w:bottom="895" w:gutter="0" w:footer="0" w:header="0"/>
        </w:sect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47</w:t>
      </w:r>
    </w:p>
    <w:p>
      <w:pPr>
        <w:sectPr>
          <w:pgSz w:w="12960" w:h="17280" w:orient="portrait"/>
          <w:cols w:equalWidth="0" w:num="1">
            <w:col w:w="10480"/>
          </w:cols>
          <w:pgMar w:left="1360" w:top="1420" w:right="1120" w:bottom="895" w:gutter="0" w:footer="0" w:header="0"/>
          <w:type w:val="continuous"/>
        </w:sectPr>
      </w:pPr>
    </w:p>
    <w:bookmarkStart w:id="53" w:name="page54"/>
    <w:bookmarkEnd w:id="53"/>
    <w:p>
      <w:pPr>
        <w:ind w:right="900"/>
        <w:spacing w:after="0" w:line="277" w:lineRule="auto"/>
        <w:rPr>
          <w:sz w:val="20"/>
          <w:szCs w:val="20"/>
          <w:color w:val="auto"/>
        </w:rPr>
      </w:pPr>
      <w:r>
        <w:rPr>
          <w:rFonts w:ascii="Times New Roman" w:cs="Times New Roman" w:eastAsia="Times New Roman" w:hAnsi="Times New Roman"/>
          <w:sz w:val="20"/>
          <w:szCs w:val="20"/>
          <w:color w:val="auto"/>
        </w:rPr>
        <w:t>federal or state fraud and abuse or false claims laws and regulations or healthcare privacy and security laws, and foreign equivalents.</w:t>
      </w:r>
    </w:p>
    <w:p>
      <w:pPr>
        <w:spacing w:after="0" w:line="169"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Any third parties conducting our clinical trials will not be our employees and, except for remedies available to us under our agreements with such third parties, we cannot control whether they devote sufficient time and resources to our programs. These third parties may encounter challenges hiring and retaining sufficient qualified personnel or they may be involved in mergers, acquisitions or similar transactions and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current or future product candidates.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w:t>
      </w:r>
    </w:p>
    <w:p>
      <w:pPr>
        <w:spacing w:after="0" w:line="20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In addition, we plan to rely on foreign CROs and CMOs, including WuXi Biologics (Hong Kong) Limited (“WuXi Biologics (Hong Kong)”), for formulation and manufacturing of our Phase 1 clinical trial materials, and will likely continue to rely on foreign CROs and CMOs in the future. WuXi Biologics (Hong Kong) is a subsidiary or affiliate of WuXi Biologics, which was previously identified in the U.S. legislation proposed in 2024 known as the BIOSECURE Act as a biotechnology “company of concern.” The BIOSECURE Act as it was enacted into law on December 18, 2025, will prohibit U.S. federal agencies from entering into, extending or renewing procurement contracts with, as well as providing grants and loans to, an entity that uses biotechnology equipment or services from a “biotechnology company of concern,” and includes a grandfathering provision allowing biotechnology equipment and services provided or produced by named biotechnology companies of concern under a contract or agreement entered into before the effective date of revisions to the Federal Acquisition Regulation designating an entity a biotechnology company of concern until five years from such effective date. The timing for implementation of the BIOSECURE Act is uncertain. Depending on how the BIOSECURE Act is implemented by U.S. federal agencies, we could be potentially restricted from pursuing U.S. federal government business or grants in the future if we continue to use WuXi Biologics (Hong Kong) and if WuXi Biologics (Hong Kong) or other parties we contract with are identified as “biotechnology companies of concern” beyond the grandfathering period. Foreign CMOs may be the target of U.S. legislation, including the BIOSECURE Act, trade restrictions and other foreign regulatory requirements which could increase the cost or reduce the supply of material available to us, delay the procurement or supply of such material, restrict or even prohibit our ability to work with such CMOs, or have an adverse effect on our ability to secure significant commitments from governments to purchase potential therapies.</w:t>
      </w:r>
    </w:p>
    <w:p>
      <w:pPr>
        <w:spacing w:after="0" w:line="171"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The biopharmaceutical industry in China is strictly regulated by the Chinese government. Changes to Chinese regulations or government policies affecting biopharmaceutical companies are unpredictable and may have a material adverse effect on our collaborators in China which could have an adverse effect on our business, financial condition, results of operations and prospects. In addition, the United States government has imposed significant tariffs on imports from China and other countries and may impose more restrictions on goods, including biologically derived substances, manufactured in or imported from China or other countries or impose other restrictions on companies’ ability to work with Chinese or other foreign counterparties. Evolving changes in China’s public health, economic, political, and social conditions and uncertainty around China’s relationship with other governments, such as the United States and the UK, could also negatively impact our ability to manufacture our product candidates for our planned clinical trials or have an adverse effect on our ability to secure government funding, which could adversely affect our financial condition and cause us to delay our clinical research programs. Furthermore, if one or more of our collaborators or vendors in China, including WuXi Biologics (Hong Kong), is named a biotechnology company of concern, our operations and financial condition may be negatively impacted as a result of any delays or increased costs arising from the trade restrictions and other foreign regulatory requirements affecting such collaborators. In addition, while we have established relationships with CROs and CMOs outside of China, moving to those suppliers in the event of a geopolitical instability affecting our collaborators in China could introduce delays into the research program.</w:t>
      </w:r>
    </w:p>
    <w:p>
      <w:pPr>
        <w:spacing w:after="0" w:line="33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rely on the use of third-party CMOs to manufacture our product candidates, and we expect to continue to rely on third-party CMOs to produce our products, if approved. Our business could be adversely affected if we are unable to use third-party manufacturing suites or if the third-party manufacturers encounter difficulties in production.</w:t>
      </w:r>
    </w:p>
    <w:p>
      <w:pPr>
        <w:spacing w:after="0" w:line="68"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auto"/>
        </w:rPr>
        <w:t>We do not currently own any facility that may be used as our clinical-scale manufacturing and processing facility and must rely on CMOs to manufacture our product candidates. We have not yet caused our product candidates to be manufactured on a commercial scale and may not be able to do so for any of our product candidates, if approved. We currently have a single source for our supply of our product candidates and recently entered into an agreement with a second supplier. If there should be any disruption in such supply arrangement, including any adverse events affecting our sole supplier, or if we experience delays or difficulties in transferring, or are unable to successfully transfer, our manufacturing processes, it could have a negative effect on the clinical development of our product candidates and other operations while we work to identify and qualify an alternate supply</w:t>
      </w:r>
    </w:p>
    <w:p>
      <w:pPr>
        <w:sectPr>
          <w:pgSz w:w="12960" w:h="17280" w:orient="portrait"/>
          <w:cols w:equalWidth="0" w:num="1">
            <w:col w:w="10520"/>
          </w:cols>
          <w:pgMar w:left="1360" w:top="1420" w:right="1080" w:bottom="895"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960" w:h="17280" w:orient="portrait"/>
          <w:cols w:equalWidth="0" w:num="1">
            <w:col w:w="10520"/>
          </w:cols>
          <w:pgMar w:left="1360" w:top="1420" w:right="1080" w:bottom="895" w:gutter="0" w:footer="0" w:header="0"/>
          <w:type w:val="continuous"/>
        </w:sectPr>
      </w:pPr>
    </w:p>
    <w:bookmarkStart w:id="54" w:name="page55"/>
    <w:bookmarkEnd w:id="54"/>
    <w:p>
      <w:pPr>
        <w:ind w:right="40"/>
        <w:spacing w:after="0" w:line="242" w:lineRule="auto"/>
        <w:rPr>
          <w:sz w:val="20"/>
          <w:szCs w:val="20"/>
          <w:color w:val="auto"/>
        </w:rPr>
      </w:pPr>
      <w:r>
        <w:rPr>
          <w:rFonts w:ascii="Times New Roman" w:cs="Times New Roman" w:eastAsia="Times New Roman" w:hAnsi="Times New Roman"/>
          <w:sz w:val="20"/>
          <w:szCs w:val="20"/>
          <w:color w:val="auto"/>
        </w:rPr>
        <w:t>source. We have limited control over the manufacturing process of, and may be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qualified personnel. If the FDA or another applicable regulatory authority does not approve these facilities for the manufacture of our product candidates or withdraws any approval in the future, we may need to find alternative manufacturing facilities, which would require the incurrence of significant additional costs and delays and materially adversely affect our ability to develop, obtain regulatory approval for or market our product candidates, if approved. We, or our future contract manufacturers, any current or future collaborators and their contract manufacturers could be subject to periodic unannounced inspections by the FDA, competent authorities of the EU Member States or other comparable foreign regulatory authorities, to monitor and ensure compliance with cGMPs.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CMOs, to comply with applicable regulations could result in sanctions being imposed on us, including fines, injunctions, civil penalties, delays, suspension, variation or withdrawal of approvals, license revocation, seizures or recalls of product candidates or drugs, operating restrictions and criminal prosecutions, any of which could significantly and adversely affect supplies of our product candidates or products, if approved, and harm our business and results of operations.</w:t>
      </w:r>
    </w:p>
    <w:p>
      <w:pPr>
        <w:spacing w:after="0" w:line="17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Moreover, our CMOs may experience manufacturing difficulties due to resource constraints, supply chain issues, intellectual property disputes or as a result of labor disputes or unstable political environments. If any CMOs on which we will rely fail to manufacture quantities of our product candidates at quality levels necessary to meet regulatory requirements and at a scale sufficient to meet anticipated demand at a commercially reasonable cost, our business, financial condition and prospects could be materially and adversely affected. In addition, our CMOs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or comparable foreign regulatory authorities, result in higher costs or adversely impact commercialization of our product candidates.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Operations</w:t>
      </w:r>
    </w:p>
    <w:p>
      <w:pPr>
        <w:spacing w:after="0" w:line="124"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 order to successfully implement our plans and strategies, we will need to grow the size of our organization and we may experience difficulties in managing this growth.</w:t>
      </w:r>
    </w:p>
    <w:p>
      <w:pPr>
        <w:spacing w:after="0" w:line="49"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auto"/>
        </w:rPr>
        <w:t>We expect to experience significant growth in the number of our employees and the scope of our operations, particularly in the areas of preclinical and clinical drug development, technical operations, clinical operations and regulatory affairs.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spacing w:after="0" w:line="32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4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Our ability to compete in the highly competitive biotechnology and pharmaceutical industries depends upon our ability to attract and retain highly qualified managerial, scientific and medical personnel. We are highly dependent on our managerial, scientific and medical personnel. Although we have entered into employment agreements with our executive officers, each of them may terminate their employment with us at any time. We do not maintain “key person” insurance for any of our executives or other employees.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personnel may be difficult and may take an extended period of time. If we do not succeed in attracting and retaining qualified personnel,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960" w:h="17280" w:orient="portrait"/>
          <w:cols w:equalWidth="0" w:num="1">
            <w:col w:w="10520"/>
          </w:cols>
          <w:pgMar w:left="1360" w:top="1420" w:right="1080" w:bottom="895" w:gutter="0" w:footer="0" w:header="0"/>
          <w:type w:val="continuous"/>
        </w:sectPr>
      </w:pPr>
    </w:p>
    <w:bookmarkStart w:id="55" w:name="page56"/>
    <w:bookmarkEnd w:id="55"/>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future growth may depend, in part, on our ability to operate in foreign markets, where we would be subject to additional regulatory burdens and other risks and uncertainties.</w:t>
      </w:r>
    </w:p>
    <w:p>
      <w:pPr>
        <w:spacing w:after="0" w:line="49"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Our future growth may depend, in part, on our ability to develop and commercialize our product candidates, if approved, in foreign markets for which we may rely on collaboration with third parties. Recent and ongoing changes in the United States trade policy with foreign countries, including the continued uncertainty surrounding U.S. tariffs and potential retaliatory measures by foreign governments, may disrupt the global supply chain for biopharmaceutical products. For example, in September 2025, President Trump announced plans to impose 100% tariffs on imported branded or patented pharmaceuticals, unless the importing company is building U.S. manufacturing capacity. It is not yet clear whether these tariffs would apply to the importation of active pharmaceutical ingredients and possibly bulk drug products that are intended for use in clinical trials and not for commercial sale, which could increase the costs of materials for our clinical trials. Any direct tariffs, if imposed on pharmaceutical products, may result in increased costs for raw materials and contract manufacturing services, reduced ability to source critical CMOs, and a delay in our development timelines.</w:t>
      </w:r>
    </w:p>
    <w:p>
      <w:pPr>
        <w:spacing w:after="0" w:line="20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are not permitted to market or promote any of our product candidates before we receive regulatory approval from the applicable foreign regulatory authority,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if approved, and we cannot predict success in these jurisdictions. If we fail to comply with the regulatory requirements in international markets and receive applicable regulatory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329"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49"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97"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317" w:lineRule="exact"/>
        <w:rPr>
          <w:sz w:val="20"/>
          <w:szCs w:val="20"/>
          <w:color w:val="auto"/>
        </w:rPr>
      </w:pPr>
    </w:p>
    <w:p>
      <w:pPr>
        <w:jc w:val="both"/>
        <w:ind w:right="6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consultants, commercial collaborators, principal investigators, CROs, CMOs, suppliers and vendors may engage in misconduct or other improper activities, including noncompliance with regulatory standards and requirements.</w:t>
      </w:r>
    </w:p>
    <w:p>
      <w:pPr>
        <w:spacing w:after="0" w:line="68"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auto"/>
        </w:rPr>
        <w:t>We are exposed to the risk that our employees, independent contractors, consultants, commercial collaborators, principal investigators, CROs, CMOs, suppliers and vendors acting for or on our behalf may engage in misconduct or other improper activities. Misconduct by these parties could include intentional, reckless 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960" w:h="17280" w:orient="portrait"/>
          <w:cols w:equalWidth="0" w:num="1">
            <w:col w:w="10520"/>
          </w:cols>
          <w:pgMar w:left="1360" w:top="1420" w:right="1080" w:bottom="895" w:gutter="0" w:footer="0" w:header="0"/>
          <w:type w:val="continuous"/>
        </w:sectPr>
      </w:pPr>
    </w:p>
    <w:bookmarkStart w:id="56" w:name="page57"/>
    <w:bookmarkEnd w:id="56"/>
    <w:p>
      <w:pPr>
        <w:ind w:right="700"/>
        <w:spacing w:after="0" w:line="277" w:lineRule="auto"/>
        <w:rPr>
          <w:sz w:val="20"/>
          <w:szCs w:val="20"/>
          <w:color w:val="auto"/>
        </w:rPr>
      </w:pPr>
      <w:r>
        <w:rPr>
          <w:rFonts w:ascii="Times New Roman" w:cs="Times New Roman" w:eastAsia="Times New Roman" w:hAnsi="Times New Roman"/>
          <w:sz w:val="20"/>
          <w:szCs w:val="20"/>
          <w:color w:val="auto"/>
        </w:rPr>
        <w:t>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28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internal information technology systems, or those of any of our CROs, manufacturers, other contractors or consultants, third-party service providers, or existing or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7"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w:t>
      </w:r>
    </w:p>
    <w:p>
      <w:pPr>
        <w:spacing w:after="0" w:line="19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third-party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w:t>
      </w:r>
    </w:p>
    <w:p>
      <w:pPr>
        <w:spacing w:after="0" w:line="202"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200"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auto"/>
        </w:rPr>
        <w:t>To the extent that any disruption or security breach were to result in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spacing w:after="0" w:line="20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Our remote workforce may create additional risks for our information technology systems and data because our employees work remotely and utilize network connections, computers, and devices working at home, while in transit and in public locations.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6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20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We rely on third-party service providers and technologies to operate critical business systems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ectPr>
          <w:pgSz w:w="12960" w:h="17280" w:orient="portrait"/>
          <w:cols w:equalWidth="0" w:num="1">
            <w:col w:w="10520"/>
          </w:cols>
          <w:pgMar w:left="1360" w:top="1420" w:right="1080" w:bottom="895" w:gutter="0" w:footer="0" w:header="0"/>
        </w:sect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960" w:h="17280" w:orient="portrait"/>
          <w:cols w:equalWidth="0" w:num="1">
            <w:col w:w="10520"/>
          </w:cols>
          <w:pgMar w:left="1360" w:top="1420" w:right="1080" w:bottom="895" w:gutter="0" w:footer="0" w:header="0"/>
          <w:type w:val="continuous"/>
        </w:sectPr>
      </w:pPr>
    </w:p>
    <w:bookmarkStart w:id="57" w:name="page58"/>
    <w:bookmarkEnd w:id="57"/>
    <w:p>
      <w:pPr>
        <w:ind w:right="220" w:firstLine="490"/>
        <w:spacing w:after="0" w:line="245" w:lineRule="auto"/>
        <w:rPr>
          <w:sz w:val="20"/>
          <w:szCs w:val="20"/>
          <w:color w:val="auto"/>
        </w:rPr>
      </w:pPr>
      <w:r>
        <w:rPr>
          <w:rFonts w:ascii="Times New Roman" w:cs="Times New Roman" w:eastAsia="Times New Roman" w:hAnsi="Times New Roman"/>
          <w:sz w:val="20"/>
          <w:szCs w:val="20"/>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stakeholders (including investors and potential customers) to stop supporting our platform, deter new customers from products, and negatively impact our ability to grow and operate our business.</w:t>
      </w:r>
    </w:p>
    <w:p>
      <w:pPr>
        <w:spacing w:after="0" w:line="20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31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74" w:lineRule="exact"/>
        <w:rPr>
          <w:sz w:val="20"/>
          <w:szCs w:val="20"/>
          <w:color w:val="auto"/>
        </w:rPr>
      </w:pPr>
    </w:p>
    <w:p>
      <w:pPr>
        <w:ind w:right="200" w:firstLine="490"/>
        <w:spacing w:after="0" w:line="245" w:lineRule="auto"/>
        <w:rPr>
          <w:sz w:val="20"/>
          <w:szCs w:val="20"/>
          <w:color w:val="auto"/>
        </w:rPr>
      </w:pPr>
      <w:r>
        <w:rPr>
          <w:rFonts w:ascii="Times New Roman" w:cs="Times New Roman" w:eastAsia="Times New Roman" w:hAnsi="Times New Roman"/>
          <w:sz w:val="20"/>
          <w:szCs w:val="20"/>
          <w:color w:val="auto"/>
        </w:rPr>
        <w:t>We, and third parties we work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In addition, we are and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255"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9"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adverse legislative or regulatory tax changes that could negatively impact our financial condition.</w:t>
      </w:r>
    </w:p>
    <w:p>
      <w:pPr>
        <w:spacing w:after="0" w:line="120"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The rules governing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w:t>
      </w:r>
    </w:p>
    <w:p>
      <w:pPr>
        <w:spacing w:after="0" w:line="20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For example, the United States enacted the Inflation Reduction Act of 2022,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fifteen years for research activities conducted outside the United States. July 4, 2025, the U.S. Congress enacted the One Big Beautiful Bill Act, which includes a provision restoring the immediate deductibility of domestic research and development expenditures. The impact of this newly enacted law on our tax position will depend on how the provision is implemented and interpreted by the IRS and other regulatory authorities. In addition, we have no assurance as to whether, when and how this provision may be subject to further amendment or repeal. Such changes, among others, may adversely affect our effective tax rate, results of operation and financial condition.</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960" w:h="17280" w:orient="portrait"/>
          <w:cols w:equalWidth="0" w:num="1">
            <w:col w:w="10520"/>
          </w:cols>
          <w:pgMar w:left="1360" w:top="1420" w:right="1080" w:bottom="895" w:gutter="0" w:footer="0" w:header="0"/>
          <w:type w:val="continuous"/>
        </w:sectPr>
      </w:pPr>
    </w:p>
    <w:bookmarkStart w:id="58" w:name="page59"/>
    <w:bookmarkEnd w:id="58"/>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acquire businesses, product candidates or products, or form strategic alliances, in the future, and may not realize the benefits of such acquisitions.</w:t>
      </w:r>
    </w:p>
    <w:p>
      <w:pPr>
        <w:spacing w:after="0" w:line="49"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We may acquire additional businesses or products, form strategic alliances, or create joint ventures with third parties that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spacing w:after="0" w:line="32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maintain our cash at financial institutions, often in balances that exceed federally-insured limits. The failure of financial institutions could adversely affect our ability to pay our operational expenses or make other payments.</w:t>
      </w:r>
    </w:p>
    <w:p>
      <w:pPr>
        <w:spacing w:after="0" w:line="49"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Our cash held in non-interest-bearing and interest-bearing accounts exceeds the Federal Deposit Insurance Corporation (“FDIC”) insurance limits. If such banking institutions were to fail, we could lose all or a portion of those amounts held in excess of such insurance limitations. For example, the FDIC took control of Silicon Valley Bank in March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12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intellectual property portfolio is at an early stage. Therefore, our ability to obtain and protect our patent rights, and protect other proprietary rights, is uncertain, exposing us to the possible loss of competitive advantage.</w:t>
      </w:r>
    </w:p>
    <w:p>
      <w:pPr>
        <w:spacing w:after="0" w:line="49"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auto"/>
        </w:rPr>
        <w:t>We will rely upon a combination of patents, trademarks, trade secret protection, copyrights and confidentiality agreements, licenses and the Paragon Option Agreement to protect the intellectual property related to our programs and technologies and to prevent third parties from competing unfairly with us. Our success depends in large part on our ability to obtain and maintain patent protection for our product candidates and their uses, as well as our ability to operate without infringing on or violating the proprietary rights of others. We do not currently own or license any patents with respect to DMR-001, DMR-002, DMR-003. Paragon has filed patent applications directed to anti-mutCALR monoclonal antibodies, including applications covering composition of matter, pharmaceutical formulations, and methods of using such antibodies, including DMR-001, which we have the option to license pursuant to the Paragon Option Agreement. In the future, we expect to prosecute underlying intellectual property for DMR-001, DMR-002, DMR-003, and some or all of the in-licensed or owned product candidates that we develop.</w:t>
      </w:r>
    </w:p>
    <w:p>
      <w:pPr>
        <w:spacing w:after="0" w:line="20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We may not be able to obtain or protect our intellectual property rights throughout the world and the legal systems in certain countries may not favor enforcement or protection of at least certain patents, trade secrets or other intellectual property. Filing, prosecuting, maintaining and defending patents on product candidates and other related inventions worldwide would be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or our licensor files patent applications to obtain such rights. Our competitors may operate in countries where we do not have patent protection and may be able to freely use our technologies and discoveries in such countries, at least to the extent not forbidden by law.</w:t>
      </w:r>
    </w:p>
    <w:p>
      <w:pPr>
        <w:spacing w:after="0" w:line="202"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Our intellectual property portfolio is at an early stage. Except as described above, we do not currently own or license any issued patents or pending patent applications. Our future optioned, in-licensed or owned patent applications may not result in patents being issued. Any issued patents may not afford sufficient protection of our product candidates or their intended uses against competitors, nor can there be any assurance that the patents issued will not be infringed, designed around, or invalidated by third parties, or effectively prevent others from commercializing competitive technologies, products or product candidates. Even if these patents are granted, they may be difficult to enforce. Further, any issued patents that we may license or own covering our product candidates could be narrowed or found invalid or unenforceable if challenged in court or before administrative bodies in the United States or abroad, including the USPTO. If we do not obtain patent coverage for the work we are conducting, or if we obtain such rights but they are invalidated or rendered unenforceable, we may be unable to exclude competitors from pursuing and marketing the same or similar product candidates. Other risks we face if we are not able to obtain and maintain patent coverage for our product candidates are the reduction in valuation of our product candidates, and ultimately of us as a company, by potential investors, and our inability to assert claims for infringement against third parties or counterclaim against such third parties or negotiate more advantageous settlement parameters. Further, if we encounter delays in our clinical trials or delays in obtaining regulatory approval, the period of time during which we could market our product candidates under patent protection would be</w:t>
      </w:r>
    </w:p>
    <w:p>
      <w:pPr>
        <w:sectPr>
          <w:pgSz w:w="12960" w:h="17280" w:orient="portrait"/>
          <w:cols w:equalWidth="0" w:num="1">
            <w:col w:w="10500"/>
          </w:cols>
          <w:pgMar w:left="1360" w:top="1420" w:right="1100" w:bottom="895" w:gutter="0" w:footer="0" w:header="0"/>
        </w:sect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2960" w:h="17280" w:orient="portrait"/>
          <w:cols w:equalWidth="0" w:num="1">
            <w:col w:w="10500"/>
          </w:cols>
          <w:pgMar w:left="1360" w:top="1420" w:right="1100" w:bottom="895" w:gutter="0" w:footer="0" w:header="0"/>
          <w:type w:val="continuous"/>
        </w:sectPr>
      </w:pPr>
    </w:p>
    <w:bookmarkStart w:id="59" w:name="page60"/>
    <w:bookmarkEnd w:id="59"/>
    <w:p>
      <w:pPr>
        <w:ind w:right="680"/>
        <w:spacing w:after="0" w:line="277" w:lineRule="auto"/>
        <w:rPr>
          <w:sz w:val="20"/>
          <w:szCs w:val="20"/>
          <w:color w:val="auto"/>
        </w:rPr>
      </w:pPr>
      <w:r>
        <w:rPr>
          <w:rFonts w:ascii="Times New Roman" w:cs="Times New Roman" w:eastAsia="Times New Roman" w:hAnsi="Times New Roman"/>
          <w:sz w:val="20"/>
          <w:szCs w:val="20"/>
          <w:color w:val="auto"/>
        </w:rPr>
        <w:t>reduced. Thus, the patents that we may own or license may not afford us any meaningful exclusivity period or competitive advantage.</w:t>
      </w:r>
    </w:p>
    <w:p>
      <w:pPr>
        <w:spacing w:after="0" w:line="169"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In addition to seeking patents for some of our technology and product candidates,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we undertake reasonable efforts to protect our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spacing w:after="0" w:line="210"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auto"/>
        </w:rPr>
        <w:t>Lastly, if our trademarks and trade names are not registered or adequately protected, then we may not be able to build name recognition in our markets of interest and our business may be adversely affected.</w:t>
      </w:r>
    </w:p>
    <w:p>
      <w:pPr>
        <w:spacing w:after="0" w:line="2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or maintain necessary rights to our programs through acquisitions and in-licenses, our business may be materially harmed.</w:t>
      </w:r>
    </w:p>
    <w:p>
      <w:pPr>
        <w:spacing w:after="0" w:line="49"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Because our research programs currently do and may in the future require the use of proprietary rights held by third parties, the growth of our business will depend in part on our ability to acquire, in -license, or use these third-party proprietary rights. We may be unable to acquire or in-license any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intellectual property rights we obtain in the future, we may have to abandon development of the relevant program, which could have a material adverse effect on our business, financial condition, results of operations, and prospects.</w:t>
      </w:r>
    </w:p>
    <w:p>
      <w:pPr>
        <w:spacing w:after="0" w:line="20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While we have the right to control prosecution, defense, maintenance and enforcement of patents in-licensed under the Paragon License Agreements once the trigger for transfer of prosecution control is met, there may be times when rights for patents and patent applications relating to our product candidates are controlled by our future licensors or collaboration partners. For example, Paragon currently has the right to file patent applications and control prosecution with respect to any other inventions that may fall within the Paragon Option Agreement, including those that may apply to DMR-001, DMR-002 and DMR-003. If we, Paragon or any of our future licensors or collaboration partners fail to prosecute, defend, maintain and enforce such patents and patent applications in a manner consistent with our best interests,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if we have the right to control prosecution of patents and patent applications we have licensed to and from third parties, including under future license agreements with Paragon following the point at which such control is assumed, we may still be adversely affected or prejudiced by actions or inactions of Paragon, additional licensees, or licensors and their counsel prior to the date upon which we assume control over patent prosecution. For example, Paragon is responsible for the prosecution, defense, maintenance and enforcement of patents related to DMR-001, DMR-002 and DMR-003. Subsequent to entering into such license agreements, we expect to control patent prosecution over DMR-001, DMR-002 and DMR-003 following the trigger for transfer of prosecution control for the applicable program to us.</w:t>
      </w:r>
    </w:p>
    <w:p>
      <w:pPr>
        <w:spacing w:after="0" w:line="210"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auto"/>
        </w:rPr>
        <w:t>Our future licensors may not be the sole and exclusive owners of all rights in the patents we may in-license. If other third parties have rights to our future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ectPr>
          <w:pgSz w:w="12960" w:h="17280" w:orient="portrait"/>
          <w:cols w:equalWidth="0" w:num="1">
            <w:col w:w="10500"/>
          </w:cols>
          <w:pgMar w:left="1360" w:top="1420" w:right="1100" w:bottom="895"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ectPr>
          <w:pgSz w:w="12960" w:h="17280" w:orient="portrait"/>
          <w:cols w:equalWidth="0" w:num="1">
            <w:col w:w="10500"/>
          </w:cols>
          <w:pgMar w:left="1360" w:top="1420" w:right="1100" w:bottom="895" w:gutter="0" w:footer="0" w:header="0"/>
          <w:type w:val="continuous"/>
        </w:sectPr>
      </w:pPr>
    </w:p>
    <w:bookmarkStart w:id="60" w:name="page61"/>
    <w:bookmarkEnd w:id="60"/>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product candidates, manufacturing methods or future products or methods resulting in either an injunction prohibiting our manufacture or future sales, or, with respect to our future sales, an obligation on our part to pay royalties and/or other forms of compensation to third parties, which could be significant.</w:t>
      </w:r>
    </w:p>
    <w:p>
      <w:pPr>
        <w:spacing w:after="0" w:line="206"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Disputes may arise between us and our future licensors regarding intellectual property subject to a license agreement, including (but not limited to): the scope of rights granted under the license agreement and other interpretation-related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 how resulting from the joint creation or use of intellectual property by our future licensors and us and our partners; and the priority of invention of patented technology. If we or our future licensors breach the terms of our license agreements, such breach may have a material adverse effect on our business and the commercialization efforts for our programs.</w:t>
      </w:r>
    </w:p>
    <w:p>
      <w:pPr>
        <w:spacing w:after="0" w:line="32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intellectual property lawsuits or may need to file lawsuits to protect our intellectual property, which could result in substantial costs and liability and prevent us from commercializing our potential products.</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Because the intellectual property landscape in the biotechnology industry is rapidly evolving and interdisciplinary, it is difficult to conclusively assess our freedom to operate and guarantee that we can operate without infringing on or violating third-party rights. If certain of our product candidates are ultimately granted regulatory approval, patent rights held by third parties could be alleged to render one or more of our product candidates infringing. If a third party successfully brings a claim against us, and our rights are not held invalid or unenforceable, we may be required to pay substantial damages, be forced to abandon any affected product candidate and/or seek a license from the patent holder. In addition, any intellectual property claims (e.g., patent infringement or trade secret misappropriation) brought against us, whether or not successful, may cause us to incur significant legal expenses and divert the attention of our management and key personnel from other business concerns. We cannot be certain that future patents, if filed and issued, owned or licensed by us will not be challenged by others, whether in the course of litigation or in agencies like the USPTO.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w:t>
      </w:r>
    </w:p>
    <w:p>
      <w:pPr>
        <w:spacing w:after="0" w:line="206"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auto"/>
        </w:rPr>
        <w:t>Competitors may infringe or otherwise violate our future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20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Further, we may be required to protect our future patents, if filed and issued,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0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In addition, if our product candidates are found to infringe the intellectual property rights of third parties, these third parties may assert infringement claims against our future licensees or customers and other parties with whom we have business relationships and we may be required to indemnify those parties for any damages they suffer as a result of these claims, which may require us to initiate or defend protracted and costly litigation on behalf of licensees or other parties regardless of the merits of</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960" w:h="17280" w:orient="portrait"/>
          <w:cols w:equalWidth="0" w:num="1">
            <w:col w:w="10520"/>
          </w:cols>
          <w:pgMar w:left="1360" w:top="1420" w:right="1080" w:bottom="895" w:gutter="0" w:footer="0" w:header="0"/>
          <w:type w:val="continuous"/>
        </w:sectPr>
      </w:pPr>
    </w:p>
    <w:bookmarkStart w:id="61" w:name="page62"/>
    <w:bookmarkEnd w:id="61"/>
    <w:p>
      <w:pPr>
        <w:ind w:right="360"/>
        <w:spacing w:after="0" w:line="277" w:lineRule="auto"/>
        <w:rPr>
          <w:sz w:val="20"/>
          <w:szCs w:val="20"/>
          <w:color w:val="auto"/>
        </w:rPr>
      </w:pPr>
      <w:r>
        <w:rPr>
          <w:rFonts w:ascii="Times New Roman" w:cs="Times New Roman" w:eastAsia="Times New Roman" w:hAnsi="Times New Roman"/>
          <w:sz w:val="20"/>
          <w:szCs w:val="20"/>
          <w:color w:val="auto"/>
        </w:rPr>
        <w:t>such claims. If any of these claims succeed, we may be forced to pay damages on behalf of those parties or may be required to obtain licenses for the products they use.</w:t>
      </w:r>
    </w:p>
    <w:p>
      <w:pPr>
        <w:spacing w:after="0" w:line="16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308"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success will depend in part on our and our current and future licensors’ ability to obtain, maintain and enforce patent protection for our licensed intellectual property.</w:t>
      </w:r>
    </w:p>
    <w:p>
      <w:pPr>
        <w:spacing w:after="0" w:line="4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Our success will depend in part on our and our current and future licensors’ (including Paragon’s) ability to obtain, maintain and enforce patent protection for our licensed intellectual property. Currently, Paragon controls the prosecution, maintenance, enforcement and defense of DMR-001, DMR-002 and DMR-003. After entry into license agreements with Paragon for DMR-001, DMR-002 and DMR-003, and once the trigger for transfer of prosecution control is met, we expect to hold such rights. We, Paragon and our future licensors may not successfully prosecute the patent applications that cover our product candidates. Even if patents are issued in respect of these patent applications, we and our future licensors (including Paragon) may fail to maintain these patents, may determine not to pursue litigation against other companies that are infringing these patents, or may pursue such litigation less aggressively than we would. Without protection for any in-licensed intellectual property, other companies might be able to offer substantially identical products for sale, which could adversely affect our competitive business position and harm our business prospects.</w:t>
      </w:r>
    </w:p>
    <w:p>
      <w:pPr>
        <w:spacing w:after="0" w:line="32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As is common in the biotechnology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w:t>
      </w:r>
    </w:p>
    <w:p>
      <w:pPr>
        <w:spacing w:after="0" w:line="20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While we may litigate to defend against these claims, even if we are successful, litigation could result in substantial costs and could be a distraction to management and other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spacing w:after="0" w:line="322"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to patent laws in the United States and other jurisdictions could diminish the value of patents in general, thereby impairing our ability to protect our products.</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Changes in either the patent laws or interpretation of patent laws in the United States, including patent reform legislation such as the Leahy-Smith America Invents Act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increased</w:t>
      </w:r>
    </w:p>
    <w:p>
      <w:pPr>
        <w:sectPr>
          <w:pgSz w:w="12960" w:h="17280" w:orient="portrait"/>
          <w:cols w:equalWidth="0" w:num="1">
            <w:col w:w="10480"/>
          </w:cols>
          <w:pgMar w:left="1360" w:top="1420" w:right="1120" w:bottom="895" w:gutter="0" w:footer="0" w:header="0"/>
        </w:sect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56</w:t>
      </w:r>
    </w:p>
    <w:p>
      <w:pPr>
        <w:sectPr>
          <w:pgSz w:w="12960" w:h="17280" w:orient="portrait"/>
          <w:cols w:equalWidth="0" w:num="1">
            <w:col w:w="10480"/>
          </w:cols>
          <w:pgMar w:left="1360" w:top="1420" w:right="1120" w:bottom="895" w:gutter="0" w:footer="0" w:header="0"/>
          <w:type w:val="continuous"/>
        </w:sectPr>
      </w:pPr>
    </w:p>
    <w:bookmarkStart w:id="62" w:name="page63"/>
    <w:bookmarkEnd w:id="62"/>
    <w:p>
      <w:pPr>
        <w:ind w:right="140"/>
        <w:spacing w:after="0" w:line="252" w:lineRule="auto"/>
        <w:rPr>
          <w:sz w:val="20"/>
          <w:szCs w:val="20"/>
          <w:color w:val="auto"/>
        </w:rPr>
      </w:pPr>
      <w:r>
        <w:rPr>
          <w:rFonts w:ascii="Times New Roman" w:cs="Times New Roman" w:eastAsia="Times New Roman" w:hAnsi="Times New Roman"/>
          <w:sz w:val="20"/>
          <w:szCs w:val="20"/>
          <w:color w:val="auto"/>
        </w:rPr>
        <w:t>the uncertainties and costs surrounding the prosecution of our patent applications and the enforcement or defense of our issued patents, all of which could have a material adverse effect on our business, financial condition, results of operations and prospects. Additionally, there have been proposals for additional changes to the patent laws of the United States and other countries that, if adopted, could impact our ability to enforce our proprietary technology.</w:t>
      </w:r>
    </w:p>
    <w:p>
      <w:pPr>
        <w:spacing w:after="0" w:line="19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 xml:space="preserve">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w:t>
      </w:r>
      <w:r>
        <w:rPr>
          <w:rFonts w:ascii="Times New Roman" w:cs="Times New Roman" w:eastAsia="Times New Roman" w:hAnsi="Times New Roman"/>
          <w:sz w:val="20"/>
          <w:szCs w:val="20"/>
          <w:i w:val="1"/>
          <w:iCs w:val="1"/>
          <w:color w:val="auto"/>
        </w:rPr>
        <w:t>Amgen, Inc. v. Sanofi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Amgen</w:t>
      </w:r>
      <w:r>
        <w:rPr>
          <w:rFonts w:ascii="Times New Roman" w:cs="Times New Roman" w:eastAsia="Times New Roman" w:hAnsi="Times New Roman"/>
          <w:sz w:val="20"/>
          <w:szCs w:val="20"/>
          <w:color w:val="auto"/>
        </w:rPr>
        <w:t xml:space="preserve">”) recently held that Amgen’s patent claims to a class of antibodies functionally defined by their ability to bind a particular antigen were invalid for lack of enablement where the patent specification provided 26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as broad as Amgen’s directed to antibodies functionally defined by their ability to bind a particular antigen. Even if we are granted claims directed to functionally defined antibodies, it is possible that a third party may challenge our patents, when issued, relying on the reasoning in </w:t>
      </w:r>
      <w:r>
        <w:rPr>
          <w:rFonts w:ascii="Times New Roman" w:cs="Times New Roman" w:eastAsia="Times New Roman" w:hAnsi="Times New Roman"/>
          <w:sz w:val="20"/>
          <w:szCs w:val="20"/>
          <w:i w:val="1"/>
          <w:iCs w:val="1"/>
          <w:color w:val="auto"/>
        </w:rPr>
        <w:t>Amgen</w:t>
      </w:r>
      <w:r>
        <w:rPr>
          <w:rFonts w:ascii="Times New Roman" w:cs="Times New Roman" w:eastAsia="Times New Roman" w:hAnsi="Times New Roman"/>
          <w:sz w:val="20"/>
          <w:szCs w:val="20"/>
          <w:color w:val="auto"/>
        </w:rPr>
        <w:t xml:space="preserve"> or other precedential court decisions.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212"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 Geopolitical instability in the United States and in foreign countries could increase the uncertainties and costs surrounding the prosecution or maintenance of patent applications and the maintenance, enforcement or defense of issued patents. In addition, the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w:t>
      </w:r>
    </w:p>
    <w:p>
      <w:pPr>
        <w:spacing w:after="0" w:line="202"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Although we do not currently own any European patents or applications, if we obtain or license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spacing w:after="0" w:line="322" w:lineRule="exact"/>
        <w:rPr>
          <w:sz w:val="20"/>
          <w:szCs w:val="20"/>
          <w:color w:val="auto"/>
        </w:rPr>
      </w:pPr>
    </w:p>
    <w:p>
      <w:pPr>
        <w:jc w:val="both"/>
        <w:ind w:right="4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68"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any future patents and patent applications, if filed and issued, covering our product candidates, our competitive position would be adversely affected.</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960" w:h="17280" w:orient="portrait"/>
          <w:cols w:equalWidth="0" w:num="1">
            <w:col w:w="10520"/>
          </w:cols>
          <w:pgMar w:left="1360" w:top="1420" w:right="1080" w:bottom="895" w:gutter="0" w:footer="0" w:header="0"/>
          <w:type w:val="continuous"/>
        </w:sectPr>
      </w:pPr>
    </w:p>
    <w:bookmarkStart w:id="63" w:name="page64"/>
    <w:bookmarkEnd w:id="63"/>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4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the patent’s prosecution history and in some cases certain extrinsic evidence of the meaning of terms in a claim.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202"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future issued patents or our pending applications, if filed, or that we were the first to invent the technology. Our competitors may have filed, and may in the future file, patent applications covering our products or technology similar to ours. Any such patent application may have priority over our future patent applications or patents, if filed and issued, which could require us to obtain rights to issued patents covering such technologies.</w:t>
      </w:r>
    </w:p>
    <w:p>
      <w:pPr>
        <w:spacing w:after="0" w:line="320"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become subject to claims challenging the inventorship or ownership of our patents, if issued, and other intellectual property.</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may be subject to claims that former employees, collaborators or other third parties have an interest in our future patents, if filed and issued,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69"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Our current or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of our product candidates for an adequate amount of time.</w:t>
      </w:r>
    </w:p>
    <w:p>
      <w:pPr>
        <w:spacing w:after="0" w:line="12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Patents have a limited lifespan. In the United States, if all maintenance fees are timely paid, the natural expiration of a patent is generally 20 years from our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technology licensed from various third parties may be subject to retained rights.</w:t>
      </w:r>
    </w:p>
    <w:p>
      <w:pPr>
        <w:spacing w:after="0" w:line="120" w:lineRule="exact"/>
        <w:rPr>
          <w:sz w:val="20"/>
          <w:szCs w:val="20"/>
          <w:color w:val="auto"/>
        </w:rPr>
      </w:pPr>
    </w:p>
    <w:p>
      <w:pPr>
        <w:jc w:val="both"/>
        <w:ind w:right="120" w:firstLine="490"/>
        <w:spacing w:after="0" w:line="258" w:lineRule="auto"/>
        <w:rPr>
          <w:sz w:val="20"/>
          <w:szCs w:val="20"/>
          <w:color w:val="auto"/>
        </w:rPr>
      </w:pPr>
      <w:r>
        <w:rPr>
          <w:rFonts w:ascii="Times New Roman" w:cs="Times New Roman" w:eastAsia="Times New Roman" w:hAnsi="Times New Roman"/>
          <w:sz w:val="20"/>
          <w:szCs w:val="20"/>
          <w:color w:val="auto"/>
        </w:rPr>
        <w:t>Our future licensors may retain certain rights under the relevant agreements with us, including the right to use or license the licensed technology outside of the scope of our license, use the underlying technology for noncommercial academic and research use, to publish general scientific findings from research related to the technology, and to make customary scientific and scholarly</w:t>
      </w:r>
    </w:p>
    <w:p>
      <w:pPr>
        <w:sectPr>
          <w:pgSz w:w="12960" w:h="17280" w:orient="portrait"/>
          <w:cols w:equalWidth="0" w:num="1">
            <w:col w:w="10520"/>
          </w:cols>
          <w:pgMar w:left="1360" w:top="1420" w:right="1080" w:bottom="895"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960" w:h="17280" w:orient="portrait"/>
          <w:cols w:equalWidth="0" w:num="1">
            <w:col w:w="10520"/>
          </w:cols>
          <w:pgMar w:left="1360" w:top="1420" w:right="1080" w:bottom="895" w:gutter="0" w:footer="0" w:header="0"/>
          <w:type w:val="continuous"/>
        </w:sectPr>
      </w:pPr>
    </w:p>
    <w:bookmarkStart w:id="64" w:name="page65"/>
    <w:bookmarkEnd w:id="64"/>
    <w:p>
      <w:pPr>
        <w:spacing w:after="0" w:line="247" w:lineRule="auto"/>
        <w:rPr>
          <w:sz w:val="20"/>
          <w:szCs w:val="20"/>
          <w:color w:val="auto"/>
        </w:rPr>
      </w:pPr>
      <w:r>
        <w:rPr>
          <w:rFonts w:ascii="Times New Roman" w:cs="Times New Roman" w:eastAsia="Times New Roman" w:hAnsi="Times New Roman"/>
          <w:sz w:val="20"/>
          <w:szCs w:val="20"/>
          <w:color w:val="auto"/>
        </w:rPr>
        <w:t>disclosures of information relating to the technology. It is difficult to monitor whether our licensors limit their use of the technology to these uses, and we could incur substantial expenses to enforce our rights to our licensed technology in the event of misuse. In addition, while there are certain restrictions on Paragon’s ability to develop products that could be competitive with ours, these restrictions may not prevent the possible future license or development by Paragon of certain technology that could lead to product candidates competitive with ours. This could have a material adverse effect on our competitive position, business, financial condition, results of operations, and prospects.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124"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74"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DMR-001, DMR-002 and DMR-003, we must demonstrate through lengthy, complex and expensive preclinical studies and clinical trials that our product candidates are both safe and effective for each targeted indication. Securing regulatory approval also requires the submission of information about the drug manufacturing process to, and inspection of manufacturing facilities by, the relevant regulatory authority. Further, our product candidates may not be effective, may be only moderately effective, may prove to have undesirable or unintended side effects, toxicities or other characteristics, or may fail to improve on the applicable standard of care, any of which may preclude our obtaining regulatory approval. The FDA and comparable foreign regulatory authorities have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FDA or comparable foreign regulatory authorities may disagree with the design or implementation of our clinical trials; we may be unable to demonstrate to the satisfaction of the FDA or comparable foreign regulatory authorities that a product candidate is safe and effective for our proposed indication; the results of clinical trials may not meet the level of statistical significance required by the FDA or comparable foreign regulatory authorities for approval; serious and unexpected drug-related side effects may be experienced by participants in our clinical trials or by individuals using drugs similar to our product candidates; we may be unable to demonstrate that a product candidate’s clinical and other benefits outweigh our safety risks; the FDA or comparable foreign regulatory authorities may disagree with our interpretation of data from preclinical studies or clinical trials; the data collected from clinical trials of our product candidates may not be acceptable or sufficient to support the submission of a BLA or other submission or to obtain regulatory approval in the United States or elsewhere, and we may be required to conduct additional clinical trials; the FDA or the applicable foreign regulatory authority may disagree regarding the formulation, labeling and/or the specifications of our product candidates; the FDA or comparable foreign regulatory authorities may fail to approve the manufacturing processes or facilities of third-party manufacturers with which we contract for clinical and commercial supplies; and the approval policies or regulations of the FDA or comparable foreign regulatory authorities may significantly change in a manner rendering our clinical data insufficient for approval.</w:t>
      </w:r>
    </w:p>
    <w:p>
      <w:pPr>
        <w:spacing w:after="0" w:line="214"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Of the large number of drugs in development, only a small percentage successfully complete the FDA or applicable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9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this could have a material adverse effect on our competitive position, business, financial condition, results of operations, and prospects. In addition, the FDA and foreign regulatory authorities may undergo leadership changes, change their policies, issue additional regulations or revise existing regulations, or take other actions, which may impact our clinical development plans or prevent or delay approval of our product candidates under development on a timely basis. Such policy or regulatory changes could impose additional requirements upon us that could delay our ability to obtain approvals and increase the costs of compliance. It is difficult to predict how executive actions that may be taken under the current administration may affect the FDA’s ability to exercise its regulatory authority. If any actions impose constraints on the FDA’s</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960" w:h="17280" w:orient="portrait"/>
          <w:cols w:equalWidth="0" w:num="1">
            <w:col w:w="10520"/>
          </w:cols>
          <w:pgMar w:left="1360" w:top="1420" w:right="1080" w:bottom="895" w:gutter="0" w:footer="0" w:header="0"/>
          <w:type w:val="continuous"/>
        </w:sectPr>
      </w:pPr>
    </w:p>
    <w:bookmarkStart w:id="65" w:name="page66"/>
    <w:bookmarkEnd w:id="65"/>
    <w:p>
      <w:pPr>
        <w:jc w:val="both"/>
        <w:ind w:right="40"/>
        <w:spacing w:after="0" w:line="258" w:lineRule="auto"/>
        <w:rPr>
          <w:sz w:val="20"/>
          <w:szCs w:val="20"/>
          <w:color w:val="auto"/>
        </w:rPr>
      </w:pPr>
      <w:r>
        <w:rPr>
          <w:rFonts w:ascii="Times New Roman" w:cs="Times New Roman" w:eastAsia="Times New Roman" w:hAnsi="Times New Roman"/>
          <w:sz w:val="20"/>
          <w:szCs w:val="20"/>
          <w:color w:val="auto"/>
        </w:rPr>
        <w:t>ability to engage in routine oversight and product review activities in the normal course, our business may be negatively impacted. Additionally, federal government could adopt legislation, regulations or policies that adversely affect our business or create a more challenging and costly environment to pursue the development, approval and commercialization of our product candidates.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meet requirements for the chemistry, manufacturing and control of our product candidates.</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In order to receive approval of our products by the FDA and comparable foreign regulatory authorities, we must show that we and our contract manufacturing partners are able to characterize, control and manufacture our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our drug products meet stability requirements. Meeting these chemistry, manufacturing and control requirements is a complex task that requires specialized expertise. If we are not able to meet the chemistry, manufacturing and control requirements, we may not be successful in getting our products approved.</w:t>
      </w:r>
    </w:p>
    <w:p>
      <w:pPr>
        <w:spacing w:after="0" w:line="320"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for which we intend to seek approval as biologics may face competition from biosimilars sooner than anticipated.</w:t>
      </w:r>
    </w:p>
    <w:p>
      <w:pPr>
        <w:spacing w:after="0" w:line="49"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202"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We believe that any of our product candidates approved as biologics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w:t>
      </w:r>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8"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or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Comparable foreign regulatory authorities may impose similar requirements. In addition, if the FDA or comparable foreign regulatory authorities approve our product candidates,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cGMPs and GCPs for any clinical trials that we conduct following approval. In addition, manufacturers of drug products and their facilities are subject to continual review and periodic, unannounced inspections by the FDA and other regulatory authorities for compliance with cGMPs. If we or a regulatory authority discovers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delays or restrictions on our ability to conduct clinical trials or delays or refusal to grant a marketing authorization, including full or partial clinical holds on ongoing or planned trials, restrictions on the manufacturing process, warning or untitled letters, civil and criminal penalties, injunctions, product seizures, detentions or import bans, suspension, withdrawal or variation of any marketing authorization that has been granted, voluntary or mandatory publicity requirements and imposition of restrictions on operations, including costly new manufacturing requirements. Similar penalties may apply in case of failure by us or by any of our third-party partners, including suppliers, manufacturers and distributors, to comply with FDA and EU laws and the related national laws of individual EU Member States and other applicable regulatory authorities governing the conduct of clinical trials, manufacturing approval, marketing authorization of medicinal products and marketing of</w:t>
      </w:r>
    </w:p>
    <w:p>
      <w:pPr>
        <w:sectPr>
          <w:pgSz w:w="12960" w:h="17280" w:orient="portrait"/>
          <w:cols w:equalWidth="0" w:num="1">
            <w:col w:w="10520"/>
          </w:cols>
          <w:pgMar w:left="1360" w:top="1420" w:right="1080" w:bottom="895" w:gutter="0" w:footer="0" w:header="0"/>
        </w:sect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960" w:h="17280" w:orient="portrait"/>
          <w:cols w:equalWidth="0" w:num="1">
            <w:col w:w="10520"/>
          </w:cols>
          <w:pgMar w:left="1360" w:top="1420" w:right="1080" w:bottom="895" w:gutter="0" w:footer="0" w:header="0"/>
          <w:type w:val="continuous"/>
        </w:sectPr>
      </w:pPr>
    </w:p>
    <w:bookmarkStart w:id="66" w:name="page67"/>
    <w:bookmarkEnd w:id="66"/>
    <w:p>
      <w:pPr>
        <w:spacing w:after="0" w:line="252" w:lineRule="auto"/>
        <w:rPr>
          <w:sz w:val="20"/>
          <w:szCs w:val="20"/>
          <w:color w:val="auto"/>
        </w:rPr>
      </w:pPr>
      <w:r>
        <w:rPr>
          <w:rFonts w:ascii="Times New Roman" w:cs="Times New Roman" w:eastAsia="Times New Roman" w:hAnsi="Times New Roman"/>
          <w:sz w:val="20"/>
          <w:szCs w:val="20"/>
          <w:color w:val="auto"/>
        </w:rPr>
        <w:t>such products, both before and after grant of a marketing authorization, statutory health insurance, bribery and anti-corruption or other applicable regulatory requirements, including administrative, civil or criminal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31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The ability of the FDA to review regulatory filings and our ability to commence human clinical trials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9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Disruptions at the FDA and other agencies or comparable foreign regulatory authorities may also slow the time necessary for the review and approval of applications for clinical trial or marketing authorization, which would adversely affect our business. For example, in recent years, including for 43 days beginning on October 1, 2025, the U.S. government shut down and certain regulatory agencies, such as the FDA and the SEC, had to furlough critical employees and stop critical activities. Actions to limit federal agency budgets or personnel may result in reductions to the FDA’s budget, employees, and operations, which may lead to slower response times and longer review periods, potentially affecting our ability to progress development of our product candidates or obtain regulatory approval for our product candidates.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2"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face difficulties from healthcare and regulatory legislative reform measures.</w:t>
      </w:r>
    </w:p>
    <w:p>
      <w:pPr>
        <w:spacing w:after="0" w:line="120"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253"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business operations and current and future arrangements with investigators, healthcare professionals, consultants, third-party payors, patient organizations and customers will be subject to applicable healthcare regulatory laws, which could expose us to penalties.</w:t>
      </w:r>
    </w:p>
    <w:p>
      <w:pPr>
        <w:spacing w:after="0" w:line="188" w:lineRule="exact"/>
        <w:rPr>
          <w:sz w:val="20"/>
          <w:szCs w:val="20"/>
          <w:color w:val="auto"/>
        </w:rPr>
      </w:pPr>
    </w:p>
    <w:p>
      <w:pPr>
        <w:jc w:val="both"/>
        <w:ind w:right="80" w:firstLine="490"/>
        <w:spacing w:after="0" w:line="252" w:lineRule="auto"/>
        <w:rPr>
          <w:sz w:val="20"/>
          <w:szCs w:val="20"/>
          <w:color w:val="auto"/>
        </w:rPr>
      </w:pPr>
      <w:r>
        <w:rPr>
          <w:rFonts w:ascii="Times New Roman" w:cs="Times New Roman" w:eastAsia="Times New Roman" w:hAnsi="Times New Roman"/>
          <w:sz w:val="20"/>
          <w:szCs w:val="20"/>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spacing w:after="0" w:line="19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us,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960" w:h="17280" w:orient="portrait"/>
          <w:cols w:equalWidth="0" w:num="1">
            <w:col w:w="10520"/>
          </w:cols>
          <w:pgMar w:left="1360" w:top="1420" w:right="1080" w:bottom="895" w:gutter="0" w:footer="0" w:header="0"/>
          <w:type w:val="continuous"/>
        </w:sectPr>
      </w:pPr>
    </w:p>
    <w:bookmarkStart w:id="67" w:name="page68"/>
    <w:bookmarkEnd w:id="67"/>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we are able to commercialize any product candidates, due to unfavorable pricing regulations and/or third-party coverage and reimbursement policies, we may not be able to offer such product candidates at competitive prices, which would seriously harm our business.</w:t>
      </w:r>
    </w:p>
    <w:p>
      <w:pPr>
        <w:spacing w:after="0" w:line="6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Our ability to successfully commercialize any product candidates that we may develop will depend in part on the extent to which reimbursement for these product candidates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w:t>
      </w:r>
    </w:p>
    <w:p>
      <w:pPr>
        <w:spacing w:after="0" w:line="322"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68"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Governmental regulation of the import or export of our drug candidates, or our failure to obtain any required import or export authorization for our candidates, when applicable, could harm international operations. Furthermore, export control laws and economic sanctions prohibit the provision of certain items, technology, and services to countries, governments, and persons targeted by sanctions programs.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Governments outside the United States tend to impose strict price controls, which may adversely affect our revenue, if any.</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In some countries, particularly EU Member States, the pricing of prescription drugs is subject to governmental control. In these countries, pricing negotiations with governmental authorities can take considerable time after receipt of regulatory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we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w:t>
      </w:r>
    </w:p>
    <w:p>
      <w:pPr>
        <w:spacing w:after="0" w:line="323"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seek and are unable to obtain accelerated approval, the amount, size and duration of our clinical trials could be greater than planned, which could increase the expense, reduce the likelihood, and/or delay the timing of obtaining necessary</w:t>
      </w:r>
    </w:p>
    <w:p>
      <w:pPr>
        <w:sectPr>
          <w:pgSz w:w="12960" w:h="17280" w:orient="portrait"/>
          <w:cols w:equalWidth="0" w:num="1">
            <w:col w:w="10440"/>
          </w:cols>
          <w:pgMar w:left="1360" w:top="1420" w:right="116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62</w:t>
      </w:r>
    </w:p>
    <w:p>
      <w:pPr>
        <w:sectPr>
          <w:pgSz w:w="12960" w:h="17280" w:orient="portrait"/>
          <w:cols w:equalWidth="0" w:num="1">
            <w:col w:w="10440"/>
          </w:cols>
          <w:pgMar w:left="1360" w:top="1420" w:right="1160" w:bottom="895" w:gutter="0" w:footer="0" w:header="0"/>
          <w:type w:val="continuous"/>
        </w:sectPr>
      </w:pPr>
    </w:p>
    <w:bookmarkStart w:id="68" w:name="page69"/>
    <w:bookmarkEnd w:id="68"/>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regulatory approvals. Even if we receive accelerated approval, if confirmatory trials do not verify clinical benefit, or if we do not comply with rigorous post-approval requirements, such authorities may withdraw accelerated approval.</w:t>
      </w:r>
    </w:p>
    <w:p>
      <w:pPr>
        <w:spacing w:after="0" w:line="49"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We may seek accelerated approval, or other expedited development, review or approval status, for our product candidates. Even if granted, there is no guarantee that receiving an expedited development, review or approval status from the FDA will lead to a faster development or regulatory review or approval process, and such status does not increase the likelihood that our product candidates will ultimately receive marketing approval. The FDA may grant accelerated approval to a product designed to treat a serious or life-threatening condition that provides meaningful therapeutic advantage over available therapies and demonstrates an effect on a surrogate endpoint or intermediate clinical endpoint that is reasonably likely to predict clinical benefit. If we choose to pursue accelerated approval, there can be no assurance that the FDA will agree that our proposed primary endpoint is an appropriate surrogate endpoint. Similarly, there can be no assurance that after subsequent FDA feedback that we will continue to pursue accelerated approval or any other form of expedited development, review, or approval, even if we initially decide to do so. Furthermore, if we submit an application for accelerated approval, there can be no assurance that such application will be accepted or that approval will be granted on a timely basis, or at all. The FDA also could require us to conduct further studies or trials prior to considering our application or granting approval of any type. We might not be able to fulfill the FDA’s requirements in a timely manner, which would cause delays, or approval might not be granted because our submission is deemed incomplete by the FDA. Accelerated approval may be contingent on the sponsor’s agreement to conduct, in a diligent manner, additional post-approval confirmatory studies to verify and describe the drug’s predicted effect on irreversible morbidity or mortality or other clinical benefit. Under the Food and Drug Omnibus Reform Act of 2022, the FDA may require, as appropriate, that such studies be underway prior to approval or within a specific time period after the date of approval for a product granted accelerated approval. The FDA may require that any such confirmatory study be initiated or substantially underway prior to the submission of an application for accelerated approval. Even if we receive accelerated approval from the FDA, we will be subject to rigorous post-approval requirements, including submission to the FDA of all promotional materials prior to their dissemination. The FDA could withdraw accelerated approval for multiple reasons, including our failure to conduct any required post-approval study with due diligence, or the inability of such study to confirm the drug’s predicted clinical benefit relative to its risks. A failure to obtain accelerated approval or any other form of expedited review or approval for a product candidate could result in a longer time period prior to commercializing such product candidate, increase the cost of development of such product candidate, and harm our competitive position in the marketplace. Comparable considerations apply outside of the United States.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1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become exposed to costly and damaging liability claims, when testing a product candidate in the clinical stage or at the commercial stage, and our product liability insurance may not cover all damages from such claims.</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are exposed to potential product liability and professional indemnity risks that are inherent in the research, development, manufacturing, marketing and use of pharmaceutical products. While we currently have no products that have been dosed in humans or approved for commercial sale, the future use of a product candidate in clinical trials, and the sale of any approved products in the future, may expose us to liability claims. These claims may be made by patients that use the product or product candidate,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intend to obtain product liability insurance for our future clinical trials,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 costs and the outcome of litigation could have a material adverse effect on our business.</w:t>
      </w:r>
    </w:p>
    <w:p>
      <w:pPr>
        <w:spacing w:after="0" w:line="12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From time to time, we may be subject to litigation claims through the ordinary course of our business operations regarding, but not limited to, securities litigation, employment matters, security of patient and employee personal information, contractual relations with collaborators and licensors and intellectual property rights. Litigation to defend ourselves against claims by third parties, or to enforce any rights that we may have against third parties, could result in substantial costs and diversion of our resources, causing a material adverse effect on our business, financial condition, results of operations or cash flows.</w:t>
      </w:r>
    </w:p>
    <w:p>
      <w:pPr>
        <w:spacing w:after="0" w:line="31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adversely affected by economic downturns, inflation, fluctuating interest rates, natural disasters, public health crises, political crises, geopolitical events, or other macroeconomic conditions, which could have a material and adverse effect on our results of operations and financial condition.</w:t>
      </w:r>
    </w:p>
    <w:p>
      <w:pPr>
        <w:spacing w:after="0" w:line="68"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auto"/>
        </w:rPr>
        <w:t>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fluctuating interest rates, and uncertainty about economic stability. Adverse</w:t>
      </w:r>
    </w:p>
    <w:p>
      <w:pPr>
        <w:sectPr>
          <w:pgSz w:w="12960" w:h="17280" w:orient="portrait"/>
          <w:cols w:equalWidth="0" w:num="1">
            <w:col w:w="10480"/>
          </w:cols>
          <w:pgMar w:left="1360" w:top="1420" w:right="1120" w:bottom="895"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63</w:t>
      </w:r>
    </w:p>
    <w:p>
      <w:pPr>
        <w:sectPr>
          <w:pgSz w:w="12960" w:h="17280" w:orient="portrait"/>
          <w:cols w:equalWidth="0" w:num="1">
            <w:col w:w="10480"/>
          </w:cols>
          <w:pgMar w:left="1360" w:top="1420" w:right="1120" w:bottom="895" w:gutter="0" w:footer="0" w:header="0"/>
          <w:type w:val="continuous"/>
        </w:sectPr>
      </w:pPr>
    </w:p>
    <w:bookmarkStart w:id="69" w:name="page70"/>
    <w:bookmarkEnd w:id="69"/>
    <w:p>
      <w:pPr>
        <w:spacing w:after="0" w:line="241" w:lineRule="auto"/>
        <w:rPr>
          <w:sz w:val="20"/>
          <w:szCs w:val="20"/>
          <w:color w:val="auto"/>
        </w:rPr>
      </w:pPr>
      <w:r>
        <w:rPr>
          <w:rFonts w:ascii="Times New Roman" w:cs="Times New Roman" w:eastAsia="Times New Roman" w:hAnsi="Times New Roman"/>
          <w:sz w:val="20"/>
          <w:szCs w:val="20"/>
          <w:color w:val="auto"/>
        </w:rPr>
        <w:t>macroeconomic conditions, including inflation, slower growth or recession, new or increased tariffs imposed by the U.S. government and potential retaliatory measures by foreign governments and other barriers to trade, especially in light of recent comments and executive orders made by the Trump administration, changes to fiscal and monetary policy or government budget dynamics (particularly in the pharmaceutical and biotech areas), government shutdowns, tighter credit, higher interest rates, volatility in financial markets, high unemployment, labor availability constraints, currency fluctuations and other challenges in the global economy have in the past adversely affected, and may in the future adversely affect, we and our business partners and suppliers. For example, the COVID-19 pandemic resulted in widespread unemployment, economic slowdown and extreme volatility in the capital markets. In addition, the U.S. has imposed and taken action to pause, resume or adjust tariffs on imports from a number of countries. Since February 2025, the United States government has imposed various tariffs on imports from most countries, including tariffs on imports from China and South Korea. In September 2025, President Trump announced plans to impose 100% tariffs on imported branded or patented pharmaceuticals, unless the importing company is building U.S. manufacturing capacity. It is not yet clear whether these tariffs would apply to the importation of active pharmaceutical ingredients and possibly bulk drug products that are intended for use in clinical trials and not for commercial sale, which could increase the costs of materials for our clinical trials. There still remains substantial uncertainty about the duration of existing tariffs and whether additional tariffs may be imposed, modified or suspended. Historically, tariffs have led to increased trade and political tensions. In response to tariffs, other countries have implemented retaliatory tariffs on U.S. goods. Uncertainty and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 Federal Reserve has raised interest rates multiple times in recent years in response to concerns about inflation and it may raise them again. High interest rates, coupled with reduced government spending and volatility in financial markets, may increase economic uncertainty and affect consumer spending. Similarly, the ongoing military conflict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w:t>
      </w:r>
    </w:p>
    <w:p>
      <w:pPr>
        <w:spacing w:after="0" w:line="215"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Ownership of Our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common stock has been and is expected to continue to be volatile.</w:t>
      </w:r>
    </w:p>
    <w:p>
      <w:pPr>
        <w:spacing w:after="0" w:line="12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The market price of our common stock has been and is expected to continue to be subject to significant fluctuations. Some of the factors that may cause the market price of our common stock to fluctuate include:</w:t>
      </w:r>
    </w:p>
    <w:p>
      <w:pPr>
        <w:spacing w:after="0" w:line="49" w:lineRule="exact"/>
        <w:rPr>
          <w:sz w:val="20"/>
          <w:szCs w:val="20"/>
          <w:color w:val="auto"/>
        </w:rPr>
      </w:pPr>
    </w:p>
    <w:p>
      <w:pPr>
        <w:ind w:left="1100" w:right="160" w:hanging="358"/>
        <w:spacing w:after="0" w:line="277" w:lineRule="auto"/>
        <w:tabs>
          <w:tab w:leader="none" w:pos="11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clinical trials and preclinical studies of our product candidates, or those of our competitors or our existing or future collaborators;</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meet or exceed financial and development projections we may provide to the public;</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meet or exceed the financial and development projections of the investment community;</w:t>
      </w:r>
    </w:p>
    <w:p>
      <w:pPr>
        <w:spacing w:after="0" w:line="120" w:lineRule="exact"/>
        <w:rPr>
          <w:rFonts w:ascii="Times New Roman" w:cs="Times New Roman" w:eastAsia="Times New Roman" w:hAnsi="Times New Roman"/>
          <w:sz w:val="20"/>
          <w:szCs w:val="20"/>
          <w:color w:val="auto"/>
        </w:rPr>
      </w:pPr>
    </w:p>
    <w:p>
      <w:pPr>
        <w:ind w:left="1100" w:right="60" w:hanging="358"/>
        <w:spacing w:after="0" w:line="277" w:lineRule="auto"/>
        <w:tabs>
          <w:tab w:leader="none" w:pos="11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do not achieve the perceived benefits of our recent merger as rapidly or to the extent anticipated by financial or industry analysts;</w:t>
      </w:r>
    </w:p>
    <w:p>
      <w:pPr>
        <w:spacing w:after="0" w:line="49" w:lineRule="exact"/>
        <w:rPr>
          <w:rFonts w:ascii="Times New Roman" w:cs="Times New Roman" w:eastAsia="Times New Roman" w:hAnsi="Times New Roman"/>
          <w:sz w:val="20"/>
          <w:szCs w:val="20"/>
          <w:color w:val="auto"/>
        </w:rPr>
      </w:pPr>
    </w:p>
    <w:p>
      <w:pPr>
        <w:ind w:left="1100" w:right="260" w:hanging="358"/>
        <w:spacing w:after="0" w:line="277" w:lineRule="auto"/>
        <w:tabs>
          <w:tab w:leader="none" w:pos="11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significant acquisitions, strategic collaborations, joint ventures or capital commitments by us or our competitors;</w:t>
      </w:r>
    </w:p>
    <w:p>
      <w:pPr>
        <w:spacing w:after="0" w:line="49" w:lineRule="exact"/>
        <w:rPr>
          <w:rFonts w:ascii="Times New Roman" w:cs="Times New Roman" w:eastAsia="Times New Roman" w:hAnsi="Times New Roman"/>
          <w:sz w:val="20"/>
          <w:szCs w:val="20"/>
          <w:color w:val="auto"/>
        </w:rPr>
      </w:pPr>
    </w:p>
    <w:p>
      <w:pPr>
        <w:ind w:left="1100" w:right="180" w:hanging="358"/>
        <w:spacing w:after="0" w:line="277" w:lineRule="auto"/>
        <w:tabs>
          <w:tab w:leader="none" w:pos="11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taken by regulatory agencies with respect to our product candidates, clinical studies, manufacturing process or sales and marketing terms;</w:t>
      </w:r>
    </w:p>
    <w:p>
      <w:pPr>
        <w:spacing w:after="0" w:line="49" w:lineRule="exact"/>
        <w:rPr>
          <w:rFonts w:ascii="Times New Roman" w:cs="Times New Roman" w:eastAsia="Times New Roman" w:hAnsi="Times New Roman"/>
          <w:sz w:val="20"/>
          <w:szCs w:val="20"/>
          <w:color w:val="auto"/>
        </w:rPr>
      </w:pPr>
    </w:p>
    <w:p>
      <w:pPr>
        <w:ind w:left="1100" w:right="200" w:hanging="358"/>
        <w:spacing w:after="0" w:line="277" w:lineRule="auto"/>
        <w:tabs>
          <w:tab w:leader="none" w:pos="11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or other developments relating to proprietary rights, including patents, litigation matters, and our ability to obtain patent protection for our technologies;</w:t>
      </w:r>
    </w:p>
    <w:p>
      <w:pPr>
        <w:spacing w:after="0" w:line="42"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lawsuits, including patent or stockholder litigation;</w:t>
      </w:r>
    </w:p>
    <w:p>
      <w:pPr>
        <w:spacing w:after="0" w:line="120" w:lineRule="exact"/>
        <w:rPr>
          <w:rFonts w:ascii="Times New Roman" w:cs="Times New Roman" w:eastAsia="Times New Roman" w:hAnsi="Times New Roman"/>
          <w:sz w:val="20"/>
          <w:szCs w:val="20"/>
          <w:color w:val="auto"/>
        </w:rPr>
      </w:pPr>
    </w:p>
    <w:p>
      <w:pPr>
        <w:ind w:left="1100" w:right="440" w:hanging="358"/>
        <w:spacing w:after="0" w:line="277" w:lineRule="auto"/>
        <w:tabs>
          <w:tab w:leader="none" w:pos="11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securities or industry analysts do not publish research or reports about our business, or if they issue adverse or misleading opinions regarding our business and stock;</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 valuations of similar companies;</w:t>
      </w:r>
    </w:p>
    <w:p>
      <w:pPr>
        <w:sectPr>
          <w:pgSz w:w="12960" w:h="17280" w:orient="portrait"/>
          <w:cols w:equalWidth="0" w:num="1">
            <w:col w:w="10520"/>
          </w:cols>
          <w:pgMar w:left="1360" w:top="1420" w:right="1080" w:bottom="895" w:gutter="0" w:footer="0" w:header="0"/>
        </w:sect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960" w:h="17280" w:orient="portrait"/>
          <w:cols w:equalWidth="0" w:num="1">
            <w:col w:w="10520"/>
          </w:cols>
          <w:pgMar w:left="1360" w:top="1420" w:right="1080" w:bottom="895" w:gutter="0" w:footer="0" w:header="0"/>
          <w:type w:val="continuous"/>
        </w:sectPr>
      </w:pPr>
    </w:p>
    <w:bookmarkStart w:id="70" w:name="page71"/>
    <w:bookmarkEnd w:id="70"/>
    <w:p>
      <w:pPr>
        <w:ind w:left="1100" w:hanging="358"/>
        <w:spacing w:after="0"/>
        <w:tabs>
          <w:tab w:leader="none" w:pos="11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or macroeconomic conditions or market conditions in the pharmaceutical and biotechnology sectors;</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securities by us or our securityholders in the future;</w:t>
      </w:r>
    </w:p>
    <w:p>
      <w:pPr>
        <w:spacing w:after="0" w:line="120" w:lineRule="exact"/>
        <w:rPr>
          <w:rFonts w:ascii="Times New Roman" w:cs="Times New Roman" w:eastAsia="Times New Roman" w:hAnsi="Times New Roman"/>
          <w:sz w:val="20"/>
          <w:szCs w:val="20"/>
          <w:color w:val="auto"/>
        </w:rPr>
      </w:pPr>
    </w:p>
    <w:p>
      <w:pPr>
        <w:ind w:left="1100" w:right="420" w:hanging="358"/>
        <w:spacing w:after="0" w:line="277" w:lineRule="auto"/>
        <w:tabs>
          <w:tab w:leader="none" w:pos="11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raise an adequate amount of capital to fund our operations or continued development of our product candidates;</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volume of our common stock;</w:t>
      </w:r>
    </w:p>
    <w:p>
      <w:pPr>
        <w:spacing w:after="0" w:line="120" w:lineRule="exact"/>
        <w:rPr>
          <w:rFonts w:ascii="Times New Roman" w:cs="Times New Roman" w:eastAsia="Times New Roman" w:hAnsi="Times New Roman"/>
          <w:sz w:val="20"/>
          <w:szCs w:val="20"/>
          <w:color w:val="auto"/>
        </w:rPr>
      </w:pPr>
    </w:p>
    <w:p>
      <w:pPr>
        <w:ind w:left="1100" w:right="160" w:hanging="358"/>
        <w:spacing w:after="0" w:line="277" w:lineRule="auto"/>
        <w:tabs>
          <w:tab w:leader="none" w:pos="11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competitors of new commercial products, clinical progress or lack thereof, significant contracts, commercial relationships or capital commitments;</w:t>
      </w:r>
    </w:p>
    <w:p>
      <w:pPr>
        <w:spacing w:after="0" w:line="49" w:lineRule="exact"/>
        <w:rPr>
          <w:rFonts w:ascii="Times New Roman" w:cs="Times New Roman" w:eastAsia="Times New Roman" w:hAnsi="Times New Roman"/>
          <w:sz w:val="20"/>
          <w:szCs w:val="20"/>
          <w:color w:val="auto"/>
        </w:rPr>
      </w:pPr>
    </w:p>
    <w:p>
      <w:pPr>
        <w:ind w:left="1100" w:right="120" w:hanging="358"/>
        <w:spacing w:after="0" w:line="277" w:lineRule="auto"/>
        <w:tabs>
          <w:tab w:leader="none" w:pos="11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publicity relating to precision medicine product candidates, including with respect to other products in such markets;</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introduction of technological innovations or new therapies that compete with our products and services; and</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period-to-period fluctuations in our financial results.</w:t>
      </w:r>
    </w:p>
    <w:p>
      <w:pPr>
        <w:spacing w:after="0" w:line="24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w:t>
      </w:r>
    </w:p>
    <w:p>
      <w:pPr>
        <w:spacing w:after="0" w:line="3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governed by Delaware law and our amended and restated certificate of incorporation, as amended (the “Certificate of Incorporation”) and amended and restated By-laws, as amended (the “By-laws”), provisions of which have anti-takeover implications.</w:t>
      </w:r>
    </w:p>
    <w:p>
      <w:pPr>
        <w:spacing w:after="0" w:line="68" w:lineRule="exact"/>
        <w:rPr>
          <w:sz w:val="20"/>
          <w:szCs w:val="20"/>
          <w:color w:val="auto"/>
        </w:rPr>
      </w:pPr>
    </w:p>
    <w:p>
      <w:pPr>
        <w:ind w:right="220" w:firstLine="490"/>
        <w:spacing w:after="0" w:line="246" w:lineRule="auto"/>
        <w:rPr>
          <w:sz w:val="20"/>
          <w:szCs w:val="20"/>
          <w:color w:val="auto"/>
        </w:rPr>
      </w:pPr>
      <w:r>
        <w:rPr>
          <w:rFonts w:ascii="Times New Roman" w:cs="Times New Roman" w:eastAsia="Times New Roman" w:hAnsi="Times New Roman"/>
          <w:sz w:val="20"/>
          <w:szCs w:val="20"/>
          <w:color w:val="auto"/>
        </w:rPr>
        <w:t>Provisions that are included in our Certificate of Incorporation and By-laws may discourage, delay or prevent a merger, acquisition or other change in control of the Company that our stockholders may consider favorable, including transactions in which holders of common stock might otherwise receive a premium price for their shares. These provisions could also limit the price that investors might be willing to pay in the future for shares of our common stock, thereby depressing the market price of our common stock. In addition, because the board of directors is responsible for appointing our management team, these provisions may frustrate or prevent any attempts by our stockholders to replace or remove our current management by making it more difficult for our stockholders to replace members of the board of directors. Among other things, these provisions will:</w:t>
      </w:r>
    </w:p>
    <w:p>
      <w:pPr>
        <w:spacing w:after="0" w:line="80" w:lineRule="exact"/>
        <w:rPr>
          <w:sz w:val="20"/>
          <w:szCs w:val="20"/>
          <w:color w:val="auto"/>
        </w:rPr>
      </w:pPr>
    </w:p>
    <w:p>
      <w:pPr>
        <w:ind w:left="1100" w:right="240" w:hanging="358"/>
        <w:spacing w:after="0" w:line="277" w:lineRule="auto"/>
        <w:tabs>
          <w:tab w:leader="none" w:pos="11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the use of a classified board of directors such that not all members of our board of directors are elected at one time;</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the authorized number of directors to be changed only by resolution of the board of directors;</w:t>
      </w:r>
    </w:p>
    <w:p>
      <w:pPr>
        <w:spacing w:after="0" w:line="120"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the manner in which our stockholders can remove directors from the board of directors;</w:t>
      </w:r>
    </w:p>
    <w:p>
      <w:pPr>
        <w:spacing w:after="0" w:line="112" w:lineRule="exact"/>
        <w:rPr>
          <w:rFonts w:ascii="Times New Roman" w:cs="Times New Roman" w:eastAsia="Times New Roman" w:hAnsi="Times New Roman"/>
          <w:sz w:val="20"/>
          <w:szCs w:val="20"/>
          <w:color w:val="auto"/>
        </w:rPr>
      </w:pPr>
    </w:p>
    <w:p>
      <w:pPr>
        <w:ind w:left="1100" w:right="540" w:hanging="358"/>
        <w:spacing w:after="0" w:line="277" w:lineRule="auto"/>
        <w:tabs>
          <w:tab w:leader="none" w:pos="11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for advance notice requirements for nominations for election to the board of directors or for proposing matters that can be acted on at stockholder meetings;</w:t>
      </w:r>
    </w:p>
    <w:p>
      <w:pPr>
        <w:spacing w:after="0" w:line="49" w:lineRule="exact"/>
        <w:rPr>
          <w:rFonts w:ascii="Times New Roman" w:cs="Times New Roman" w:eastAsia="Times New Roman" w:hAnsi="Times New Roman"/>
          <w:sz w:val="20"/>
          <w:szCs w:val="20"/>
          <w:color w:val="auto"/>
        </w:rPr>
      </w:pPr>
    </w:p>
    <w:p>
      <w:pPr>
        <w:ind w:left="1100" w:right="340" w:hanging="358"/>
        <w:spacing w:after="0" w:line="277" w:lineRule="auto"/>
        <w:tabs>
          <w:tab w:leader="none" w:pos="11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stockholder actions must be effected at a duly called stockholder meeting and prohibit actions by our stockholders by written consent;</w:t>
      </w:r>
    </w:p>
    <w:p>
      <w:pPr>
        <w:spacing w:after="0" w:line="49" w:lineRule="exact"/>
        <w:rPr>
          <w:rFonts w:ascii="Times New Roman" w:cs="Times New Roman" w:eastAsia="Times New Roman" w:hAnsi="Times New Roman"/>
          <w:sz w:val="20"/>
          <w:szCs w:val="20"/>
          <w:color w:val="auto"/>
        </w:rPr>
      </w:pPr>
    </w:p>
    <w:p>
      <w:pPr>
        <w:ind w:left="1100" w:hanging="358"/>
        <w:spacing w:after="0"/>
        <w:tabs>
          <w:tab w:leader="none" w:pos="11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who may call a special meeting of stockholders;</w:t>
      </w:r>
    </w:p>
    <w:p>
      <w:pPr>
        <w:spacing w:after="0" w:line="120" w:lineRule="exact"/>
        <w:rPr>
          <w:rFonts w:ascii="Times New Roman" w:cs="Times New Roman" w:eastAsia="Times New Roman" w:hAnsi="Times New Roman"/>
          <w:sz w:val="20"/>
          <w:szCs w:val="20"/>
          <w:color w:val="auto"/>
        </w:rPr>
      </w:pPr>
    </w:p>
    <w:p>
      <w:pPr>
        <w:ind w:left="1100" w:right="460" w:hanging="358"/>
        <w:spacing w:after="0" w:line="258" w:lineRule="auto"/>
        <w:tabs>
          <w:tab w:leader="none" w:pos="11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the board of directors to issue preferred stock without stockholder approval, which could be used to institute a “poison pill” that would work to dilute the stock ownership of a potential hostile acquirer, effectively preventing acquisitions that have not been approved by the board of directors;</w:t>
      </w:r>
    </w:p>
    <w:p>
      <w:pPr>
        <w:spacing w:after="0" w:line="68" w:lineRule="exact"/>
        <w:rPr>
          <w:rFonts w:ascii="Times New Roman" w:cs="Times New Roman" w:eastAsia="Times New Roman" w:hAnsi="Times New Roman"/>
          <w:sz w:val="20"/>
          <w:szCs w:val="20"/>
          <w:color w:val="auto"/>
        </w:rPr>
      </w:pPr>
    </w:p>
    <w:p>
      <w:pPr>
        <w:ind w:left="1100" w:hanging="358"/>
        <w:spacing w:after="0" w:line="263" w:lineRule="auto"/>
        <w:tabs>
          <w:tab w:leader="none" w:pos="11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require the approval of the holders of at least 66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of the voting rights to amend or repeal certain provisions of the Certificate of Incorporation or By-laws; and</w:t>
      </w:r>
    </w:p>
    <w:p>
      <w:pPr>
        <w:spacing w:after="0" w:line="61" w:lineRule="exact"/>
        <w:rPr>
          <w:rFonts w:ascii="Times New Roman" w:cs="Times New Roman" w:eastAsia="Times New Roman" w:hAnsi="Times New Roman"/>
          <w:sz w:val="20"/>
          <w:szCs w:val="20"/>
          <w:color w:val="auto"/>
        </w:rPr>
      </w:pPr>
    </w:p>
    <w:p>
      <w:pPr>
        <w:ind w:left="1100" w:right="100" w:hanging="358"/>
        <w:spacing w:after="0" w:line="277" w:lineRule="auto"/>
        <w:tabs>
          <w:tab w:leader="none" w:pos="11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the affirmative vote of not less than 66 2/3% of the outstanding shares of capital stock entitled to vote on the matter to amend or repeal the By-laws if the board of directors does not recommend the same.</w:t>
      </w:r>
    </w:p>
    <w:p>
      <w:pPr>
        <w:spacing w:after="0" w:line="169" w:lineRule="exact"/>
        <w:rPr>
          <w:sz w:val="20"/>
          <w:szCs w:val="20"/>
          <w:color w:val="auto"/>
        </w:rPr>
      </w:pPr>
    </w:p>
    <w:p>
      <w:pPr>
        <w:ind w:right="20" w:firstLine="490"/>
        <w:spacing w:after="0" w:line="278" w:lineRule="auto"/>
        <w:rPr>
          <w:sz w:val="20"/>
          <w:szCs w:val="20"/>
          <w:color w:val="auto"/>
        </w:rPr>
      </w:pPr>
      <w:r>
        <w:rPr>
          <w:rFonts w:ascii="Times New Roman" w:cs="Times New Roman" w:eastAsia="Times New Roman" w:hAnsi="Times New Roman"/>
          <w:sz w:val="19"/>
          <w:szCs w:val="19"/>
          <w:color w:val="auto"/>
        </w:rPr>
        <w:t>Moreover, we and our organizational documents are governed by Delaware law. Section 203 of the DGCL contains provisions that may enable our board of directors to discourage, delay or prevent a change in our ownership or in our management. The business combinations with interested stockholders provisions of the DGCL, subject to certain exceptions, restrict our ability</w:t>
      </w:r>
    </w:p>
    <w:p>
      <w:pPr>
        <w:sectPr>
          <w:pgSz w:w="12960" w:h="17280" w:orient="portrait"/>
          <w:cols w:equalWidth="0" w:num="1">
            <w:col w:w="10500"/>
          </w:cols>
          <w:pgMar w:left="1360" w:top="1420" w:right="1100" w:bottom="895"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2960" w:h="17280" w:orient="portrait"/>
          <w:cols w:equalWidth="0" w:num="1">
            <w:col w:w="10500"/>
          </w:cols>
          <w:pgMar w:left="1360" w:top="1420" w:right="1100" w:bottom="895" w:gutter="0" w:footer="0" w:header="0"/>
          <w:type w:val="continuous"/>
        </w:sectPr>
      </w:pPr>
    </w:p>
    <w:bookmarkStart w:id="71" w:name="page72"/>
    <w:bookmarkEnd w:id="71"/>
    <w:p>
      <w:pPr>
        <w:ind w:right="60"/>
        <w:spacing w:after="0" w:line="243" w:lineRule="auto"/>
        <w:rPr>
          <w:sz w:val="20"/>
          <w:szCs w:val="20"/>
          <w:color w:val="auto"/>
        </w:rPr>
      </w:pPr>
      <w:r>
        <w:rPr>
          <w:rFonts w:ascii="Times New Roman" w:cs="Times New Roman" w:eastAsia="Times New Roman" w:hAnsi="Times New Roman"/>
          <w:sz w:val="20"/>
          <w:szCs w:val="20"/>
          <w:color w:val="auto"/>
        </w:rPr>
        <w:t>to engage in any business combination with an interested stockholder for a three year period following the time that this stockholder becomes an interested stockholder, unless (i) before the stockholder became an interested stockholder, our board of directors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(iii) at or after the time the stockholder became an interested stockholder, the business combination was approved by our board of directors and authorized at an annual or special meeting of the stockholders by the affirmative vote of at least two-thirds of the outstanding voting stock which is not owned by the interested stockholder. For purposes of the foregoing provisions, “interested stockholder”, with certain exceptions is any entity or person beneficially owning 15% or more of the outstanding voting stock of the corporation and any entity or person affiliated with or controlling or controlled by the entity or person at any time in the last three-year period.</w:t>
      </w:r>
    </w:p>
    <w:p>
      <w:pPr>
        <w:spacing w:after="0" w:line="203"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Additionally, the Series B Certificate of Designation may delay or prevent a change in control of the Company. At any time while at least 30% of the originally issued Series B Preferred Stock remains issued and outstanding, we will not, without the affirmative vote of the holders of a majority of the then outstanding shares of the Series B Preferred Stock, (i) consummate (x) any Fundamental Transaction (as defined in the Series B Certificate of Designation) or (y) any merger or consolidation of the Company with or into another entity or any stock sale to, or other business combination in which our stockholders immediately before such transaction do not hold at least a majority of our capital stock of immediately after such transaction, (ii) increase the size of the board of directors, (iii) adopt, amend or repeal any written delegation of authority policy, corporate authority matrix or similar document, framework or schedule unless such adoption, amendment or repeal has been approved by the unanimous vote of the board of directors, or (iv) retain or replace our registered independent public accounting firm, independent compensation consultant or corporate counsel.</w:t>
      </w:r>
    </w:p>
    <w:p>
      <w:pPr>
        <w:spacing w:after="0" w:line="3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Because our Certificate of Incorporation and By-laws limit the court in which you may bring an action against us, you may have difficulty obtaining a more favorable judicial forum or you may incur more expense enforcing any rights which you may claim as compared to another forum.</w:t>
      </w:r>
    </w:p>
    <w:p>
      <w:pPr>
        <w:spacing w:after="0" w:line="68"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Our Certificate of Incorporation and our By-laws provide that, to the extent permitted by law, any person who acquires equity in our company shall be deemed to have notice and consented to the forum selection provision of our By-laws, which require actions to be brought only in the Court of Chancery of the State of Delaware, which may inhibit or deter stockholders’ actions (i) brought in the name of our company or on our behalf; (ii) asserting a claim for breach of any fiduciary duty owed by any of our directors, officers, employees or agents to us or our stockholders; (iii) arising or asserting a claim arising pursuant to any provision of the DGCL or any provision of our Certificate of Incorporation or By-laws; (iv) to interpret, apply, enforce or determine the validity of any provision of our Certificate of Incorporation or By-laws; or (v) asserting a claim governed by the internal affairs doctrine. This exclusive forum provision may limit our stockholders’ ability to obtain what they believe to be a favorable judicial forum for disputes with us and our officers and directors. This provision does not apply to claims brought under the Securities Act or the Exchange Act.</w:t>
      </w:r>
    </w:p>
    <w:p>
      <w:pPr>
        <w:spacing w:after="0" w:line="20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Any person or entity purchasing or otherwise acquiring any interest in any of our securities shall be deemed to have notice of and consented to this provision. These exclusive -forum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harm our results of operations.</w:t>
      </w:r>
    </w:p>
    <w:p>
      <w:pPr>
        <w:spacing w:after="0" w:line="3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will incur additional costs and increased demands upon management as a result of complying with the laws and regulations affecting public companies.</w:t>
      </w:r>
    </w:p>
    <w:p>
      <w:pPr>
        <w:spacing w:after="0" w:line="49"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We will incur significant legal, accounting and other expenses as a public company, including costs associated with public company reporting obligations under the Exchange Act. Our executive officers and other personnel need to devote substantial time to comply with public company reporting requirements and additional applicable laws and obligations.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960" w:h="17280" w:orient="portrait"/>
          <w:cols w:equalWidth="0" w:num="1">
            <w:col w:w="10520"/>
          </w:cols>
          <w:pgMar w:left="1360" w:top="1420" w:right="1080" w:bottom="895" w:gutter="0" w:footer="0" w:header="0"/>
          <w:type w:val="continuous"/>
        </w:sectPr>
      </w:pPr>
    </w:p>
    <w:bookmarkStart w:id="72" w:name="page73"/>
    <w:bookmarkEnd w:id="72"/>
    <w:p>
      <w:pPr>
        <w:ind w:right="5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6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are subject to the reporting requirements of the Exchange Act, which require, among other things, that we file with the SEC, annual, quarterly and current reports with respect to our business and financial condition as well as other disclosure and corporate governance requirements. However, as a “smaller reporting company,” as such term is defined in Rule 12b-2 under the Exchange Act, in at least the near term, we may take advantage of exemptions from disclosure requirements and reduced disclosure obligations regarding executive compensation in our periodic reports and proxy statements. In addition, as a smaller reporting company with less than $ 100.0 million in annual revenue, we are not required to comply with the auditor attestation requirements of Section 404 of the Sarbanes-Oxley Act.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266"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proper and effective internal controls, our ability to produce accurate financial statements on a timely basis could be impaired.</w:t>
      </w:r>
    </w:p>
    <w:p>
      <w:pPr>
        <w:spacing w:after="0" w:line="49"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controls over financial reporting in our Annual Report on Form 10-K filing for that year, as required by Section 404 of the Sarbanes-Oxley Act.</w:t>
      </w:r>
    </w:p>
    <w:p>
      <w:pPr>
        <w:spacing w:after="0" w:line="197"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0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anticipate that we will pay any cash dividends in the foreseeable future.</w:t>
      </w:r>
    </w:p>
    <w:p>
      <w:pPr>
        <w:spacing w:after="0" w:line="120"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auto"/>
        </w:rPr>
        <w:t>The current expectation is that we will retain our future earnings, if any, to fund the growth of our business as opposed to paying dividends. As a result, capital appreciation, if any, of our common stock will be the sole source of gain, if any, for our stockholders for the foreseeable future.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sales of shares by existing stockholders could cause our stock price to decline.</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If existing securityholders sell, or indicate an intention to sell, substantial amounts of our common stock in the public market after legal restrictions on resale in connection with our recent merger lapse, the trading price of our common stock could decline. In addition, shares of common stock that are subject to outstanding options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317"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executive officers, directors and principal stockholders have the ability to control or significantly influence all matters submitted to our stockholders for approval.</w:t>
      </w:r>
    </w:p>
    <w:p>
      <w:pPr>
        <w:spacing w:after="0" w:line="49"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Our executive officers, directors and principal stockholders, in the aggregate, beneficially own a significant portion of our outstanding shares of common stock (on a fully-diluted basis), subject to beneficial ownership limitations. As a result, if these stockholders were to choose to act together, they would be able to control or significantly influence all matters submitted to our</w:t>
      </w:r>
    </w:p>
    <w:p>
      <w:pPr>
        <w:sectPr>
          <w:pgSz w:w="12960" w:h="17280" w:orient="portrait"/>
          <w:cols w:equalWidth="0" w:num="1">
            <w:col w:w="10500"/>
          </w:cols>
          <w:pgMar w:left="1360" w:top="1420" w:right="1100" w:bottom="895"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2960" w:h="17280" w:orient="portrait"/>
          <w:cols w:equalWidth="0" w:num="1">
            <w:col w:w="10500"/>
          </w:cols>
          <w:pgMar w:left="1360" w:top="1420" w:right="1100" w:bottom="895" w:gutter="0" w:footer="0" w:header="0"/>
          <w:type w:val="continuous"/>
        </w:sectPr>
      </w:pPr>
    </w:p>
    <w:bookmarkStart w:id="73" w:name="page74"/>
    <w:bookmarkEnd w:id="73"/>
    <w:p>
      <w:pPr>
        <w:ind w:right="160"/>
        <w:spacing w:after="0" w:line="252" w:lineRule="auto"/>
        <w:rPr>
          <w:sz w:val="20"/>
          <w:szCs w:val="20"/>
          <w:color w:val="auto"/>
        </w:rPr>
      </w:pPr>
      <w:r>
        <w:rPr>
          <w:rFonts w:ascii="Times New Roman" w:cs="Times New Roman" w:eastAsia="Times New Roman" w:hAnsi="Times New Roman"/>
          <w:sz w:val="20"/>
          <w:szCs w:val="20"/>
          <w:color w:val="auto"/>
        </w:rPr>
        <w:t>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Conflicts of interest may arise between us and Paragon or us and Fairmount.</w:t>
      </w:r>
    </w:p>
    <w:p>
      <w:pPr>
        <w:spacing w:after="0" w:line="12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In connection with the Asset Acquisition, we assumed the rights and obligations of Pre-Acquisition Damora under the Paragon Option Agreement. See the section titled “</w:t>
      </w:r>
      <w:r>
        <w:rPr>
          <w:rFonts w:ascii="Times New Roman" w:cs="Times New Roman" w:eastAsia="Times New Roman" w:hAnsi="Times New Roman"/>
          <w:sz w:val="20"/>
          <w:szCs w:val="20"/>
          <w:i w:val="1"/>
          <w:iCs w:val="1"/>
          <w:color w:val="auto"/>
        </w:rPr>
        <w:t>Paragon Option Agreement</w:t>
      </w:r>
      <w:r>
        <w:rPr>
          <w:rFonts w:ascii="Times New Roman" w:cs="Times New Roman" w:eastAsia="Times New Roman" w:hAnsi="Times New Roman"/>
          <w:sz w:val="20"/>
          <w:szCs w:val="20"/>
          <w:color w:val="auto"/>
        </w:rPr>
        <w:t>” for more information on the Paragon Option Agreement. Fairmount beneficially owns more than 5% of Paragon, appointed Paragon’s board of directors, and has the contractual right to approve the appointment of any executive officers of Paragon. Paramora is an entity formed by Paragon as a vehicle to hold equity in Pre-Acquisition Damora (and as a result of the Asset Acquisition, us) in order to share profits with certain employees of Paragon. Fairmount beneficially owns 19.99% of our common stock assuming conversion of the Series B Preferred Stock and Series C Preferred Stock into common stock (in each case, subject to beneficial ownership limitations). Three of our directors are affiliated with Fairmount (Peter Harwin, Christopher Cain, Ph.D., and Julianne Bruno) and were appointed in accordance with the Acquisition Agreement. The remaining three members of the board of directors are not affiliated with Fairmount or Paragon.</w:t>
      </w:r>
    </w:p>
    <w:p>
      <w:pPr>
        <w:spacing w:after="0" w:line="20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Our relationship with Paragon, Paramora, Fairmount and our non-employee directors may create, or may create the appearance of, conflicts of interest when we are faced with decisions that could have different implications for Paragon or Paramora than the decisions have for us. For example, such conflicts may arise in connection with the selection of additional targets, the exercise of options under the Paragon Option Agreement, the negotiation of the terms of any future license agreements, the allocation of resources and expenses, the enforcement or defense of intellectual property rights, the pursuit of strategic partnerships or transactions, or the resolution of any disputes that may arise between us and Paragon or Paramora. We expect that the decision to amend the Paragon Option Agreement or enter into any similar agreements or license agreements with Paragon will be subject to the approval of the board of directors. All directors owe fiduciary duties pursuant to Delaware law, and directors are expected to comply with their respective fiduciary duties under Delaware law relevant to related party transactions. We have previously adopted a related party transaction approval policy and our audit committee will be responsible for the review, consideration and approval or ratification of related party transactions.</w:t>
      </w:r>
    </w:p>
    <w:p>
      <w:pPr>
        <w:spacing w:after="0" w:line="209"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Furthermore, because Paragon and Fairmount have interests in other biotechnology companies that may compete with us or pursue similar or complementary product candidates or technologies, they may have an incentive to favor or support such other companies over us. These potential conflicts of interest may make it more difficult for us to favorably advance our business interests and may adversely affect our competitive position, business, financial condition, results of operations and prospects.</w:t>
      </w:r>
    </w:p>
    <w:p>
      <w:pPr>
        <w:spacing w:after="0" w:line="314"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equity research analysts do not publish research or reports, or publish unfavorable research or reports, about us, our business or our market, then our stock price and trading volume could decline.</w:t>
      </w:r>
    </w:p>
    <w:p>
      <w:pPr>
        <w:spacing w:after="0" w:line="4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trading market for our common stock is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addition, we do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 coverage of us or fail to publish reports on us regularly, demand for our common stock could decrease, which in turn could cause our stock price or trading volume to decline.</w:t>
      </w:r>
    </w:p>
    <w:p>
      <w:pPr>
        <w:spacing w:after="0" w:line="3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ability to use net operating loss (“NOL”) carryforwards and other tax attributes may be limited, including as a result of our recent merger.</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do not expect to become profitable in the near future and may never achieve profitability. As of December 31, 2025, we had federal and state NOL carryforwards and federal and state research and development credits that may be used to offset future taxable income. Under current law, our U.S. federal NOLs incurred in tax years beginning after December 31, 2017 may be carried forward indefinitely, but the deductibility of such net operating loss carryforwards is limited to 80% of taxable income. It is uncertain if and to what extent various states will conform to federal law. In addition, under Sections 382 and 383 of the Internal Revenue Code (the “Code”), U.S. federal NOL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net operating loss carryforwards and other tax attributes to offset future taxable income or tax liabilities may be limited as a result of ownership changes, including, as discussed above, in connection with our recent merger or other transactions. Similar</w:t>
      </w:r>
    </w:p>
    <w:p>
      <w:pPr>
        <w:sectPr>
          <w:pgSz w:w="12960" w:h="17280" w:orient="portrait"/>
          <w:cols w:equalWidth="0" w:num="1">
            <w:col w:w="10520"/>
          </w:cols>
          <w:pgMar w:left="1360" w:top="1420" w:right="1080" w:bottom="895"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960" w:h="17280" w:orient="portrait"/>
          <w:cols w:equalWidth="0" w:num="1">
            <w:col w:w="10520"/>
          </w:cols>
          <w:pgMar w:left="1360" w:top="1420" w:right="1080" w:bottom="895" w:gutter="0" w:footer="0" w:header="0"/>
          <w:type w:val="continuous"/>
        </w:sectPr>
      </w:pPr>
    </w:p>
    <w:bookmarkStart w:id="74" w:name="page75"/>
    <w:bookmarkEnd w:id="74"/>
    <w:p>
      <w:pPr>
        <w:ind w:right="540"/>
        <w:spacing w:after="0" w:line="277" w:lineRule="auto"/>
        <w:rPr>
          <w:sz w:val="20"/>
          <w:szCs w:val="20"/>
          <w:color w:val="auto"/>
        </w:rPr>
      </w:pPr>
      <w:r>
        <w:rPr>
          <w:rFonts w:ascii="Times New Roman" w:cs="Times New Roman" w:eastAsia="Times New Roman" w:hAnsi="Times New Roman"/>
          <w:sz w:val="20"/>
          <w:szCs w:val="20"/>
          <w:color w:val="auto"/>
        </w:rPr>
        <w:t>rules may apply under state tax laws. If we earn taxable income, such limitations could result in increased future income tax liability to us, and our future cash flows could be adversely affected.</w:t>
      </w:r>
    </w:p>
    <w:p>
      <w:pPr>
        <w:spacing w:after="0" w:line="28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class structure of our capital stock may limit your ability to influence corporate matters and may limit your visibility with respect to certain transactions.</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The class structure of our capital stock may limit your ability to influence corporate matters. Holders of common stock are entitled to one vote per share, while holders of the Series A Preferred Stock, Series B Preferred Stock and Series C Preferred Stock are not entitled to any votes. Nonetheless, each share of Series A Preferred Stock, Series B Preferred Stock and Series C Preferred Stock, may be converted at any time into 1,000 shares of common stock at the option of the holder by providing written notice to us, subject to beneficial ownership limitations and the limitations provided for in our Certificate of Incorporation and the related certificates of designation. Consequently, if holders of the Series A Preferred Stock, Series B Preferred Stock and Series C Preferred Stock exercise their option to make this conversion, this will have the effect of increasing the relative voting power of those prior holders of the Series A Preferred Stock, Series B Preferred Stock and Series C Preferred Stock, respectively, and correspondingly decreasing the voting power of the holders of common stock, which may limit your ability to influence corporate matters.</w:t>
      </w:r>
    </w:p>
    <w:p>
      <w:pPr>
        <w:spacing w:after="0" w:line="20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Although Series B Preferred Stock does not have voting rights on proposals presented to our holders of common stock, at any time while at least 30% of the originally issued Series B Preferred Stock remains issued and outstanding, we will not, without the affirmative vote of the holders of a majority of the then outstanding shares of the Series B Preferred Stock, (i) consummate (x) any Fundamental Transaction (as defined in the Series B Certificate of Designation) or (y) any merger or consolidation of the Company with or into another entity or any stock sale to, or other business combination in which our stockholders immediately before such transaction do not hold at least a majority of our capital stock immediately after such transaction, (ii) increase the size of the board of directors, (iii) adopt, amend or repeal any written delegation of authority policy, corporate authority matrix or similar document, framework or schedule unless such adoption, amendment or repeal has been approved by the unanimous vote of the board of directors, or (iv) retain or replace our registered independent public accounting firm, independent compensation consultant or corporate counsel.</w:t>
      </w:r>
    </w:p>
    <w:p>
      <w:pPr>
        <w:spacing w:after="0" w:line="202"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Additionally, stockholders who hold, in the aggregate, more than 10% of common stock, Series A Preferred Stock, Series B Preferred Stock and Series C Preferred Stock outstanding, but beneficially own 10% or less of common stock, and are not otherwise an insider, may not be required to report changes in their ownership due to transactions in the Series A Preferred Stock, Series B Preferred Stock and Series C Preferred Stock pursuant to Section 16(a) of the Exchange Act, and may not be subject to the short-swing profit provisions of Section 16(b) of the Exchange Act.</w:t>
      </w:r>
    </w:p>
    <w:p>
      <w:pPr>
        <w:sectPr>
          <w:pgSz w:w="12960" w:h="17280" w:orient="portrait"/>
          <w:cols w:equalWidth="0" w:num="1">
            <w:col w:w="10480"/>
          </w:cols>
          <w:pgMar w:left="1360" w:top="1420" w:right="112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69</w:t>
      </w:r>
    </w:p>
    <w:p>
      <w:pPr>
        <w:sectPr>
          <w:pgSz w:w="12960" w:h="17280" w:orient="portrait"/>
          <w:cols w:equalWidth="0" w:num="1">
            <w:col w:w="10480"/>
          </w:cols>
          <w:pgMar w:left="1360" w:top="1420" w:right="1120" w:bottom="895"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We understand the critical importance of maintaining the trust and confidence of universities, medical institutions, clinical investigators, CROs, strategic collaborators, business partners, employees, and others, and take steps to protect the confidentiality, integrity and availability of our business operations and systems. Our board of directors is involved in oversight of our risk management activities, and cybersecurity represents an important element of our overall approach to risk management. Our cybersecurity policies, standards, processes and practices are informed, in part, by recognized frameworks established by applicable industry standards.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24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We face risks related to cybersecurity such as unauthorized access to information or information technology systems, cybersecurity attacks, and other cybersecurity incidents. Our processes to identify, assess, and manage material cybersecurity risks are informed, in part, by industry cybersecurity standards, including components of the National Institute of Standards and Technology Cybersecurity Framework, ISO 27001 standard, and HIPAA security regulations. Our processes include assessments designed to identify key risk areas and inform our overall cybersecurity strategy and cybersecurity assessments in connection with our review of key information technology systems. Our processes also include technical security controls, such as network monitoring tools and multi-factor authentication, where appropriate.</w:t>
      </w:r>
    </w:p>
    <w:p>
      <w:pPr>
        <w:spacing w:after="0" w:line="200"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We conduct due diligence on our significant third -party vendors and service providers that store or process sensitive company information. Our processes include a security review and implementation of procedures to receive and review security updates and alerts from such third parties.</w:t>
      </w:r>
    </w:p>
    <w:p>
      <w:pPr>
        <w:spacing w:after="0" w:line="18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We have established an incident response process designed to identify, assess, and respond to cybersecurity incidents. This process includes established roles, responsibilities and procedures to guide incident response operations, and reporting procedures for notifying members of management and the audit committee, where appropriate. We also maintain back-ups and disaster recovery plans designed to restore information in the event of a cybersecurity incident. We have not experienced any cybersecurity incidents, and are not aware of any threats, that have materially affected us or are reasonably likely to materially affect us, since the beginning of the last fiscal year. However, like other companies in our industry, we and our third-party vendors may from time to time experience cybersecurity threats and incidents that could affect our information or systems. Additional information on cybersecurity risks we face is discussed in “Item 1A,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 Related to Cybersecurity Risks</w:t>
      </w:r>
    </w:p>
    <w:p>
      <w:pPr>
        <w:spacing w:after="0" w:line="244"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auto"/>
        </w:rPr>
        <w:t>Our board of directors is involved in risk oversight as part of our overall business strategy and has delegated oversight of risk assessment and management to the audit committee. The audit committee administers its risk oversight function by receiving periodic reports from members of senior management. Our audit committee discusses cybersecurity threats and our risk management processes at least annually, receives updates on relevant cybersecurity developments, and considers steps that our management has taken to monitor and manage cybersecurity risk. The full board of directors also discusses with management identified material cybersecurity risks, their potential impact on us, and the steps we plan to take to manage them. Our audit committee and board of directors also receive prompt and timely information regarding any cybersecurity incident that meets establishing reporting thresholds, as well as ongoing updates regarding any such incident until it has been addressed.</w:t>
      </w:r>
    </w:p>
    <w:p>
      <w:pPr>
        <w:spacing w:after="0" w:line="20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Our Information Technology Administrator, with support from third-party service providers, including our outsourced Data Protection Officer, implements and administers our information security program. Such individuals have collectively over 40 years of prior work experience in various roles involving managing information security, developing cybersecurity strategy, and implementing effective information and cybersecurity programs.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processes. Additionally, our Information Technology Administrator, in conjunction with our outsourced Data Protection Officer, provides regular reports to our Chief Financial Officer and our General Counsel on cybersecurity risks and the implementation of risk management processes. Such management team members report information on such cybersecurity risks and incidents to our audit committee and board of directors as discussed above.</w:t>
      </w:r>
    </w:p>
    <w:p>
      <w:pPr>
        <w:sectPr>
          <w:pgSz w:w="12960" w:h="17280" w:orient="portrait"/>
          <w:cols w:equalWidth="0" w:num="1">
            <w:col w:w="10500"/>
          </w:cols>
          <w:pgMar w:left="1360" w:top="1416" w:right="1100" w:bottom="895"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2960" w:h="17280" w:orient="portrait"/>
          <w:cols w:equalWidth="0" w:num="1">
            <w:col w:w="10500"/>
          </w:cols>
          <w:pgMar w:left="1360" w:top="1416" w:right="1100" w:bottom="895"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December 31, 2025, the facilities that we lease are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2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00" w:type="dxa"/>
            <w:vAlign w:val="bottom"/>
            <w:tcBorders>
              <w:bottom w:val="single" w:sz="8" w:color="D5EEEE"/>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Primary Use</w:t>
            </w:r>
          </w:p>
        </w:tc>
        <w:tc>
          <w:tcPr>
            <w:tcW w:w="120" w:type="dxa"/>
            <w:vAlign w:val="bottom"/>
            <w:tcBorders>
              <w:bottom w:val="single" w:sz="8" w:color="D5EEEE"/>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Square Footage</w:t>
            </w:r>
          </w:p>
        </w:tc>
        <w:tc>
          <w:tcPr>
            <w:tcW w:w="200" w:type="dxa"/>
            <w:vAlign w:val="bottom"/>
            <w:tcBorders>
              <w:bottom w:val="single" w:sz="8" w:color="D5EEEE"/>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100" w:type="dxa"/>
            <w:vAlign w:val="bottom"/>
            <w:tcBorders>
              <w:bottom w:val="single" w:sz="8" w:color="D5EEEE"/>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Renewal Option</w:t>
            </w:r>
          </w:p>
        </w:tc>
        <w:tc>
          <w:tcPr>
            <w:tcW w:w="0" w:type="dxa"/>
            <w:vAlign w:val="bottom"/>
          </w:tcPr>
          <w:p>
            <w:pPr>
              <w:spacing w:after="0"/>
              <w:rPr>
                <w:sz w:val="1"/>
                <w:szCs w:val="1"/>
                <w:color w:val="auto"/>
              </w:rPr>
            </w:pPr>
          </w:p>
        </w:tc>
      </w:tr>
      <w:tr>
        <w:trPr>
          <w:trHeight w:val="220"/>
        </w:trPr>
        <w:tc>
          <w:tcPr>
            <w:tcW w:w="4520" w:type="dxa"/>
            <w:vAlign w:val="bottom"/>
            <w:vMerge w:val="restart"/>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rPr>
              <w:t>Ole Maaloes Vej 3, DK-2200 Copenhagen N, Denmark</w:t>
            </w:r>
          </w:p>
        </w:tc>
        <w:tc>
          <w:tcPr>
            <w:tcW w:w="100" w:type="dxa"/>
            <w:vAlign w:val="bottom"/>
            <w:shd w:val="clear" w:color="auto" w:fill="D5EEEE"/>
          </w:tcPr>
          <w:p>
            <w:pPr>
              <w:spacing w:after="0"/>
              <w:rPr>
                <w:sz w:val="19"/>
                <w:szCs w:val="19"/>
                <w:color w:val="auto"/>
              </w:rPr>
            </w:pPr>
          </w:p>
        </w:tc>
        <w:tc>
          <w:tcPr>
            <w:tcW w:w="1120" w:type="dxa"/>
            <w:vAlign w:val="bottom"/>
            <w:vMerge w:val="restart"/>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9"/>
              </w:rPr>
              <w:t>Office space</w:t>
            </w:r>
          </w:p>
        </w:tc>
        <w:tc>
          <w:tcPr>
            <w:tcW w:w="120" w:type="dxa"/>
            <w:vAlign w:val="bottom"/>
            <w:shd w:val="clear" w:color="auto" w:fill="D5EEEE"/>
          </w:tcPr>
          <w:p>
            <w:pPr>
              <w:spacing w:after="0"/>
              <w:rPr>
                <w:sz w:val="19"/>
                <w:szCs w:val="19"/>
                <w:color w:val="auto"/>
              </w:rPr>
            </w:pPr>
          </w:p>
        </w:tc>
        <w:tc>
          <w:tcPr>
            <w:tcW w:w="138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200" w:type="dxa"/>
            <w:vAlign w:val="bottom"/>
            <w:shd w:val="clear" w:color="auto" w:fill="D5EEEE"/>
          </w:tcPr>
          <w:p>
            <w:pPr>
              <w:spacing w:after="0"/>
              <w:rPr>
                <w:sz w:val="19"/>
                <w:szCs w:val="19"/>
                <w:color w:val="auto"/>
              </w:rPr>
            </w:pPr>
          </w:p>
        </w:tc>
        <w:tc>
          <w:tcPr>
            <w:tcW w:w="1580" w:type="dxa"/>
            <w:vAlign w:val="bottom"/>
            <w:shd w:val="clear" w:color="auto" w:fill="D5EEEE"/>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November 30,</w:t>
            </w:r>
          </w:p>
        </w:tc>
        <w:tc>
          <w:tcPr>
            <w:tcW w:w="100" w:type="dxa"/>
            <w:vAlign w:val="bottom"/>
            <w:shd w:val="clear" w:color="auto" w:fill="D5EEEE"/>
          </w:tcPr>
          <w:p>
            <w:pPr>
              <w:spacing w:after="0"/>
              <w:rPr>
                <w:sz w:val="19"/>
                <w:szCs w:val="19"/>
                <w:color w:val="auto"/>
              </w:rPr>
            </w:pPr>
          </w:p>
        </w:tc>
        <w:tc>
          <w:tcPr>
            <w:tcW w:w="1400" w:type="dxa"/>
            <w:vAlign w:val="bottom"/>
            <w:vMerge w:val="restart"/>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rPr>
              <w:t>None</w:t>
            </w:r>
          </w:p>
        </w:tc>
        <w:tc>
          <w:tcPr>
            <w:tcW w:w="0" w:type="dxa"/>
            <w:vAlign w:val="bottom"/>
          </w:tcPr>
          <w:p>
            <w:pPr>
              <w:spacing w:after="0"/>
              <w:rPr>
                <w:sz w:val="1"/>
                <w:szCs w:val="1"/>
                <w:color w:val="auto"/>
              </w:rPr>
            </w:pPr>
          </w:p>
        </w:tc>
      </w:tr>
      <w:tr>
        <w:trPr>
          <w:trHeight w:val="151"/>
        </w:trPr>
        <w:tc>
          <w:tcPr>
            <w:tcW w:w="4520" w:type="dxa"/>
            <w:vAlign w:val="bottom"/>
            <w:vMerge w:val="continue"/>
            <w:shd w:val="clear" w:color="auto" w:fill="D5EEEE"/>
          </w:tcPr>
          <w:p>
            <w:pPr>
              <w:spacing w:after="0"/>
              <w:rPr>
                <w:sz w:val="13"/>
                <w:szCs w:val="13"/>
                <w:color w:val="auto"/>
              </w:rPr>
            </w:pPr>
          </w:p>
        </w:tc>
        <w:tc>
          <w:tcPr>
            <w:tcW w:w="100" w:type="dxa"/>
            <w:vAlign w:val="bottom"/>
            <w:shd w:val="clear" w:color="auto" w:fill="D5EEEE"/>
          </w:tcPr>
          <w:p>
            <w:pPr>
              <w:spacing w:after="0"/>
              <w:rPr>
                <w:sz w:val="13"/>
                <w:szCs w:val="13"/>
                <w:color w:val="auto"/>
              </w:rPr>
            </w:pPr>
          </w:p>
        </w:tc>
        <w:tc>
          <w:tcPr>
            <w:tcW w:w="1120" w:type="dxa"/>
            <w:vAlign w:val="bottom"/>
            <w:vMerge w:val="continue"/>
            <w:shd w:val="clear" w:color="auto" w:fill="D5EEEE"/>
          </w:tcPr>
          <w:p>
            <w:pPr>
              <w:spacing w:after="0"/>
              <w:rPr>
                <w:sz w:val="13"/>
                <w:szCs w:val="13"/>
                <w:color w:val="auto"/>
              </w:rPr>
            </w:pPr>
          </w:p>
        </w:tc>
        <w:tc>
          <w:tcPr>
            <w:tcW w:w="120" w:type="dxa"/>
            <w:vAlign w:val="bottom"/>
            <w:shd w:val="clear" w:color="auto" w:fill="D5EEEE"/>
          </w:tcPr>
          <w:p>
            <w:pPr>
              <w:spacing w:after="0"/>
              <w:rPr>
                <w:sz w:val="13"/>
                <w:szCs w:val="13"/>
                <w:color w:val="auto"/>
              </w:rPr>
            </w:pPr>
          </w:p>
        </w:tc>
        <w:tc>
          <w:tcPr>
            <w:tcW w:w="1380" w:type="dxa"/>
            <w:vAlign w:val="bottom"/>
            <w:vMerge w:val="continue"/>
            <w:shd w:val="clear" w:color="auto" w:fill="D5EEEE"/>
          </w:tcPr>
          <w:p>
            <w:pPr>
              <w:spacing w:after="0"/>
              <w:rPr>
                <w:sz w:val="13"/>
                <w:szCs w:val="13"/>
                <w:color w:val="auto"/>
              </w:rPr>
            </w:pPr>
          </w:p>
        </w:tc>
        <w:tc>
          <w:tcPr>
            <w:tcW w:w="200" w:type="dxa"/>
            <w:vAlign w:val="bottom"/>
            <w:shd w:val="clear" w:color="auto" w:fill="D5EEEE"/>
          </w:tcPr>
          <w:p>
            <w:pPr>
              <w:spacing w:after="0"/>
              <w:rPr>
                <w:sz w:val="13"/>
                <w:szCs w:val="13"/>
                <w:color w:val="auto"/>
              </w:rPr>
            </w:pPr>
          </w:p>
        </w:tc>
        <w:tc>
          <w:tcPr>
            <w:tcW w:w="1580" w:type="dxa"/>
            <w:vAlign w:val="bottom"/>
            <w:vMerge w:val="restart"/>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9"/>
              </w:rPr>
              <w:t>2029</w:t>
            </w:r>
          </w:p>
        </w:tc>
        <w:tc>
          <w:tcPr>
            <w:tcW w:w="100" w:type="dxa"/>
            <w:vAlign w:val="bottom"/>
            <w:shd w:val="clear" w:color="auto" w:fill="D5EEEE"/>
          </w:tcPr>
          <w:p>
            <w:pPr>
              <w:spacing w:after="0"/>
              <w:rPr>
                <w:sz w:val="13"/>
                <w:szCs w:val="13"/>
                <w:color w:val="auto"/>
              </w:rPr>
            </w:pPr>
          </w:p>
        </w:tc>
        <w:tc>
          <w:tcPr>
            <w:tcW w:w="1400" w:type="dxa"/>
            <w:vAlign w:val="bottom"/>
            <w:vMerge w:val="continue"/>
            <w:shd w:val="clear" w:color="auto" w:fill="D5EEE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4520" w:type="dxa"/>
            <w:vAlign w:val="bottom"/>
            <w:shd w:val="clear" w:color="auto" w:fill="D5EEEE"/>
          </w:tcPr>
          <w:p>
            <w:pPr>
              <w:spacing w:after="0"/>
              <w:rPr>
                <w:sz w:val="8"/>
                <w:szCs w:val="8"/>
                <w:color w:val="auto"/>
              </w:rPr>
            </w:pPr>
          </w:p>
        </w:tc>
        <w:tc>
          <w:tcPr>
            <w:tcW w:w="100" w:type="dxa"/>
            <w:vAlign w:val="bottom"/>
            <w:shd w:val="clear" w:color="auto" w:fill="D5EEEE"/>
          </w:tcPr>
          <w:p>
            <w:pPr>
              <w:spacing w:after="0"/>
              <w:rPr>
                <w:sz w:val="8"/>
                <w:szCs w:val="8"/>
                <w:color w:val="auto"/>
              </w:rPr>
            </w:pPr>
          </w:p>
        </w:tc>
        <w:tc>
          <w:tcPr>
            <w:tcW w:w="1120" w:type="dxa"/>
            <w:vAlign w:val="bottom"/>
            <w:shd w:val="clear" w:color="auto" w:fill="D5EEEE"/>
          </w:tcPr>
          <w:p>
            <w:pPr>
              <w:spacing w:after="0"/>
              <w:rPr>
                <w:sz w:val="8"/>
                <w:szCs w:val="8"/>
                <w:color w:val="auto"/>
              </w:rPr>
            </w:pPr>
          </w:p>
        </w:tc>
        <w:tc>
          <w:tcPr>
            <w:tcW w:w="120" w:type="dxa"/>
            <w:vAlign w:val="bottom"/>
            <w:shd w:val="clear" w:color="auto" w:fill="D5EEEE"/>
          </w:tcPr>
          <w:p>
            <w:pPr>
              <w:spacing w:after="0"/>
              <w:rPr>
                <w:sz w:val="8"/>
                <w:szCs w:val="8"/>
                <w:color w:val="auto"/>
              </w:rPr>
            </w:pPr>
          </w:p>
        </w:tc>
        <w:tc>
          <w:tcPr>
            <w:tcW w:w="1380" w:type="dxa"/>
            <w:vAlign w:val="bottom"/>
            <w:shd w:val="clear" w:color="auto" w:fill="D5EEEE"/>
          </w:tcPr>
          <w:p>
            <w:pPr>
              <w:spacing w:after="0"/>
              <w:rPr>
                <w:sz w:val="8"/>
                <w:szCs w:val="8"/>
                <w:color w:val="auto"/>
              </w:rPr>
            </w:pPr>
          </w:p>
        </w:tc>
        <w:tc>
          <w:tcPr>
            <w:tcW w:w="200" w:type="dxa"/>
            <w:vAlign w:val="bottom"/>
            <w:shd w:val="clear" w:color="auto" w:fill="D5EEEE"/>
          </w:tcPr>
          <w:p>
            <w:pPr>
              <w:spacing w:after="0"/>
              <w:rPr>
                <w:sz w:val="8"/>
                <w:szCs w:val="8"/>
                <w:color w:val="auto"/>
              </w:rPr>
            </w:pPr>
          </w:p>
        </w:tc>
        <w:tc>
          <w:tcPr>
            <w:tcW w:w="1580" w:type="dxa"/>
            <w:vAlign w:val="bottom"/>
            <w:vMerge w:val="continue"/>
            <w:shd w:val="clear" w:color="auto" w:fill="D5EEEE"/>
          </w:tcPr>
          <w:p>
            <w:pPr>
              <w:spacing w:after="0"/>
              <w:rPr>
                <w:sz w:val="8"/>
                <w:szCs w:val="8"/>
                <w:color w:val="auto"/>
              </w:rPr>
            </w:pPr>
          </w:p>
        </w:tc>
        <w:tc>
          <w:tcPr>
            <w:tcW w:w="100" w:type="dxa"/>
            <w:vAlign w:val="bottom"/>
            <w:shd w:val="clear" w:color="auto" w:fill="D5EEEE"/>
          </w:tcPr>
          <w:p>
            <w:pPr>
              <w:spacing w:after="0"/>
              <w:rPr>
                <w:sz w:val="8"/>
                <w:szCs w:val="8"/>
                <w:color w:val="auto"/>
              </w:rPr>
            </w:pPr>
          </w:p>
        </w:tc>
        <w:tc>
          <w:tcPr>
            <w:tcW w:w="1400" w:type="dxa"/>
            <w:vAlign w:val="bottom"/>
            <w:shd w:val="clear" w:color="auto" w:fill="D5EEEE"/>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auto"/>
        </w:rPr>
        <w:t>We believe that our current facilities are sufficient to meet our current and near-term needs and that, should it be needed, suitable additional space will be available.</w:t>
      </w:r>
    </w:p>
    <w:p>
      <w:pPr>
        <w:sectPr>
          <w:pgSz w:w="12960" w:h="17280" w:orient="portrait"/>
          <w:cols w:equalWidth="0" w:num="1">
            <w:col w:w="10520"/>
          </w:cols>
          <w:pgMar w:left="1360" w:top="1416"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960" w:h="17280" w:orient="portrait"/>
          <w:cols w:equalWidth="0" w:num="1">
            <w:col w:w="10520"/>
          </w:cols>
          <w:pgMar w:left="1360" w:top="1416" w:right="1080" w:bottom="895"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We are not party to any material legal matters or claims. In the future,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960" w:h="17280" w:orient="portrait"/>
          <w:cols w:equalWidth="0" w:num="1">
            <w:col w:w="10360"/>
          </w:cols>
          <w:pgMar w:left="1360" w:top="1416" w:right="12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72</w:t>
      </w:r>
    </w:p>
    <w:p>
      <w:pPr>
        <w:sectPr>
          <w:pgSz w:w="12960" w:h="17280" w:orient="portrait"/>
          <w:cols w:equalWidth="0" w:num="1">
            <w:col w:w="10360"/>
          </w:cols>
          <w:pgMar w:left="1360" w:top="1416" w:right="1240" w:bottom="895" w:gutter="0" w:footer="0" w:header="0"/>
          <w:type w:val="continuous"/>
        </w:sectPr>
      </w:pPr>
    </w:p>
    <w:bookmarkStart w:id="78" w:name="page79"/>
    <w:bookmarkEnd w:id="78"/>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Information Regarding the Trading of Our Common Stock</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Our common stock trades on the Nasdaq Capital Market under the symbol “DMRA”.</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Our Common Stock</w:t>
      </w:r>
    </w:p>
    <w:p>
      <w:pPr>
        <w:spacing w:after="0" w:line="244"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auto"/>
        </w:rPr>
        <w:t>As of March 17, 2026, we had 60,303,212 outstanding shares of common stock, 158.361 outstanding shares of Series A Preferred Stock, 16,366 outstanding shares of Series B Preferred Stock and 1,722 outstanding shares of Series C Preferred Stock. At March 17, 2026, there were 36 holders of record of our common stock, one holder of record of our Series A Preferred Stock, one holder of record of our Series B Preferred Stock and two holders of record of our Series C Preferred Stock. Because many of our shares are held by brokers and other institutions on behalf of stockholders, we are unable to estimate the total number of beneficial holders represented by these record 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4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244"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960" w:h="17280" w:orient="portrait"/>
          <w:cols w:equalWidth="0" w:num="1">
            <w:col w:w="10500"/>
          </w:cols>
          <w:pgMar w:left="1360" w:top="1416"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ectPr>
          <w:pgSz w:w="12960" w:h="17280" w:orient="portrait"/>
          <w:cols w:equalWidth="0" w:num="1">
            <w:col w:w="10500"/>
          </w:cols>
          <w:pgMar w:left="1360" w:top="1416" w:right="1100" w:bottom="895"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6" w:lineRule="exact"/>
        <w:rPr>
          <w:sz w:val="20"/>
          <w:szCs w:val="20"/>
          <w:color w:val="auto"/>
        </w:rPr>
      </w:pPr>
    </w:p>
    <w:p>
      <w:pPr>
        <w:ind w:right="240" w:firstLine="490"/>
        <w:spacing w:after="0" w:line="247" w:lineRule="auto"/>
        <w:rPr>
          <w:sz w:val="20"/>
          <w:szCs w:val="20"/>
          <w:color w:val="auto"/>
        </w:rPr>
      </w:pPr>
      <w:r>
        <w:rPr>
          <w:rFonts w:ascii="Times New Roman" w:cs="Times New Roman" w:eastAsia="Times New Roman" w:hAnsi="Times New Roman"/>
          <w:sz w:val="20"/>
          <w:szCs w:val="20"/>
          <w:i w:val="1"/>
          <w:iCs w:val="1"/>
          <w:color w:val="auto"/>
        </w:rPr>
        <w:t>The following information should be read in conjunction with the audited consolidated financial statements and notes thereto for the year ended December 31, 2025 included in this Annual Report on Form 10-K. This discussion and analysis and other parts of this Annual Report on Form 10-K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herein and in other SEC filings.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are a biopharmaceutical company developing therapies for the treatment of hematologic disorders. In our previously announced Asset Acquisition, we bolstered our pipeline with the addition of three product candidates designed to treat MPNs, a group of related, chronic disorders of the bone marrow. Our lead product candidate, DMR-001, targets mutant forms of the calcium binding protein CALR, which are collectively known as mutCALR. We have exercised our Option to license exclusive worldwide development and commercialization rights to DMR-001 from Paragon pursuant to the Paragon Option Agreement. We intend to develop DMR-001 for the treatment of ET, an MPN associated with the overproduction of platelets, and MF, an MPN involving the overproliferation of blood cells and deposition of fibrous material in the bone marrow and spleen. Approximately 25% and 35% of cases of ET and MF, respectively, are caused by mutCALR rather than mutations in JAK2. In contrast to marketed therapies for ET and MF, DMR-001 is designed to selectively target cells that express mutCALR while avoiding the adverse effects associated with non-specific cytoreductive drugs. Furthermore, DMR-001 was designed to have increased affinity, potency and a prolonged half-life when compared with other antibodies in development that target mutCALR. We believe that the potential combination of increased clinical activity and improved pharmacokinetics of DMR-001 positions it as a potential best-in-class therapy for ET and MF. We also have the option to license exclusive worldwide development and commercialization rights from Paragon of two other mutCALR-targeting product candidates, DMR-002 and DMR-003, pursuant to the Paragon Option Agreement. We intend to submit an IND or CTA for DMR-001 and DMR-002 in mid-2026 and the second half of 2026, respectively, and for DMR-003 in 2027. Pursuant to the Paragon Option Agreement, we have engaged Paragon to execute a mutually agreed research plan for DMR-001, DMR-002, and DMR-003 aimed at producing potential product candidates to be licensed for further development, manufacture and commercialization by us. The research plan activities performed by Paragon are overseen by a joint development committee comprised of our employees and employees of Paragon.</w:t>
      </w:r>
    </w:p>
    <w:p>
      <w:pPr>
        <w:spacing w:after="0" w:line="204"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MPNs are caused by excessive proliferation of myeloid cells. In some patients, including ET patients, MPNs are considered chronic diseases that lead to significant decreases in quality of life. MPNs also include MF, which is associated with poor prognosis and increased mortality. One feature that makes MPNs attractive indications for drug development is that mutations in just a small number of genes are responsible for a significant percentage of cases, which enables the opportunity to develop targeted therapies. Our ultimate goal is to develop a portfolio of targeted mutation-directed candidates to address the full spectrum of MPN disease.</w:t>
      </w:r>
    </w:p>
    <w:p>
      <w:pPr>
        <w:spacing w:after="0" w:line="20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DMR-001 is a monoclonal antibody that targets mutations in CALR, including the two major forms of CALR mutations referred to as Type 1 and Type 2 mutCALR. CALR mutations are the drivers of about a quarter of all cases of ET, a disease with a prevalence in the United States of about 140,000 patients. ET is characterized by excessive production of platelets, leading to symptoms that range from tingling or burning in the hands and feet to headache, visual problems, weakness, dizziness and increased risk of blood clots, causing heart attacks, strokes and other thromboses. CALR mutations are the drivers of about 35% of all cases of MF, a disease with a prevalence in the United States of about 20,000 patients. MF is characterized by abnormal myeloid cell proliferation leading to inflammation and a fibrotic response in the bone marrow. This results in bone marrow scarring, splenomegaly, elevated cytokine levels, and bone marrow dysfunction. Symptoms include fatigue, easy bruising and bleeding, night sweats and fever. Approximately 17% of ET patients who have CALR mutations progress to MF. We believe there exists at least a $5 billion addressable market in the United States for mutCALR driven ET and MF.</w:t>
      </w:r>
    </w:p>
    <w:p>
      <w:pPr>
        <w:spacing w:after="0" w:line="202"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auto"/>
        </w:rPr>
        <w:t>We believe that DMR-001 has the potential to become a best-in-class anti-mutCALR therapy due to two differentiating features compared to marketed therapies and therapies in development, including INCA033989. First, our preclinical studies demonstrated that DMR-001 is a more potent inhibitor of mutCALR-dependent cell proliferation compared to a reference mutCALR targeted monoclonal antibody. This is especially relevant with regard to patients with Type 2 mutCALR, which represent about a third of mutCALR patients. Whereas Type 1 mutations are characterized by a deletion of 52 base pairs in the gene for CALR, Type 2 mutations have an insertion of 5 base pairs. Our preclinical assays demonstrated that DMR-001 has approximately ten-fold higher potency on Type 2 mutCALR than a reference mutCALR antibody with the same mechanism of action as INCA033989. Second, DMR-001 was engineered to have an increased half-life in circulation through the incorporation of sequence modifications that have previously been shown to improve pharmacokinetics in humans. Our preclinical data generated in NHPs, confirmed the improved half-life of DMR-001 compared to a reference antibody.</w:t>
      </w:r>
    </w:p>
    <w:p>
      <w:pPr>
        <w:sectPr>
          <w:pgSz w:w="12960" w:h="17280" w:orient="portrait"/>
          <w:cols w:equalWidth="0" w:num="1">
            <w:col w:w="10500"/>
          </w:cols>
          <w:pgMar w:left="1360" w:top="1416" w:right="1100" w:bottom="895"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ectPr>
          <w:pgSz w:w="12960" w:h="17280" w:orient="portrait"/>
          <w:cols w:equalWidth="0" w:num="1">
            <w:col w:w="10500"/>
          </w:cols>
          <w:pgMar w:left="1360" w:top="1416" w:right="1100" w:bottom="895" w:gutter="0" w:footer="0" w:header="0"/>
          <w:type w:val="continuous"/>
        </w:sectPr>
      </w:pPr>
    </w:p>
    <w:bookmarkStart w:id="80" w:name="page81"/>
    <w:bookmarkEnd w:id="80"/>
    <w:p>
      <w:pPr>
        <w:ind w:firstLine="490"/>
        <w:spacing w:after="0" w:line="246" w:lineRule="auto"/>
        <w:rPr>
          <w:sz w:val="20"/>
          <w:szCs w:val="20"/>
          <w:color w:val="auto"/>
        </w:rPr>
      </w:pPr>
      <w:r>
        <w:rPr>
          <w:rFonts w:ascii="Times New Roman" w:cs="Times New Roman" w:eastAsia="Times New Roman" w:hAnsi="Times New Roman"/>
          <w:sz w:val="20"/>
          <w:szCs w:val="20"/>
          <w:color w:val="auto"/>
        </w:rPr>
        <w:t>The expected combination of increased clinical activity and longer half-life is predicted to enable the delivery of sufficient amounts of DMR-001 via subcutaneous injection to match and potentially exceed the reported efficacy of INCA033989 that was intravenously administered in Incyte's Phase 1 trial. We believe such a subcutaneous formulation is critically important because it provides a more convenient dosing option for ET and MF patients, most of whom have a long life expectancy after diagnosis and thus require long-term treatment. We intend to file an IND or CTA for DMR-001 in mid-2026 and initiate a Phase 1 trial in ET and MF patients with a subcutaneous formulation thereafter, subject to regulatory approval, with two proof-of-concept readouts expected beginning mid-2027.</w:t>
      </w:r>
    </w:p>
    <w:p>
      <w:pPr>
        <w:spacing w:after="0" w:line="200"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auto"/>
        </w:rPr>
        <w:t>In addition, we are developing DMR-002 and DMR-003, both anti-mutCALR-based therapies, with the intent to ultimately address the full spectrum of mutCALR MPN patients. We intend to file an IND or CTA for DMR-002 in the second half of 2026 and for DMR-003 in 2027.</w:t>
      </w:r>
    </w:p>
    <w:p>
      <w:pPr>
        <w:spacing w:after="0" w:line="188"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We periodically evaluate our product pipeline to assess whether development of certain assets in our portfolio align with our strategic objectives. Following a recent review of our product candidate portfolio, we have determined to focus on our mutCALR portfolio to address the full mutCALR MPN disease spectrum and have deprioritized continued development of GB3226, a small molecule inhibitor of ENL-YEATS and FLT3 for the treatment of AML. We intend to explore entering into one or more corporate partnerships or collaboration arrangements to advance the development and commercialization of our legacy assets, including GB3226, GB1211 (galectin-3 inhibitor candidate), and GB2064 (LOXL-2 inhibitor candidate).</w:t>
      </w:r>
    </w:p>
    <w:p>
      <w:pPr>
        <w:spacing w:after="0" w:line="200"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auto"/>
        </w:rPr>
        <w:t>Our operations to date have been financed primarily from our initial public offering, the issuance of common stock, convertible preferred stock and convertible notes. Since inception, we have had significant operating losses. Our net losses were $209.8 million and $21.4 million for the years ended December 31, 2025 and 2024, respectively. As of December 31, 2025, we had an accumulated deficit of $487.4 million and $257.6 million in cash and cash equivalents.</w:t>
      </w:r>
    </w:p>
    <w:p>
      <w:pPr>
        <w:spacing w:after="0" w:line="194"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Based on current estimates of our expenses going forward, we believe that our existing cash and cash equivalents of $257.6 million as of December 31, 2025 will be sufficient to fund our operations into Phase 3 development of DMR-001. We have based these estimates on assumptions that may prove to be wrong, and we could exhaust our available capital resources sooner than we expect.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w:t>
      </w:r>
    </w:p>
    <w:p>
      <w:pPr>
        <w:spacing w:after="0" w:line="200"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auto"/>
        </w:rPr>
        <w:t>On August 29, 2024, we effected a 1-for-25 reverse stock split of our issued and outstanding common stock. Accordingly, unless otherwise noted, all share and per share amounts for all periods presented in this Annual Report on Form 10-K have been adjusted retroactively, where applicable, to reflect this reverse stock split. All fractional shares resulting from the reverse stock split were rounded up to the nearest whole number.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 of Damora Therapeutics, Inc.</w:t>
      </w:r>
    </w:p>
    <w:p>
      <w:pPr>
        <w:spacing w:after="0" w:line="24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On November 10, 2025, we effected the Asset Acquisition to acquire Pre-Acquisition Damora in accordance with the terms of the Acquisition Agreement. Pursuant to the Acquisition Agreement, First Merger Sub merged with and into Pre-Acquisition Damora, pursuant to which Pre-Acquisition Damora was the surviving corporation and became a wholly owned subsidiary of the Company. Immediately following the First Merger, Pre-Acquisition Damora merged with and into Second Merger Sub, pursuant to which Second Merger Sub was the surviving entity.</w:t>
      </w:r>
    </w:p>
    <w:p>
      <w:pPr>
        <w:spacing w:after="0" w:line="19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Asset Acquisition was structured as a stock-for-stock transaction pursuant to which all of Pre-Acquisition Damora’s outstanding equity interests were exchanged based on a fixed exchange ratio of 1-for-1.6366, for consideration of a combination of 265,309 shares of common stock, 16,366 shares of Series B Preferred Stock (or 16,366,000 shares on an as-converted-to-common stock basis), and 4,241 shares of Series C Preferred Stock (or 4,241,000 shares on an as-converted-to-common stock basis), in addition to the assumption of outstanding and unexercised stock options to purchase 434,508 shares of common stock from the Damora Therapeutics, Inc. 2025 Equity Incentive Plan.</w:t>
      </w:r>
    </w:p>
    <w:p>
      <w:pPr>
        <w:spacing w:after="0" w:line="20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Concurrently with the Asset Acquisition, we entered into the Securities Purchase Agreement for a private investment with the Investors to raise $285 million in which the Investors were issued 39,641 shares of Series C Preferred Stock (or 39,641,000 shares on an as-converted-to-common stock basis) at a price of $7,186.90 per share (or $7.1869 per share on an as-converted-to-common stock basis). The PIPE closed on November 12, 2025. The Transactions were approved by our board of directors and the board of directors and stockholders of Pre-Acquisition Damora. The closings of the Transactions were not subject to the approval of our stockholders. Subject to certain beneficial ownership limitations set by each holder, each share of Series B Preferred Stock and Series C Preferred stock will be convertible at the option of the holder into 1,000 shares of common stock. Except as otherwise</w:t>
      </w:r>
    </w:p>
    <w:p>
      <w:pPr>
        <w:sectPr>
          <w:pgSz w:w="12960" w:h="17280" w:orient="portrait"/>
          <w:cols w:equalWidth="0" w:num="1">
            <w:col w:w="10520"/>
          </w:cols>
          <w:pgMar w:left="1360" w:top="1420" w:right="1080" w:bottom="895"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960" w:h="17280" w:orient="portrait"/>
          <w:cols w:equalWidth="0" w:num="1">
            <w:col w:w="10520"/>
          </w:cols>
          <w:pgMar w:left="1360" w:top="1420" w:right="1080" w:bottom="895" w:gutter="0" w:footer="0" w:header="0"/>
          <w:type w:val="continuous"/>
        </w:sectPr>
      </w:pPr>
    </w:p>
    <w:bookmarkStart w:id="81" w:name="page82"/>
    <w:bookmarkEnd w:id="81"/>
    <w:p>
      <w:pPr>
        <w:spacing w:after="0" w:line="243" w:lineRule="auto"/>
        <w:rPr>
          <w:sz w:val="20"/>
          <w:szCs w:val="20"/>
          <w:color w:val="auto"/>
        </w:rPr>
      </w:pPr>
      <w:r>
        <w:rPr>
          <w:rFonts w:ascii="Times New Roman" w:cs="Times New Roman" w:eastAsia="Times New Roman" w:hAnsi="Times New Roman"/>
          <w:sz w:val="20"/>
          <w:szCs w:val="20"/>
          <w:color w:val="auto"/>
        </w:rPr>
        <w:t>required by law (e.g. voting on a change to the authorized shares of Series B Preferred Stock or the rights of such shares as required by the DGCL) and the Series B Certificate of Designation, the Series B Preferred Stock does not have voting rights. Except as otherwise required by law (e.g. voting on a change to the authorized shares of Series C Preferred Stock or the rights of such shares as required by DGCL) and the Series C Certificate of Designation, the Series C Preferred Stock does not have voting rights. On February 9, 2026, we held a special meeting of stockholders of the company and received stockholder approval of, among other proposals, (i) the issuance of shares of common stock upon conversion of the Series B Preferred Stock and Series C Preferred Stock and (ii) the Share Increase of Amendment to increase the number of authorized shares of common stock from 300,000,000 to 500,000,000. Following the special meeting of stockholders of the company, on February 9, 2026, 42,005 shares of Series C Preferred Stock were automatically converted into 42,005,000 shares of common stock. On February 9, 2026, we filed with the Secretary of State of the State of Delaware the Share Increase Amendment to increase the number of authorized shares of common stock from 300,000,000 to 500,000,000.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Shelf Registration Statement, ATM Offering Program and February 2026 Public Offering</w:t>
      </w:r>
    </w:p>
    <w:p>
      <w:pPr>
        <w:spacing w:after="0" w:line="240" w:lineRule="exact"/>
        <w:rPr>
          <w:sz w:val="20"/>
          <w:szCs w:val="20"/>
          <w:color w:val="auto"/>
        </w:rPr>
      </w:pPr>
    </w:p>
    <w:p>
      <w:pPr>
        <w:jc w:val="both"/>
        <w:ind w:right="260" w:firstLine="490"/>
        <w:spacing w:after="0" w:line="277" w:lineRule="auto"/>
        <w:rPr>
          <w:sz w:val="20"/>
          <w:szCs w:val="20"/>
          <w:color w:val="auto"/>
        </w:rPr>
      </w:pPr>
      <w:r>
        <w:rPr>
          <w:rFonts w:ascii="Times New Roman" w:cs="Times New Roman" w:eastAsia="Times New Roman" w:hAnsi="Times New Roman"/>
          <w:sz w:val="20"/>
          <w:szCs w:val="20"/>
          <w:color w:val="auto"/>
        </w:rPr>
        <w:t>On February 10, 2026, we filed an automatically effective shelf registration statement (the “Registration Statement”) with the SEC for the issuance of common stock, preferred stock, warrants, debt securities, rights and units.</w:t>
      </w:r>
    </w:p>
    <w:p>
      <w:pPr>
        <w:spacing w:after="0" w:line="169" w:lineRule="exact"/>
        <w:rPr>
          <w:sz w:val="20"/>
          <w:szCs w:val="20"/>
          <w:color w:val="auto"/>
        </w:rPr>
      </w:pPr>
    </w:p>
    <w:p>
      <w:pPr>
        <w:jc w:val="both"/>
        <w:ind w:right="240" w:firstLine="490"/>
        <w:spacing w:after="0" w:line="258" w:lineRule="auto"/>
        <w:rPr>
          <w:sz w:val="20"/>
          <w:szCs w:val="20"/>
          <w:color w:val="auto"/>
        </w:rPr>
      </w:pPr>
      <w:r>
        <w:rPr>
          <w:rFonts w:ascii="Times New Roman" w:cs="Times New Roman" w:eastAsia="Times New Roman" w:hAnsi="Times New Roman"/>
          <w:sz w:val="20"/>
          <w:szCs w:val="20"/>
          <w:color w:val="auto"/>
        </w:rPr>
        <w:t>On February 10, 2026, we entered into the ATM Agreement, pursuant to which we may sell, from time-to-time, shares of our common stock under an ATM offering program for up to $150.0 million. As of the date of this filing, we have not made any sales under the ATM offering program and have $150.0 million in remaining capacity under the ATM offering program.</w:t>
      </w:r>
    </w:p>
    <w:p>
      <w:pPr>
        <w:spacing w:after="0" w:line="18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On February 10, 2026, we also entered into an underwriting agreement with certain underwriters to issue and sell 14,473,685 shares of our common stock, including the full exercise by the underwriters of their option to purchase an additional 2,171,052 shares, at a public offering price of $19.00 per share. The net proceeds from this offering were approximately $297.3 million, after deducting underwriting discounts and commissions and expenses of the offering. The underwritten offering closed on February 12, 2026.</w:t>
      </w:r>
    </w:p>
    <w:p>
      <w:pPr>
        <w:spacing w:after="0" w:line="197"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We intend to use the net proceeds from this offering to advance our preclinical studies, clinical trials, and manufacturing in support of our antibody programs, as well as for additional research and development activities, working capital, and general corporate purposes. We may also use a portion of the proceeds to license, acquire or invest in new product candidates or for drug development activities related to such product candidates, complementary businesses, technology or assets.</w:t>
      </w:r>
    </w:p>
    <w:p>
      <w:pPr>
        <w:spacing w:after="0" w:line="194"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auto"/>
        </w:rPr>
        <w:t>The underwritten offering was made pursuant to the Registration Statement. A final prospectus supplement dated February 10, 2026 relating to and describing the terms of the underwritten offering was filed with the SEC on February 11,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Name Change</w:t>
      </w:r>
    </w:p>
    <w:p>
      <w:pPr>
        <w:spacing w:after="0" w:line="240"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auto"/>
        </w:rPr>
        <w:t>On March 6, 2026, we filed with the Secretary of State of the State of Delaware an amendment to our amended and restated certificate of incorporation to change the name of the Company from “Galecto, Inc.” to “Damora Therapeutics, Inc.” (the “Name Change Amendment”). The Name Change Amendment became effective at 12:01 a.m. Eastern Time on March 10,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and Macroeconomic Conditions</w:t>
      </w:r>
    </w:p>
    <w:p>
      <w:pPr>
        <w:spacing w:after="0" w:line="244"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The extent of the impact of macroeconomic events and conditions, including inflation, increasing interest rates, increasing financial market volatility and uncertainty, the impacts of geopolitical instabilities and government actions, including the ongoing military conflict in Ukraine, conflict between Israel and various other parties, conflicts in the Middle East, geopolitical tensions between China and the United States, and the implementation of tariffs, sanctions, export or import controls, and other measures that restrict international trade by the United States, China or other governments, and their potential supply chain impact, and public health pandemics on our operational and financial performance will continue to depend on certain developments, including the impact on our clinical studies, employee or industry events, and effect on our suppliers and manufacturers, all of which are uncertain and cannot be predicted. Adverse effects of these large macroeconomic conditions have been prevalent in many of the areas where we and our suppliers or third-party business partners conduct business, and as a result, we may experience disruptions in our operations. We may experience disruptions or delays due to these factors as well as delays due to labor shortages and supply chain disruptions in distribution of clinical trial materials, trial monitoring and data analysis that could materially adversely impact our business, results of operations and overall financial performance in future periods. As of the filing date of this Annual Report, the extent to which these macroeconomic events and conditions may impact our financial condition, results of operations or guidance is uncertain. The effect of these macroeconomic events and conditions may not be fully reflected in our results of operations and overall financial performance until future periods. See Part I, Item 1A “Risk Factors” for further discussion of the possible impact of these macroeconomic conditions on our business.</w:t>
      </w:r>
    </w:p>
    <w:p>
      <w:pPr>
        <w:sectPr>
          <w:pgSz w:w="12960" w:h="17280" w:orient="portrait"/>
          <w:cols w:equalWidth="0" w:num="1">
            <w:col w:w="10500"/>
          </w:cols>
          <w:pgMar w:left="1360" w:top="1420" w:right="1100" w:bottom="895"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ectPr>
          <w:pgSz w:w="12960" w:h="17280" w:orient="portrait"/>
          <w:cols w:equalWidth="0" w:num="1">
            <w:col w:w="10500"/>
          </w:cols>
          <w:pgMar w:left="1360" w:top="1420" w:right="1100" w:bottom="895" w:gutter="0" w:footer="0" w:header="0"/>
          <w:type w:val="continuous"/>
        </w:sectPr>
      </w:pPr>
    </w:p>
    <w:bookmarkStart w:id="82" w:name="page83"/>
    <w:bookmarkEnd w:id="82"/>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Operating Results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40"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auto"/>
        </w:rPr>
        <w:t>Our operating expenses since inception have consisted primarily of research and development expenses and general and administrative costs.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38"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auto"/>
        </w:rPr>
        <w:t>Our research and development expenses consist primarily of costs incurred for the development of our product candidates and our drug discovery efforts, which include:</w:t>
      </w:r>
    </w:p>
    <w:p>
      <w:pPr>
        <w:spacing w:after="0" w:line="169" w:lineRule="exact"/>
        <w:rPr>
          <w:sz w:val="20"/>
          <w:szCs w:val="20"/>
          <w:color w:val="auto"/>
        </w:rPr>
      </w:pPr>
    </w:p>
    <w:p>
      <w:pPr>
        <w:ind w:left="1340" w:hanging="353"/>
        <w:spacing w:after="0"/>
        <w:tabs>
          <w:tab w:leader="none" w:pos="1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personnel costs, which include salaries, benefits and equity-based compensation expense;</w:t>
      </w:r>
    </w:p>
    <w:p>
      <w:pPr>
        <w:spacing w:after="0" w:line="120" w:lineRule="exact"/>
        <w:rPr>
          <w:rFonts w:ascii="Times New Roman" w:cs="Times New Roman" w:eastAsia="Times New Roman" w:hAnsi="Times New Roman"/>
          <w:sz w:val="20"/>
          <w:szCs w:val="20"/>
          <w:color w:val="auto"/>
        </w:rPr>
      </w:pPr>
    </w:p>
    <w:p>
      <w:pPr>
        <w:ind w:left="1340" w:hanging="353"/>
        <w:spacing w:after="0" w:line="277" w:lineRule="auto"/>
        <w:tabs>
          <w:tab w:leader="none" w:pos="1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incurred under agreements with consultants, and third-party contract organizations that conduct research and development activities on our behalf;</w:t>
      </w:r>
    </w:p>
    <w:p>
      <w:pPr>
        <w:spacing w:after="0" w:line="49" w:lineRule="exact"/>
        <w:rPr>
          <w:rFonts w:ascii="Times New Roman" w:cs="Times New Roman" w:eastAsia="Times New Roman" w:hAnsi="Times New Roman"/>
          <w:sz w:val="20"/>
          <w:szCs w:val="20"/>
          <w:color w:val="auto"/>
        </w:rPr>
      </w:pPr>
    </w:p>
    <w:p>
      <w:pPr>
        <w:ind w:left="1340" w:hanging="353"/>
        <w:spacing w:after="0"/>
        <w:tabs>
          <w:tab w:leader="none" w:pos="1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and pass through costs associated with research conducted under the Paragon Option Agreement;</w:t>
      </w:r>
    </w:p>
    <w:p>
      <w:pPr>
        <w:spacing w:after="0" w:line="120" w:lineRule="exact"/>
        <w:rPr>
          <w:rFonts w:ascii="Times New Roman" w:cs="Times New Roman" w:eastAsia="Times New Roman" w:hAnsi="Times New Roman"/>
          <w:sz w:val="20"/>
          <w:szCs w:val="20"/>
          <w:color w:val="auto"/>
        </w:rPr>
      </w:pPr>
    </w:p>
    <w:p>
      <w:pPr>
        <w:ind w:left="1340" w:hanging="353"/>
        <w:spacing w:after="0"/>
        <w:tabs>
          <w:tab w:leader="none" w:pos="1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sponsored research service agreements;</w:t>
      </w:r>
    </w:p>
    <w:p>
      <w:pPr>
        <w:spacing w:after="0" w:line="120" w:lineRule="exact"/>
        <w:rPr>
          <w:rFonts w:ascii="Times New Roman" w:cs="Times New Roman" w:eastAsia="Times New Roman" w:hAnsi="Times New Roman"/>
          <w:sz w:val="20"/>
          <w:szCs w:val="20"/>
          <w:color w:val="auto"/>
        </w:rPr>
      </w:pPr>
    </w:p>
    <w:p>
      <w:pPr>
        <w:ind w:left="1340" w:hanging="353"/>
        <w:spacing w:after="0"/>
        <w:tabs>
          <w:tab w:leader="none" w:pos="1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production of preclinical and clinical materials, including fees paid to contract manufacturers;</w:t>
      </w:r>
    </w:p>
    <w:p>
      <w:pPr>
        <w:spacing w:after="0" w:line="120" w:lineRule="exact"/>
        <w:rPr>
          <w:rFonts w:ascii="Times New Roman" w:cs="Times New Roman" w:eastAsia="Times New Roman" w:hAnsi="Times New Roman"/>
          <w:sz w:val="20"/>
          <w:szCs w:val="20"/>
          <w:color w:val="auto"/>
        </w:rPr>
      </w:pPr>
    </w:p>
    <w:p>
      <w:pPr>
        <w:ind w:left="1340" w:hanging="353"/>
        <w:spacing w:after="0"/>
        <w:tabs>
          <w:tab w:leader="none" w:pos="1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laboratory and vendor expenses related to the execution of preclinical studies and planned clinical trials;</w:t>
      </w:r>
    </w:p>
    <w:p>
      <w:pPr>
        <w:spacing w:after="0" w:line="120" w:lineRule="exact"/>
        <w:rPr>
          <w:rFonts w:ascii="Times New Roman" w:cs="Times New Roman" w:eastAsia="Times New Roman" w:hAnsi="Times New Roman"/>
          <w:sz w:val="20"/>
          <w:szCs w:val="20"/>
          <w:color w:val="auto"/>
        </w:rPr>
      </w:pPr>
    </w:p>
    <w:p>
      <w:pPr>
        <w:ind w:left="1340" w:hanging="353"/>
        <w:spacing w:after="0"/>
        <w:tabs>
          <w:tab w:leader="none" w:pos="1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laboratory supplies and equipment used for internal research and development activities; and</w:t>
      </w:r>
    </w:p>
    <w:p>
      <w:pPr>
        <w:spacing w:after="0" w:line="120" w:lineRule="exact"/>
        <w:rPr>
          <w:rFonts w:ascii="Times New Roman" w:cs="Times New Roman" w:eastAsia="Times New Roman" w:hAnsi="Times New Roman"/>
          <w:sz w:val="20"/>
          <w:szCs w:val="20"/>
          <w:color w:val="auto"/>
        </w:rPr>
      </w:pPr>
    </w:p>
    <w:p>
      <w:pPr>
        <w:ind w:left="1340" w:hanging="353"/>
        <w:spacing w:after="0"/>
        <w:tabs>
          <w:tab w:leader="none" w:pos="1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acquired in-process research and development programs.</w:t>
      </w:r>
    </w:p>
    <w:p>
      <w:pPr>
        <w:spacing w:after="0" w:line="24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We expense all research and development costs in the periods in which they are incurred, including for acquired in- process research and development. Costs for certain research and development activities are recognized based on an evaluation of the progress to completion of specific tasks using information and data provided to us by our vendors and third-party service providers.</w:t>
      </w:r>
    </w:p>
    <w:p>
      <w:pPr>
        <w:spacing w:after="0" w:line="194"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2025, we recognized $22.1 million of research and development expenses in connection with services provided by Paragon under the Paragon Option Agreement in our consolidated statement of operations and comprehensive loss.</w:t>
      </w:r>
    </w:p>
    <w:p>
      <w:pPr>
        <w:spacing w:after="0" w:line="188"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We have historically met the requirements to receive a tax credit in Denmark of up to $0.8 million per year for losses resulting from research and development costs of up to approximately $3.9 million per year. The tax credit is reported as a reduction to research and development expense in the consolidated statements of operations. We recorded a reduction to research and development expense of $0.8 million in each of the years ended December 31, 2025 and 2024. The credits are available the following year, in 2026 and 2025, respectively.</w:t>
      </w:r>
    </w:p>
    <w:p>
      <w:pPr>
        <w:spacing w:after="0" w:line="197" w:lineRule="exact"/>
        <w:rPr>
          <w:sz w:val="20"/>
          <w:szCs w:val="20"/>
          <w:color w:val="auto"/>
        </w:rPr>
      </w:pPr>
    </w:p>
    <w:p>
      <w:pPr>
        <w:jc w:val="both"/>
        <w:ind w:right="640" w:firstLine="490"/>
        <w:spacing w:after="0" w:line="258" w:lineRule="auto"/>
        <w:rPr>
          <w:sz w:val="20"/>
          <w:szCs w:val="20"/>
          <w:color w:val="auto"/>
        </w:rPr>
      </w:pPr>
      <w:r>
        <w:rPr>
          <w:rFonts w:ascii="Times New Roman" w:cs="Times New Roman" w:eastAsia="Times New Roman" w:hAnsi="Times New Roman"/>
          <w:sz w:val="20"/>
          <w:szCs w:val="20"/>
          <w:color w:val="auto"/>
        </w:rPr>
        <w:t>Our direct research and development expenses are not currently tracked on a program-by-program basis. We use our personnel and infrastructure resources across multiple research and development programs directed toward identifying and developing product candidates.</w:t>
      </w:r>
    </w:p>
    <w:p>
      <w:pPr>
        <w:spacing w:after="0" w:line="18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Research and development activities account for a significant portion of our operating expenses. We expect our research and development expenses will increase substantially for the foreseeable future as we continue to invest in research and development activities related to the continued development of our programs, developing any future programs, including investments in manufacturing, as we advance any program we may identify and continue to conduct clinical trials. The process of conducting the necessary clinical research to obtain regulatory approval is costly and time- consuming, and the successful development of our product candidates is highly uncertain. Product candidates in later stages of clinical development generally incur higher development costs than those in earlier stages of clinical development, primarily due to the increased size and duration of later-stage clinical trials. As a result, we expect that if we pursue further development and testing of our product candidates, our research and development expenses will increase as our product candidates advance into clinical development and/or later stages of clinical development.</w:t>
      </w:r>
    </w:p>
    <w:p>
      <w:pPr>
        <w:spacing w:after="0" w:line="202" w:lineRule="exact"/>
        <w:rPr>
          <w:sz w:val="20"/>
          <w:szCs w:val="20"/>
          <w:color w:val="auto"/>
        </w:rPr>
      </w:pPr>
    </w:p>
    <w:p>
      <w:pPr>
        <w:jc w:val="both"/>
        <w:ind w:right="100" w:firstLine="490"/>
        <w:spacing w:after="0" w:line="258"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through commercialization. We are also</w:t>
      </w:r>
    </w:p>
    <w:p>
      <w:pPr>
        <w:sectPr>
          <w:pgSz w:w="12960" w:h="17280" w:orient="portrait"/>
          <w:cols w:equalWidth="0" w:num="1">
            <w:col w:w="10480"/>
          </w:cols>
          <w:pgMar w:left="1360" w:top="1440" w:right="1120" w:bottom="895" w:gutter="0" w:footer="0" w:header="0"/>
        </w:sect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77</w:t>
      </w:r>
    </w:p>
    <w:p>
      <w:pPr>
        <w:sectPr>
          <w:pgSz w:w="12960" w:h="17280" w:orient="portrait"/>
          <w:cols w:equalWidth="0" w:num="1">
            <w:col w:w="10480"/>
          </w:cols>
          <w:pgMar w:left="1360" w:top="1440" w:right="1120" w:bottom="895" w:gutter="0" w:footer="0" w:header="0"/>
          <w:type w:val="continuous"/>
        </w:sectPr>
      </w:pPr>
    </w:p>
    <w:bookmarkStart w:id="83" w:name="page84"/>
    <w:bookmarkEnd w:id="83"/>
    <w:p>
      <w:pPr>
        <w:ind w:right="60"/>
        <w:spacing w:after="0" w:line="258" w:lineRule="auto"/>
        <w:rPr>
          <w:sz w:val="20"/>
          <w:szCs w:val="20"/>
          <w:color w:val="auto"/>
        </w:rPr>
      </w:pPr>
      <w:r>
        <w:rPr>
          <w:rFonts w:ascii="Times New Roman" w:cs="Times New Roman" w:eastAsia="Times New Roman" w:hAnsi="Times New Roman"/>
          <w:sz w:val="20"/>
          <w:szCs w:val="20"/>
          <w:color w:val="auto"/>
        </w:rPr>
        <w:t>unable to predict if, when, or to what extent we will obtain approval and generate revenues from the commercialization and sale of our product candidates. The duration, costs and timing of preclinical studies and clinical trials and development of our product candidates will depend on a variety of factors, including:</w:t>
      </w:r>
    </w:p>
    <w:p>
      <w:pPr>
        <w:spacing w:after="0" w:line="188" w:lineRule="exact"/>
        <w:rPr>
          <w:sz w:val="20"/>
          <w:szCs w:val="20"/>
          <w:color w:val="auto"/>
        </w:rPr>
      </w:pPr>
    </w:p>
    <w:p>
      <w:pPr>
        <w:ind w:left="1340" w:right="280" w:hanging="353"/>
        <w:spacing w:after="0" w:line="258" w:lineRule="auto"/>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initiation, progress, timing, costs and results of preclinical studies and clinical trials for our product candidates, including DMR-001, DMR-002, DMR-003 and any our other product candidates we develop in the future;</w:t>
      </w:r>
    </w:p>
    <w:p>
      <w:pPr>
        <w:spacing w:after="0" w:line="68" w:lineRule="exact"/>
        <w:rPr>
          <w:rFonts w:ascii="Times New Roman" w:cs="Times New Roman" w:eastAsia="Times New Roman" w:hAnsi="Times New Roman"/>
          <w:sz w:val="20"/>
          <w:szCs w:val="20"/>
          <w:color w:val="auto"/>
        </w:rPr>
      </w:pPr>
    </w:p>
    <w:p>
      <w:pPr>
        <w:ind w:left="1340" w:right="360" w:hanging="353"/>
        <w:spacing w:after="0" w:line="277" w:lineRule="auto"/>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from our clinical programs that support an acceptable risk-benefit profile of our product candidates in the intended patient populations;</w:t>
      </w:r>
    </w:p>
    <w:p>
      <w:pPr>
        <w:spacing w:after="0" w:line="49" w:lineRule="exact"/>
        <w:rPr>
          <w:rFonts w:ascii="Times New Roman" w:cs="Times New Roman" w:eastAsia="Times New Roman" w:hAnsi="Times New Roman"/>
          <w:sz w:val="20"/>
          <w:szCs w:val="20"/>
          <w:color w:val="auto"/>
        </w:rPr>
      </w:pPr>
    </w:p>
    <w:p>
      <w:pPr>
        <w:ind w:left="1340" w:right="420" w:hanging="353"/>
        <w:spacing w:after="0" w:line="277" w:lineRule="auto"/>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by the FDA, regulatory authorities in Europe or other regulatory agencies of regulatory filings for DMR-001, DMR-002, DMR-003 and any future product candidates;</w:t>
      </w:r>
    </w:p>
    <w:p>
      <w:pPr>
        <w:spacing w:after="0" w:line="49" w:lineRule="exact"/>
        <w:rPr>
          <w:rFonts w:ascii="Times New Roman" w:cs="Times New Roman" w:eastAsia="Times New Roman" w:hAnsi="Times New Roman"/>
          <w:sz w:val="20"/>
          <w:szCs w:val="20"/>
          <w:color w:val="auto"/>
        </w:rPr>
      </w:pPr>
    </w:p>
    <w:p>
      <w:pPr>
        <w:ind w:left="1340" w:hanging="353"/>
        <w:spacing w:after="0"/>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maintenance of a workforce of experienced scientists and others to continue to develop our product candidates;</w:t>
      </w:r>
    </w:p>
    <w:p>
      <w:pPr>
        <w:spacing w:after="0" w:line="120" w:lineRule="exact"/>
        <w:rPr>
          <w:rFonts w:ascii="Times New Roman" w:cs="Times New Roman" w:eastAsia="Times New Roman" w:hAnsi="Times New Roman"/>
          <w:sz w:val="20"/>
          <w:szCs w:val="20"/>
          <w:color w:val="auto"/>
        </w:rPr>
      </w:pPr>
    </w:p>
    <w:p>
      <w:pPr>
        <w:ind w:left="1340" w:hanging="353"/>
        <w:spacing w:after="0"/>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application for and receipt of marketing approvals from applicable regulatory authorities;</w:t>
      </w:r>
    </w:p>
    <w:p>
      <w:pPr>
        <w:spacing w:after="0" w:line="120" w:lineRule="exact"/>
        <w:rPr>
          <w:rFonts w:ascii="Times New Roman" w:cs="Times New Roman" w:eastAsia="Times New Roman" w:hAnsi="Times New Roman"/>
          <w:sz w:val="20"/>
          <w:szCs w:val="20"/>
          <w:color w:val="auto"/>
        </w:rPr>
      </w:pPr>
    </w:p>
    <w:p>
      <w:pPr>
        <w:ind w:left="1340" w:right="720" w:hanging="353"/>
        <w:spacing w:after="0" w:line="277" w:lineRule="auto"/>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obtainment and maintenance of intellectual property protection and regulatory exclusivity for our product candidates;</w:t>
      </w:r>
    </w:p>
    <w:p>
      <w:pPr>
        <w:spacing w:after="0" w:line="49" w:lineRule="exact"/>
        <w:rPr>
          <w:rFonts w:ascii="Times New Roman" w:cs="Times New Roman" w:eastAsia="Times New Roman" w:hAnsi="Times New Roman"/>
          <w:sz w:val="20"/>
          <w:szCs w:val="20"/>
          <w:color w:val="auto"/>
        </w:rPr>
      </w:pPr>
    </w:p>
    <w:p>
      <w:pPr>
        <w:ind w:left="1340" w:hanging="353"/>
        <w:spacing w:after="0"/>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arrangements with third-party manufacturers for, or establishment of, commercial manufacturing capabilities;</w:t>
      </w:r>
    </w:p>
    <w:p>
      <w:pPr>
        <w:spacing w:after="0" w:line="120" w:lineRule="exact"/>
        <w:rPr>
          <w:rFonts w:ascii="Times New Roman" w:cs="Times New Roman" w:eastAsia="Times New Roman" w:hAnsi="Times New Roman"/>
          <w:sz w:val="20"/>
          <w:szCs w:val="20"/>
          <w:color w:val="auto"/>
        </w:rPr>
      </w:pPr>
    </w:p>
    <w:p>
      <w:pPr>
        <w:ind w:left="1340" w:right="260" w:hanging="353"/>
        <w:spacing w:after="0" w:line="277" w:lineRule="auto"/>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establishment of sales, marketing and distribution capabilities and successful launch of commercial sales of our products, if and when approved, whether alone or in collaboration with others;</w:t>
      </w:r>
    </w:p>
    <w:p>
      <w:pPr>
        <w:spacing w:after="0" w:line="49" w:lineRule="exact"/>
        <w:rPr>
          <w:rFonts w:ascii="Times New Roman" w:cs="Times New Roman" w:eastAsia="Times New Roman" w:hAnsi="Times New Roman"/>
          <w:sz w:val="20"/>
          <w:szCs w:val="20"/>
          <w:color w:val="auto"/>
        </w:rPr>
      </w:pPr>
    </w:p>
    <w:p>
      <w:pPr>
        <w:ind w:left="1340" w:hanging="353"/>
        <w:spacing w:after="0"/>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our products, if and when approved, by patients, the medical community and third-party payors;</w:t>
      </w:r>
    </w:p>
    <w:p>
      <w:pPr>
        <w:spacing w:after="0" w:line="120" w:lineRule="exact"/>
        <w:rPr>
          <w:rFonts w:ascii="Times New Roman" w:cs="Times New Roman" w:eastAsia="Times New Roman" w:hAnsi="Times New Roman"/>
          <w:sz w:val="20"/>
          <w:szCs w:val="20"/>
          <w:color w:val="auto"/>
        </w:rPr>
      </w:pPr>
    </w:p>
    <w:p>
      <w:pPr>
        <w:ind w:left="1340" w:hanging="353"/>
        <w:spacing w:after="0"/>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competition with other therapies;</w:t>
      </w:r>
    </w:p>
    <w:p>
      <w:pPr>
        <w:spacing w:after="0" w:line="120" w:lineRule="exact"/>
        <w:rPr>
          <w:rFonts w:ascii="Times New Roman" w:cs="Times New Roman" w:eastAsia="Times New Roman" w:hAnsi="Times New Roman"/>
          <w:sz w:val="20"/>
          <w:szCs w:val="20"/>
          <w:color w:val="auto"/>
        </w:rPr>
      </w:pPr>
    </w:p>
    <w:p>
      <w:pPr>
        <w:ind w:left="1340" w:right="120" w:hanging="353"/>
        <w:spacing w:after="0" w:line="277" w:lineRule="auto"/>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obtainment and maintenance of coverage, adequate pricing and adequate reimbursement from third-party payors, including government payors;</w:t>
      </w:r>
    </w:p>
    <w:p>
      <w:pPr>
        <w:spacing w:after="0" w:line="49" w:lineRule="exact"/>
        <w:rPr>
          <w:rFonts w:ascii="Times New Roman" w:cs="Times New Roman" w:eastAsia="Times New Roman" w:hAnsi="Times New Roman"/>
          <w:sz w:val="20"/>
          <w:szCs w:val="20"/>
          <w:color w:val="auto"/>
        </w:rPr>
      </w:pPr>
    </w:p>
    <w:p>
      <w:pPr>
        <w:ind w:left="1340" w:hanging="353"/>
        <w:spacing w:after="0"/>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maintenance, enforcement, defense and protection of our rights in our intellectual property portfolio;</w:t>
      </w:r>
    </w:p>
    <w:p>
      <w:pPr>
        <w:spacing w:after="0" w:line="120" w:lineRule="exact"/>
        <w:rPr>
          <w:rFonts w:ascii="Times New Roman" w:cs="Times New Roman" w:eastAsia="Times New Roman" w:hAnsi="Times New Roman"/>
          <w:sz w:val="20"/>
          <w:szCs w:val="20"/>
          <w:color w:val="auto"/>
        </w:rPr>
      </w:pPr>
    </w:p>
    <w:p>
      <w:pPr>
        <w:ind w:left="1340" w:right="360" w:hanging="353"/>
        <w:spacing w:after="0" w:line="277" w:lineRule="auto"/>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avoidance of infringement, misappropriation or other violations with respect to others’ intellectual property or proprietary rights; and</w:t>
      </w:r>
    </w:p>
    <w:p>
      <w:pPr>
        <w:spacing w:after="0" w:line="49" w:lineRule="exact"/>
        <w:rPr>
          <w:rFonts w:ascii="Times New Roman" w:cs="Times New Roman" w:eastAsia="Times New Roman" w:hAnsi="Times New Roman"/>
          <w:sz w:val="20"/>
          <w:szCs w:val="20"/>
          <w:color w:val="auto"/>
        </w:rPr>
      </w:pPr>
    </w:p>
    <w:p>
      <w:pPr>
        <w:ind w:left="1340" w:right="840" w:hanging="353"/>
        <w:spacing w:after="0" w:line="277" w:lineRule="auto"/>
        <w:tabs>
          <w:tab w:leader="none" w:pos="13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maintenance of a continued acceptable safety profile of our products following receipt of any marketing approvals.</w:t>
      </w:r>
    </w:p>
    <w:p>
      <w:pPr>
        <w:spacing w:after="0" w:line="169"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auto"/>
        </w:rPr>
        <w:t>We may never succeed in achieving regulatory approval for any of our product candidates.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i w:val="1"/>
          <w:iCs w:val="1"/>
          <w:color w:val="auto"/>
        </w:rPr>
        <w:t>Acquired In-process Research and Development Activities</w:t>
      </w:r>
    </w:p>
    <w:p>
      <w:pPr>
        <w:spacing w:after="0" w:line="23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Our acquired in-process research and development activities consist of payments pursuant to our business development transactions, including asset acquisitions. In-process research and development that is acquired in a transaction that does not qualify as a business combination under U.S. GAAP and that does not have an alternative future use is recorded to “Acquired in-process research and development expenses” (“AIPR&amp;D”) in our consolidated statements of income in the period in which it is acquired. We present the cost to acquire AIPR&amp;D within our “Cash flows from operating activities” in our consolidated statements of cash flows.</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38"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auto"/>
        </w:rPr>
        <w:t xml:space="preserve">Our general and administrative expenses consist primarily of personnel costs, depreciation expense and other expenses for outside professional services, including legal, human resources, audit and accounting services and facility-related fees not otherwise included in research and development expenses. Personnel costs consist of salaries, benefits and stock-based compensation expense, for our personnel in executive, finance and accounting, business operations and other administrative functions. </w:t>
      </w:r>
      <w:r>
        <w:rPr>
          <w:rFonts w:ascii="Times New Roman" w:cs="Times New Roman" w:eastAsia="Times New Roman" w:hAnsi="Times New Roman"/>
          <w:sz w:val="19"/>
          <w:szCs w:val="19"/>
          <w:color w:val="auto"/>
        </w:rPr>
        <w:t>We expect that our general and administrative expenses will increase substantially for the foreseeable future as we</w:t>
      </w:r>
    </w:p>
    <w:p>
      <w:pPr>
        <w:sectPr>
          <w:pgSz w:w="12960" w:h="17280" w:orient="portrait"/>
          <w:cols w:equalWidth="0" w:num="1">
            <w:col w:w="10520"/>
          </w:cols>
          <w:pgMar w:left="1360" w:top="1420" w:right="1080" w:bottom="895"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960" w:h="17280" w:orient="portrait"/>
          <w:cols w:equalWidth="0" w:num="1">
            <w:col w:w="10520"/>
          </w:cols>
          <w:pgMar w:left="1360" w:top="1420" w:right="1080" w:bottom="895" w:gutter="0" w:footer="0" w:header="0"/>
          <w:type w:val="continuous"/>
        </w:sectPr>
      </w:pPr>
    </w:p>
    <w:bookmarkStart w:id="84" w:name="page85"/>
    <w:bookmarkEnd w:id="84"/>
    <w:p>
      <w:pPr>
        <w:ind w:right="160"/>
        <w:spacing w:after="0" w:line="248" w:lineRule="auto"/>
        <w:rPr>
          <w:sz w:val="20"/>
          <w:szCs w:val="20"/>
          <w:color w:val="auto"/>
        </w:rPr>
      </w:pPr>
      <w:r>
        <w:rPr>
          <w:rFonts w:ascii="Times New Roman" w:cs="Times New Roman" w:eastAsia="Times New Roman" w:hAnsi="Times New Roman"/>
          <w:sz w:val="20"/>
          <w:szCs w:val="20"/>
          <w:color w:val="auto"/>
        </w:rPr>
        <w:t>increase our headcount and further establish our office space to support our expected growth. We also expect to incur increased expenses as a public company, including increased costs of accounting, audit, legal, regulatory and tax related services associated with maintaining compliance with SEC requirements, additional director and officer insurance costs, and investor and public relations costs. We also expect to incur additional intellectual property-related expenses as we file patent applications to protect innovations arising from our research and development activities.</w:t>
      </w:r>
    </w:p>
    <w:p>
      <w:pPr>
        <w:spacing w:after="0" w:line="2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i w:val="1"/>
          <w:iCs w:val="1"/>
          <w:color w:val="auto"/>
        </w:rPr>
        <w:t>Restructuring Costs</w:t>
      </w:r>
    </w:p>
    <w:p>
      <w:pPr>
        <w:spacing w:after="0" w:line="238"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Our restructuring costs consist primarily of expenses related to employee severance and notice period payments, benefits and related costs and other expenses including non-cash stock-based compensation expense related to the accelerated vesting of certain share-based awards, lease commitments and legal expenses. We anticipate that we will not incur any additional restructuring costs in the near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Our other income (expense), net is comprised of:</w:t>
      </w:r>
    </w:p>
    <w:p>
      <w:pPr>
        <w:spacing w:after="0" w:line="240" w:lineRule="exact"/>
        <w:rPr>
          <w:sz w:val="20"/>
          <w:szCs w:val="20"/>
          <w:color w:val="auto"/>
        </w:rPr>
      </w:pPr>
    </w:p>
    <w:p>
      <w:pPr>
        <w:ind w:left="1340" w:right="400" w:hanging="353"/>
        <w:spacing w:after="0" w:line="274" w:lineRule="auto"/>
        <w:tabs>
          <w:tab w:leader="none" w:pos="13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income: The interest income earned on our cash and cash equivalents is recorded in our statements of operations</w:t>
      </w:r>
      <w:r>
        <w:rPr>
          <w:rFonts w:ascii="Times New Roman" w:cs="Times New Roman" w:eastAsia="Times New Roman" w:hAnsi="Times New Roman"/>
          <w:sz w:val="24"/>
          <w:szCs w:val="24"/>
          <w:color w:val="auto"/>
        </w:rPr>
        <w:t>.</w:t>
      </w:r>
    </w:p>
    <w:p>
      <w:pPr>
        <w:spacing w:after="0" w:line="48" w:lineRule="exact"/>
        <w:rPr>
          <w:rFonts w:ascii="Times New Roman" w:cs="Times New Roman" w:eastAsia="Times New Roman" w:hAnsi="Times New Roman"/>
          <w:sz w:val="20"/>
          <w:szCs w:val="20"/>
          <w:color w:val="auto"/>
        </w:rPr>
      </w:pPr>
    </w:p>
    <w:p>
      <w:pPr>
        <w:ind w:left="1340" w:right="120" w:hanging="353"/>
        <w:spacing w:after="0" w:line="258" w:lineRule="auto"/>
        <w:tabs>
          <w:tab w:leader="none" w:pos="13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exchange: The functional currency of our subsidiaries in Denmark and Sweden is the Euro. Transactions denominated in currencies other than the Euro result in exchange gains and losses that are recorded in our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Results of Operations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Comparison of the Years Ended December 31, 2025 and 2024</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sets forth our results of operations for the years ended December 31, 2025 and 2024:</w:t>
      </w: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Pr>
          <w:p>
            <w:pPr>
              <w:spacing w:after="0"/>
              <w:rPr>
                <w:sz w:val="17"/>
                <w:szCs w:val="17"/>
                <w:color w:val="auto"/>
              </w:rPr>
            </w:pPr>
          </w:p>
        </w:tc>
        <w:tc>
          <w:tcPr>
            <w:tcW w:w="1580" w:type="dxa"/>
            <w:vAlign w:val="bottom"/>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Pr>
          <w:p>
            <w:pPr>
              <w:spacing w:after="0"/>
              <w:rPr>
                <w:sz w:val="17"/>
                <w:szCs w:val="17"/>
                <w:color w:val="auto"/>
              </w:rPr>
            </w:pPr>
          </w:p>
        </w:tc>
      </w:tr>
      <w:tr>
        <w:trPr>
          <w:trHeight w:val="193"/>
        </w:trPr>
        <w:tc>
          <w:tcPr>
            <w:tcW w:w="43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93"/>
        </w:trPr>
        <w:tc>
          <w:tcPr>
            <w:tcW w:w="43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44"/>
        </w:trPr>
        <w:tc>
          <w:tcPr>
            <w:tcW w:w="43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60" w:type="dxa"/>
            <w:vAlign w:val="bottom"/>
            <w:shd w:val="clear" w:color="auto" w:fill="D5EEEE"/>
          </w:tcPr>
          <w:p>
            <w:pPr>
              <w:spacing w:after="0"/>
              <w:rPr>
                <w:sz w:val="21"/>
                <w:szCs w:val="21"/>
                <w:color w:val="auto"/>
              </w:rPr>
            </w:pPr>
          </w:p>
        </w:tc>
        <w:tc>
          <w:tcPr>
            <w:tcW w:w="94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94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106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020" w:type="dxa"/>
            <w:vAlign w:val="bottom"/>
            <w:shd w:val="clear" w:color="auto" w:fill="D5EEEE"/>
          </w:tcPr>
          <w:p>
            <w:pPr>
              <w:spacing w:after="0"/>
              <w:rPr>
                <w:sz w:val="21"/>
                <w:szCs w:val="21"/>
                <w:color w:val="auto"/>
              </w:rPr>
            </w:pPr>
          </w:p>
        </w:tc>
      </w:tr>
      <w:tr>
        <w:trPr>
          <w:trHeight w:val="244"/>
        </w:trPr>
        <w:tc>
          <w:tcPr>
            <w:tcW w:w="4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26,877</w:t>
            </w:r>
          </w:p>
        </w:tc>
        <w:tc>
          <w:tcPr>
            <w:tcW w:w="24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6,398</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20,479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center"/>
              <w:ind w:right="202"/>
              <w:spacing w:after="0"/>
              <w:rPr>
                <w:sz w:val="20"/>
                <w:szCs w:val="20"/>
                <w:color w:val="auto"/>
              </w:rPr>
            </w:pPr>
            <w:r>
              <w:rPr>
                <w:rFonts w:ascii="Times New Roman" w:cs="Times New Roman" w:eastAsia="Times New Roman" w:hAnsi="Times New Roman"/>
                <w:sz w:val="20"/>
                <w:szCs w:val="20"/>
                <w:color w:val="auto"/>
              </w:rPr>
              <w:t>320%</w:t>
            </w:r>
          </w:p>
        </w:tc>
      </w:tr>
      <w:tr>
        <w:trPr>
          <w:trHeight w:val="244"/>
        </w:trPr>
        <w:tc>
          <w:tcPr>
            <w:tcW w:w="43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Acquired in-process research and development</w:t>
            </w:r>
          </w:p>
        </w:tc>
        <w:tc>
          <w:tcPr>
            <w:tcW w:w="26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174,310</w:t>
            </w:r>
          </w:p>
        </w:tc>
        <w:tc>
          <w:tcPr>
            <w:tcW w:w="24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4,395</w:t>
            </w:r>
          </w:p>
        </w:tc>
        <w:tc>
          <w:tcPr>
            <w:tcW w:w="22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169,915</w:t>
            </w:r>
          </w:p>
        </w:tc>
        <w:tc>
          <w:tcPr>
            <w:tcW w:w="24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020" w:type="dxa"/>
            <w:vAlign w:val="bottom"/>
            <w:shd w:val="clear" w:color="auto" w:fill="D5EEEE"/>
          </w:tcPr>
          <w:p>
            <w:pPr>
              <w:jc w:val="center"/>
              <w:ind w:right="202"/>
              <w:spacing w:after="0"/>
              <w:rPr>
                <w:sz w:val="20"/>
                <w:szCs w:val="20"/>
                <w:color w:val="auto"/>
              </w:rPr>
            </w:pPr>
            <w:r>
              <w:rPr>
                <w:rFonts w:ascii="Times New Roman" w:cs="Times New Roman" w:eastAsia="Times New Roman" w:hAnsi="Times New Roman"/>
                <w:sz w:val="20"/>
                <w:szCs w:val="20"/>
                <w:color w:val="auto"/>
                <w:w w:val="98"/>
              </w:rPr>
              <w:t>3866%</w:t>
            </w:r>
          </w:p>
        </w:tc>
      </w:tr>
      <w:tr>
        <w:trPr>
          <w:trHeight w:val="244"/>
        </w:trPr>
        <w:tc>
          <w:tcPr>
            <w:tcW w:w="4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10,499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(814)</w:t>
            </w:r>
          </w:p>
        </w:tc>
        <w:tc>
          <w:tcPr>
            <w:tcW w:w="280" w:type="dxa"/>
            <w:vAlign w:val="bottom"/>
          </w:tcPr>
          <w:p>
            <w:pPr>
              <w:spacing w:after="0"/>
              <w:rPr>
                <w:sz w:val="21"/>
                <w:szCs w:val="21"/>
                <w:color w:val="auto"/>
              </w:rPr>
            </w:pPr>
          </w:p>
        </w:tc>
        <w:tc>
          <w:tcPr>
            <w:tcW w:w="1020" w:type="dxa"/>
            <w:vAlign w:val="bottom"/>
          </w:tcPr>
          <w:p>
            <w:pPr>
              <w:jc w:val="center"/>
              <w:ind w:right="202"/>
              <w:spacing w:after="0"/>
              <w:rPr>
                <w:sz w:val="20"/>
                <w:szCs w:val="20"/>
                <w:color w:val="auto"/>
              </w:rPr>
            </w:pPr>
            <w:r>
              <w:rPr>
                <w:rFonts w:ascii="Times New Roman" w:cs="Times New Roman" w:eastAsia="Times New Roman" w:hAnsi="Times New Roman"/>
                <w:sz w:val="20"/>
                <w:szCs w:val="20"/>
                <w:color w:val="auto"/>
                <w:w w:val="95"/>
              </w:rPr>
              <w:t>-8%</w:t>
            </w:r>
          </w:p>
        </w:tc>
      </w:tr>
      <w:tr>
        <w:trPr>
          <w:trHeight w:val="244"/>
        </w:trPr>
        <w:tc>
          <w:tcPr>
            <w:tcW w:w="43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Restructuring costs</w:t>
            </w:r>
          </w:p>
        </w:tc>
        <w:tc>
          <w:tcPr>
            <w:tcW w:w="260" w:type="dxa"/>
            <w:vAlign w:val="bottom"/>
            <w:shd w:val="clear" w:color="auto" w:fill="D5EEEE"/>
          </w:tcPr>
          <w:p>
            <w:pPr>
              <w:spacing w:after="0"/>
              <w:rPr>
                <w:sz w:val="21"/>
                <w:szCs w:val="21"/>
                <w:color w:val="auto"/>
              </w:rPr>
            </w:pPr>
          </w:p>
        </w:tc>
        <w:tc>
          <w:tcPr>
            <w:tcW w:w="1180" w:type="dxa"/>
            <w:vAlign w:val="bottom"/>
            <w:gridSpan w:val="2"/>
            <w:shd w:val="clear" w:color="auto" w:fill="D5EEEE"/>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968</w:t>
            </w:r>
          </w:p>
        </w:tc>
        <w:tc>
          <w:tcPr>
            <w:tcW w:w="22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130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(968)</w:t>
            </w:r>
          </w:p>
        </w:tc>
        <w:tc>
          <w:tcPr>
            <w:tcW w:w="280" w:type="dxa"/>
            <w:vAlign w:val="bottom"/>
            <w:shd w:val="clear" w:color="auto" w:fill="D5EEEE"/>
          </w:tcPr>
          <w:p>
            <w:pPr>
              <w:spacing w:after="0"/>
              <w:rPr>
                <w:sz w:val="21"/>
                <w:szCs w:val="21"/>
                <w:color w:val="auto"/>
              </w:rPr>
            </w:pPr>
          </w:p>
        </w:tc>
        <w:tc>
          <w:tcPr>
            <w:tcW w:w="1020" w:type="dxa"/>
            <w:vAlign w:val="bottom"/>
            <w:shd w:val="clear" w:color="auto" w:fill="D5EEEE"/>
          </w:tcPr>
          <w:p>
            <w:pPr>
              <w:jc w:val="center"/>
              <w:ind w:right="202"/>
              <w:spacing w:after="0"/>
              <w:rPr>
                <w:sz w:val="20"/>
                <w:szCs w:val="20"/>
                <w:color w:val="auto"/>
              </w:rPr>
            </w:pPr>
            <w:r>
              <w:rPr>
                <w:rFonts w:ascii="Times New Roman" w:cs="Times New Roman" w:eastAsia="Times New Roman" w:hAnsi="Times New Roman"/>
                <w:sz w:val="20"/>
                <w:szCs w:val="20"/>
                <w:color w:val="auto"/>
                <w:w w:val="97"/>
              </w:rPr>
              <w:t>-100%</w:t>
            </w:r>
          </w:p>
        </w:tc>
      </w:tr>
      <w:tr>
        <w:trPr>
          <w:trHeight w:val="239"/>
        </w:trPr>
        <w:tc>
          <w:tcPr>
            <w:tcW w:w="4380" w:type="dxa"/>
            <w:vAlign w:val="bottom"/>
            <w:tcBorders>
              <w:bottom w:val="single" w:sz="8" w:color="D5EEEE"/>
            </w:tcBorders>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210,872</w:t>
            </w:r>
          </w:p>
        </w:tc>
        <w:tc>
          <w:tcPr>
            <w:tcW w:w="240" w:type="dxa"/>
            <w:vAlign w:val="bottom"/>
            <w:tcBorders>
              <w:bottom w:val="single" w:sz="8" w:color="D5EEEE"/>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22,260</w:t>
            </w:r>
          </w:p>
        </w:tc>
        <w:tc>
          <w:tcPr>
            <w:tcW w:w="220" w:type="dxa"/>
            <w:vAlign w:val="bottom"/>
            <w:tcBorders>
              <w:bottom w:val="single" w:sz="8" w:color="D5EEEE"/>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188,612</w:t>
            </w:r>
          </w:p>
        </w:tc>
        <w:tc>
          <w:tcPr>
            <w:tcW w:w="240" w:type="dxa"/>
            <w:vAlign w:val="bottom"/>
            <w:tcBorders>
              <w:bottom w:val="single" w:sz="8" w:color="D5EEEE"/>
            </w:tcBorders>
          </w:tcPr>
          <w:p>
            <w:pPr>
              <w:spacing w:after="0"/>
              <w:rPr>
                <w:sz w:val="20"/>
                <w:szCs w:val="20"/>
                <w:color w:val="auto"/>
              </w:rPr>
            </w:pPr>
          </w:p>
        </w:tc>
        <w:tc>
          <w:tcPr>
            <w:tcW w:w="280" w:type="dxa"/>
            <w:vAlign w:val="bottom"/>
            <w:tcBorders>
              <w:bottom w:val="single" w:sz="8" w:color="D5EEEE"/>
            </w:tcBorders>
          </w:tcPr>
          <w:p>
            <w:pPr>
              <w:spacing w:after="0"/>
              <w:rPr>
                <w:sz w:val="20"/>
                <w:szCs w:val="20"/>
                <w:color w:val="auto"/>
              </w:rPr>
            </w:pPr>
          </w:p>
        </w:tc>
        <w:tc>
          <w:tcPr>
            <w:tcW w:w="1020" w:type="dxa"/>
            <w:vAlign w:val="bottom"/>
            <w:tcBorders>
              <w:bottom w:val="single" w:sz="8" w:color="D5EEEE"/>
            </w:tcBorders>
          </w:tcPr>
          <w:p>
            <w:pPr>
              <w:jc w:val="center"/>
              <w:ind w:right="202"/>
              <w:spacing w:after="0"/>
              <w:rPr>
                <w:sz w:val="20"/>
                <w:szCs w:val="20"/>
                <w:color w:val="auto"/>
              </w:rPr>
            </w:pPr>
            <w:r>
              <w:rPr>
                <w:rFonts w:ascii="Times New Roman" w:cs="Times New Roman" w:eastAsia="Times New Roman" w:hAnsi="Times New Roman"/>
                <w:sz w:val="20"/>
                <w:szCs w:val="20"/>
                <w:color w:val="auto"/>
              </w:rPr>
              <w:t>847%</w:t>
            </w:r>
          </w:p>
        </w:tc>
      </w:tr>
      <w:tr>
        <w:trPr>
          <w:trHeight w:val="239"/>
        </w:trPr>
        <w:tc>
          <w:tcPr>
            <w:tcW w:w="43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260" w:type="dxa"/>
            <w:vAlign w:val="bottom"/>
            <w:shd w:val="clear" w:color="auto" w:fill="D5EEEE"/>
          </w:tcPr>
          <w:p>
            <w:pPr>
              <w:spacing w:after="0"/>
              <w:rPr>
                <w:sz w:val="20"/>
                <w:szCs w:val="20"/>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(210,872)</w:t>
            </w:r>
          </w:p>
        </w:tc>
        <w:tc>
          <w:tcPr>
            <w:tcW w:w="24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(22,260)</w:t>
            </w:r>
          </w:p>
        </w:tc>
        <w:tc>
          <w:tcPr>
            <w:tcW w:w="220" w:type="dxa"/>
            <w:vAlign w:val="bottom"/>
            <w:shd w:val="clear" w:color="auto" w:fill="D5EEEE"/>
          </w:tcPr>
          <w:p>
            <w:pPr>
              <w:spacing w:after="0"/>
              <w:rPr>
                <w:sz w:val="20"/>
                <w:szCs w:val="20"/>
                <w:color w:val="auto"/>
              </w:rPr>
            </w:pPr>
          </w:p>
        </w:tc>
        <w:tc>
          <w:tcPr>
            <w:tcW w:w="140" w:type="dxa"/>
            <w:vAlign w:val="bottom"/>
            <w:shd w:val="clear" w:color="auto" w:fill="D5EEEE"/>
          </w:tcPr>
          <w:p>
            <w:pPr>
              <w:spacing w:after="0"/>
              <w:rPr>
                <w:sz w:val="20"/>
                <w:szCs w:val="20"/>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(188,612)</w:t>
            </w:r>
          </w:p>
        </w:tc>
        <w:tc>
          <w:tcPr>
            <w:tcW w:w="240" w:type="dxa"/>
            <w:vAlign w:val="bottom"/>
            <w:shd w:val="clear" w:color="auto" w:fill="D5EEEE"/>
          </w:tcPr>
          <w:p>
            <w:pPr>
              <w:spacing w:after="0"/>
              <w:rPr>
                <w:sz w:val="20"/>
                <w:szCs w:val="20"/>
                <w:color w:val="auto"/>
              </w:rPr>
            </w:pPr>
          </w:p>
        </w:tc>
        <w:tc>
          <w:tcPr>
            <w:tcW w:w="280" w:type="dxa"/>
            <w:vAlign w:val="bottom"/>
            <w:shd w:val="clear" w:color="auto" w:fill="D5EEEE"/>
          </w:tcPr>
          <w:p>
            <w:pPr>
              <w:spacing w:after="0"/>
              <w:rPr>
                <w:sz w:val="20"/>
                <w:szCs w:val="20"/>
                <w:color w:val="auto"/>
              </w:rPr>
            </w:pPr>
          </w:p>
        </w:tc>
        <w:tc>
          <w:tcPr>
            <w:tcW w:w="1020" w:type="dxa"/>
            <w:vAlign w:val="bottom"/>
            <w:shd w:val="clear" w:color="auto" w:fill="D5EEEE"/>
          </w:tcPr>
          <w:p>
            <w:pPr>
              <w:jc w:val="center"/>
              <w:ind w:right="202"/>
              <w:spacing w:after="0"/>
              <w:rPr>
                <w:sz w:val="20"/>
                <w:szCs w:val="20"/>
                <w:color w:val="auto"/>
              </w:rPr>
            </w:pPr>
            <w:r>
              <w:rPr>
                <w:rFonts w:ascii="Times New Roman" w:cs="Times New Roman" w:eastAsia="Times New Roman" w:hAnsi="Times New Roman"/>
                <w:sz w:val="20"/>
                <w:szCs w:val="20"/>
                <w:color w:val="auto"/>
                <w:w w:val="97"/>
              </w:rPr>
              <w:t>-847%</w:t>
            </w:r>
          </w:p>
        </w:tc>
      </w:tr>
      <w:tr>
        <w:trPr>
          <w:trHeight w:val="244"/>
        </w:trPr>
        <w:tc>
          <w:tcPr>
            <w:tcW w:w="4380" w:type="dxa"/>
            <w:vAlign w:val="bottom"/>
            <w:tcBorders>
              <w:bottom w:val="single" w:sz="8" w:color="D5EEEE"/>
            </w:tcBorders>
          </w:tcPr>
          <w:p>
            <w:pPr>
              <w:ind w:left="200"/>
              <w:spacing w:after="0"/>
              <w:rPr>
                <w:sz w:val="20"/>
                <w:szCs w:val="20"/>
                <w:color w:val="auto"/>
              </w:rPr>
            </w:pPr>
            <w:r>
              <w:rPr>
                <w:rFonts w:ascii="Times New Roman" w:cs="Times New Roman" w:eastAsia="Times New Roman" w:hAnsi="Times New Roman"/>
                <w:sz w:val="20"/>
                <w:szCs w:val="20"/>
                <w:color w:val="auto"/>
              </w:rPr>
              <w:t>Other income, net</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1,083</w:t>
            </w:r>
          </w:p>
        </w:tc>
        <w:tc>
          <w:tcPr>
            <w:tcW w:w="240" w:type="dxa"/>
            <w:vAlign w:val="bottom"/>
            <w:tcBorders>
              <w:bottom w:val="single" w:sz="8" w:color="D5EEE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862</w:t>
            </w:r>
          </w:p>
        </w:tc>
        <w:tc>
          <w:tcPr>
            <w:tcW w:w="220" w:type="dxa"/>
            <w:vAlign w:val="bottom"/>
            <w:tcBorders>
              <w:bottom w:val="single" w:sz="8" w:color="D5EEEE"/>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240" w:type="dxa"/>
            <w:vAlign w:val="bottom"/>
            <w:tcBorders>
              <w:bottom w:val="single" w:sz="8" w:color="D5EEEE"/>
            </w:tcBorders>
          </w:tcPr>
          <w:p>
            <w:pPr>
              <w:spacing w:after="0"/>
              <w:rPr>
                <w:sz w:val="21"/>
                <w:szCs w:val="21"/>
                <w:color w:val="auto"/>
              </w:rPr>
            </w:pPr>
          </w:p>
        </w:tc>
        <w:tc>
          <w:tcPr>
            <w:tcW w:w="280" w:type="dxa"/>
            <w:vAlign w:val="bottom"/>
            <w:tcBorders>
              <w:bottom w:val="single" w:sz="8" w:color="D5EEEE"/>
            </w:tcBorders>
          </w:tcPr>
          <w:p>
            <w:pPr>
              <w:spacing w:after="0"/>
              <w:rPr>
                <w:sz w:val="21"/>
                <w:szCs w:val="21"/>
                <w:color w:val="auto"/>
              </w:rPr>
            </w:pPr>
          </w:p>
        </w:tc>
        <w:tc>
          <w:tcPr>
            <w:tcW w:w="1020" w:type="dxa"/>
            <w:vAlign w:val="bottom"/>
            <w:tcBorders>
              <w:bottom w:val="single" w:sz="8" w:color="D5EEEE"/>
            </w:tcBorders>
          </w:tcPr>
          <w:p>
            <w:pPr>
              <w:jc w:val="center"/>
              <w:ind w:right="202"/>
              <w:spacing w:after="0"/>
              <w:rPr>
                <w:sz w:val="20"/>
                <w:szCs w:val="20"/>
                <w:color w:val="auto"/>
              </w:rPr>
            </w:pPr>
            <w:r>
              <w:rPr>
                <w:rFonts w:ascii="Times New Roman" w:cs="Times New Roman" w:eastAsia="Times New Roman" w:hAnsi="Times New Roman"/>
                <w:sz w:val="20"/>
                <w:szCs w:val="20"/>
                <w:color w:val="auto"/>
                <w:w w:val="98"/>
              </w:rPr>
              <w:t>26%</w:t>
            </w:r>
          </w:p>
        </w:tc>
      </w:tr>
      <w:tr>
        <w:trPr>
          <w:trHeight w:val="239"/>
        </w:trPr>
        <w:tc>
          <w:tcPr>
            <w:tcW w:w="43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Loss before income tax expense</w:t>
            </w:r>
          </w:p>
        </w:tc>
        <w:tc>
          <w:tcPr>
            <w:tcW w:w="260" w:type="dxa"/>
            <w:vAlign w:val="bottom"/>
            <w:tcBorders>
              <w:bottom w:val="single" w:sz="8" w:color="auto"/>
            </w:tcBorders>
            <w:shd w:val="clear" w:color="auto" w:fill="D5EEEE"/>
          </w:tcPr>
          <w:p>
            <w:pPr>
              <w:spacing w:after="0"/>
              <w:rPr>
                <w:sz w:val="20"/>
                <w:szCs w:val="20"/>
                <w:color w:val="auto"/>
              </w:rPr>
            </w:pPr>
          </w:p>
        </w:tc>
        <w:tc>
          <w:tcPr>
            <w:tcW w:w="9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(209,789)</w:t>
            </w:r>
          </w:p>
        </w:tc>
        <w:tc>
          <w:tcPr>
            <w:tcW w:w="240" w:type="dxa"/>
            <w:vAlign w:val="bottom"/>
            <w:shd w:val="clear" w:color="auto" w:fill="D5EEEE"/>
          </w:tcPr>
          <w:p>
            <w:pPr>
              <w:spacing w:after="0"/>
              <w:rPr>
                <w:sz w:val="20"/>
                <w:szCs w:val="20"/>
                <w:color w:val="auto"/>
              </w:rPr>
            </w:pPr>
          </w:p>
        </w:tc>
        <w:tc>
          <w:tcPr>
            <w:tcW w:w="260" w:type="dxa"/>
            <w:vAlign w:val="bottom"/>
            <w:tcBorders>
              <w:bottom w:val="single" w:sz="8" w:color="auto"/>
            </w:tcBorders>
            <w:shd w:val="clear" w:color="auto" w:fill="D5EEEE"/>
          </w:tcPr>
          <w:p>
            <w:pPr>
              <w:spacing w:after="0"/>
              <w:rPr>
                <w:sz w:val="20"/>
                <w:szCs w:val="20"/>
                <w:color w:val="auto"/>
              </w:rPr>
            </w:pPr>
          </w:p>
        </w:tc>
        <w:tc>
          <w:tcPr>
            <w:tcW w:w="9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(21,398)</w:t>
            </w:r>
          </w:p>
        </w:tc>
        <w:tc>
          <w:tcPr>
            <w:tcW w:w="220" w:type="dxa"/>
            <w:vAlign w:val="bottom"/>
            <w:shd w:val="clear" w:color="auto" w:fill="D5EEEE"/>
          </w:tcPr>
          <w:p>
            <w:pPr>
              <w:spacing w:after="0"/>
              <w:rPr>
                <w:sz w:val="20"/>
                <w:szCs w:val="20"/>
                <w:color w:val="auto"/>
              </w:rPr>
            </w:pPr>
          </w:p>
        </w:tc>
        <w:tc>
          <w:tcPr>
            <w:tcW w:w="140" w:type="dxa"/>
            <w:vAlign w:val="bottom"/>
            <w:tcBorders>
              <w:bottom w:val="single" w:sz="8" w:color="auto"/>
            </w:tcBorders>
            <w:shd w:val="clear" w:color="auto" w:fill="D5EEEE"/>
          </w:tcPr>
          <w:p>
            <w:pPr>
              <w:spacing w:after="0"/>
              <w:rPr>
                <w:sz w:val="20"/>
                <w:szCs w:val="20"/>
                <w:color w:val="auto"/>
              </w:rPr>
            </w:pP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(188,391)</w:t>
            </w:r>
          </w:p>
        </w:tc>
        <w:tc>
          <w:tcPr>
            <w:tcW w:w="240" w:type="dxa"/>
            <w:vAlign w:val="bottom"/>
            <w:shd w:val="clear" w:color="auto" w:fill="D5EEEE"/>
          </w:tcPr>
          <w:p>
            <w:pPr>
              <w:spacing w:after="0"/>
              <w:rPr>
                <w:sz w:val="20"/>
                <w:szCs w:val="20"/>
                <w:color w:val="auto"/>
              </w:rPr>
            </w:pPr>
          </w:p>
        </w:tc>
        <w:tc>
          <w:tcPr>
            <w:tcW w:w="280" w:type="dxa"/>
            <w:vAlign w:val="bottom"/>
            <w:shd w:val="clear" w:color="auto" w:fill="D5EEEE"/>
          </w:tcPr>
          <w:p>
            <w:pPr>
              <w:spacing w:after="0"/>
              <w:rPr>
                <w:sz w:val="20"/>
                <w:szCs w:val="20"/>
                <w:color w:val="auto"/>
              </w:rPr>
            </w:pPr>
          </w:p>
        </w:tc>
        <w:tc>
          <w:tcPr>
            <w:tcW w:w="1020" w:type="dxa"/>
            <w:vAlign w:val="bottom"/>
            <w:shd w:val="clear" w:color="auto" w:fill="D5EEEE"/>
          </w:tcPr>
          <w:p>
            <w:pPr>
              <w:jc w:val="center"/>
              <w:ind w:right="202"/>
              <w:spacing w:after="0"/>
              <w:rPr>
                <w:sz w:val="20"/>
                <w:szCs w:val="20"/>
                <w:color w:val="auto"/>
              </w:rPr>
            </w:pPr>
            <w:r>
              <w:rPr>
                <w:rFonts w:ascii="Times New Roman" w:cs="Times New Roman" w:eastAsia="Times New Roman" w:hAnsi="Times New Roman"/>
                <w:sz w:val="20"/>
                <w:szCs w:val="20"/>
                <w:color w:val="auto"/>
                <w:w w:val="97"/>
              </w:rPr>
              <w:t>-880%</w:t>
            </w:r>
          </w:p>
        </w:tc>
      </w:tr>
      <w:tr>
        <w:trPr>
          <w:trHeight w:val="239"/>
        </w:trPr>
        <w:tc>
          <w:tcPr>
            <w:tcW w:w="4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Income tax expense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(9)</w:t>
            </w:r>
          </w:p>
        </w:tc>
        <w:tc>
          <w:tcPr>
            <w:tcW w:w="280" w:type="dxa"/>
            <w:vAlign w:val="bottom"/>
          </w:tcPr>
          <w:p>
            <w:pPr>
              <w:spacing w:after="0"/>
              <w:rPr>
                <w:sz w:val="20"/>
                <w:szCs w:val="20"/>
                <w:color w:val="auto"/>
              </w:rPr>
            </w:pPr>
          </w:p>
        </w:tc>
        <w:tc>
          <w:tcPr>
            <w:tcW w:w="1020" w:type="dxa"/>
            <w:vAlign w:val="bottom"/>
          </w:tcPr>
          <w:p>
            <w:pPr>
              <w:jc w:val="center"/>
              <w:ind w:right="202"/>
              <w:spacing w:after="0"/>
              <w:rPr>
                <w:sz w:val="20"/>
                <w:szCs w:val="20"/>
                <w:color w:val="auto"/>
              </w:rPr>
            </w:pPr>
            <w:r>
              <w:rPr>
                <w:rFonts w:ascii="Times New Roman" w:cs="Times New Roman" w:eastAsia="Times New Roman" w:hAnsi="Times New Roman"/>
                <w:sz w:val="20"/>
                <w:szCs w:val="20"/>
                <w:color w:val="auto"/>
              </w:rPr>
              <w:t>-22%</w:t>
            </w:r>
          </w:p>
        </w:tc>
      </w:tr>
      <w:tr>
        <w:trPr>
          <w:trHeight w:val="239"/>
        </w:trPr>
        <w:tc>
          <w:tcPr>
            <w:tcW w:w="438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Net loss</w:t>
            </w:r>
          </w:p>
        </w:tc>
        <w:tc>
          <w:tcPr>
            <w:tcW w:w="260" w:type="dxa"/>
            <w:vAlign w:val="bottom"/>
            <w:tcBorders>
              <w:top w:val="single" w:sz="8" w:color="auto"/>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(209,839)</w:t>
            </w:r>
          </w:p>
        </w:tc>
        <w:tc>
          <w:tcPr>
            <w:tcW w:w="240" w:type="dxa"/>
            <w:vAlign w:val="bottom"/>
            <w:tcBorders>
              <w:top w:val="single" w:sz="8" w:color="D5EEEE"/>
            </w:tcBorders>
            <w:shd w:val="clear" w:color="auto" w:fill="D5EEEE"/>
          </w:tcPr>
          <w:p>
            <w:pPr>
              <w:spacing w:after="0"/>
              <w:rPr>
                <w:sz w:val="20"/>
                <w:szCs w:val="20"/>
                <w:color w:val="auto"/>
              </w:rPr>
            </w:pPr>
          </w:p>
        </w:tc>
        <w:tc>
          <w:tcPr>
            <w:tcW w:w="260" w:type="dxa"/>
            <w:vAlign w:val="bottom"/>
            <w:tcBorders>
              <w:top w:val="single" w:sz="8" w:color="auto"/>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(21,439)</w:t>
            </w:r>
          </w:p>
        </w:tc>
        <w:tc>
          <w:tcPr>
            <w:tcW w:w="220" w:type="dxa"/>
            <w:vAlign w:val="bottom"/>
            <w:tcBorders>
              <w:top w:val="single" w:sz="8" w:color="D5EEEE"/>
            </w:tcBorders>
            <w:shd w:val="clear" w:color="auto" w:fill="D5EEEE"/>
          </w:tcPr>
          <w:p>
            <w:pPr>
              <w:spacing w:after="0"/>
              <w:rPr>
                <w:sz w:val="20"/>
                <w:szCs w:val="20"/>
                <w:color w:val="auto"/>
              </w:rPr>
            </w:pPr>
          </w:p>
        </w:tc>
        <w:tc>
          <w:tcPr>
            <w:tcW w:w="14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(188,400)</w:t>
            </w:r>
          </w:p>
        </w:tc>
        <w:tc>
          <w:tcPr>
            <w:tcW w:w="240" w:type="dxa"/>
            <w:vAlign w:val="bottom"/>
            <w:tcBorders>
              <w:top w:val="single" w:sz="8" w:color="D5EEEE"/>
            </w:tcBorders>
            <w:shd w:val="clear" w:color="auto" w:fill="D5EEEE"/>
          </w:tcPr>
          <w:p>
            <w:pPr>
              <w:spacing w:after="0"/>
              <w:rPr>
                <w:sz w:val="20"/>
                <w:szCs w:val="20"/>
                <w:color w:val="auto"/>
              </w:rPr>
            </w:pPr>
          </w:p>
        </w:tc>
        <w:tc>
          <w:tcPr>
            <w:tcW w:w="280" w:type="dxa"/>
            <w:vAlign w:val="bottom"/>
            <w:tcBorders>
              <w:top w:val="single" w:sz="8" w:color="D5EEEE"/>
            </w:tcBorders>
            <w:shd w:val="clear" w:color="auto" w:fill="D5EEEE"/>
          </w:tcPr>
          <w:p>
            <w:pPr>
              <w:spacing w:after="0"/>
              <w:rPr>
                <w:sz w:val="20"/>
                <w:szCs w:val="20"/>
                <w:color w:val="auto"/>
              </w:rPr>
            </w:pPr>
          </w:p>
        </w:tc>
        <w:tc>
          <w:tcPr>
            <w:tcW w:w="1020" w:type="dxa"/>
            <w:vAlign w:val="bottom"/>
            <w:tcBorders>
              <w:top w:val="single" w:sz="8" w:color="D5EEEE"/>
            </w:tcBorders>
            <w:shd w:val="clear" w:color="auto" w:fill="D5EEEE"/>
          </w:tcPr>
          <w:p>
            <w:pPr>
              <w:jc w:val="center"/>
              <w:ind w:right="202"/>
              <w:spacing w:after="0"/>
              <w:rPr>
                <w:sz w:val="20"/>
                <w:szCs w:val="20"/>
                <w:color w:val="auto"/>
              </w:rPr>
            </w:pPr>
            <w:r>
              <w:rPr>
                <w:rFonts w:ascii="Times New Roman" w:cs="Times New Roman" w:eastAsia="Times New Roman" w:hAnsi="Times New Roman"/>
                <w:sz w:val="20"/>
                <w:szCs w:val="20"/>
                <w:color w:val="auto"/>
                <w:w w:val="97"/>
              </w:rPr>
              <w:t>-879%</w:t>
            </w:r>
          </w:p>
        </w:tc>
      </w:tr>
      <w:tr>
        <w:trPr>
          <w:trHeight w:val="20"/>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960" w:h="17280" w:orient="portrait"/>
          <w:cols w:equalWidth="0" w:num="1">
            <w:col w:w="10520"/>
          </w:cols>
          <w:pgMar w:left="1360" w:top="1420" w:right="1080" w:bottom="895"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Research and development expenses were comprised of:</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(in</w:t>
            </w:r>
          </w:p>
        </w:tc>
        <w:tc>
          <w:tcPr>
            <w:tcW w:w="1360" w:type="dxa"/>
            <w:vAlign w:val="bottom"/>
            <w:gridSpan w:val="3"/>
          </w:tcPr>
          <w:p>
            <w:pPr>
              <w:jc w:val="center"/>
              <w:ind w:right="683"/>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4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Paramora Warrant</w:t>
            </w:r>
          </w:p>
        </w:tc>
        <w:tc>
          <w:tcPr>
            <w:tcW w:w="22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9,362</w:t>
            </w:r>
          </w:p>
        </w:tc>
        <w:tc>
          <w:tcPr>
            <w:tcW w:w="22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shd w:val="clear" w:color="auto" w:fill="D5EEEE"/>
          </w:tcPr>
          <w:p>
            <w:pPr>
              <w:jc w:val="center"/>
              <w:ind w:left="27"/>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9,362</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Preclinical studies and clinical trial-related activities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Chemistry, manufacturing and control</w:t>
            </w:r>
          </w:p>
        </w:tc>
        <w:tc>
          <w:tcPr>
            <w:tcW w:w="22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6,195</w:t>
            </w:r>
          </w:p>
        </w:tc>
        <w:tc>
          <w:tcPr>
            <w:tcW w:w="22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22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5,731</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Personnel</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542</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2,657</w:t>
            </w:r>
          </w:p>
        </w:tc>
        <w:tc>
          <w:tcPr>
            <w:tcW w:w="420" w:type="dxa"/>
            <w:vAlign w:val="bottom"/>
            <w:gridSpan w:val="2"/>
          </w:tcPr>
          <w:p>
            <w:pPr>
              <w:jc w:val="center"/>
              <w:ind w:left="27"/>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(2,115)</w:t>
            </w:r>
          </w:p>
        </w:tc>
        <w:tc>
          <w:tcPr>
            <w:tcW w:w="0" w:type="dxa"/>
            <w:vAlign w:val="bottom"/>
          </w:tcPr>
          <w:p>
            <w:pPr>
              <w:spacing w:after="0"/>
              <w:rPr>
                <w:sz w:val="1"/>
                <w:szCs w:val="1"/>
                <w:color w:val="auto"/>
              </w:rPr>
            </w:pPr>
          </w:p>
        </w:tc>
      </w:tr>
      <w:tr>
        <w:trPr>
          <w:trHeight w:val="244"/>
        </w:trPr>
        <w:tc>
          <w:tcPr>
            <w:tcW w:w="54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Consultants and other costs</w:t>
            </w:r>
          </w:p>
        </w:tc>
        <w:tc>
          <w:tcPr>
            <w:tcW w:w="220" w:type="dxa"/>
            <w:vAlign w:val="bottom"/>
            <w:tcBorders>
              <w:bottom w:val="single" w:sz="8" w:color="auto"/>
            </w:tcBorders>
            <w:shd w:val="clear" w:color="auto" w:fill="D5EEEE"/>
          </w:tcPr>
          <w:p>
            <w:pPr>
              <w:spacing w:after="0"/>
              <w:rPr>
                <w:sz w:val="21"/>
                <w:szCs w:val="21"/>
                <w:color w:val="auto"/>
              </w:rPr>
            </w:pPr>
          </w:p>
        </w:tc>
        <w:tc>
          <w:tcPr>
            <w:tcW w:w="9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3,975</w:t>
            </w:r>
          </w:p>
        </w:tc>
        <w:tc>
          <w:tcPr>
            <w:tcW w:w="220" w:type="dxa"/>
            <w:vAlign w:val="bottom"/>
            <w:shd w:val="clear" w:color="auto" w:fill="D5EEEE"/>
          </w:tcPr>
          <w:p>
            <w:pPr>
              <w:spacing w:after="0"/>
              <w:rPr>
                <w:sz w:val="21"/>
                <w:szCs w:val="21"/>
                <w:color w:val="auto"/>
              </w:rPr>
            </w:pPr>
          </w:p>
        </w:tc>
        <w:tc>
          <w:tcPr>
            <w:tcW w:w="240" w:type="dxa"/>
            <w:vAlign w:val="bottom"/>
            <w:tcBorders>
              <w:bottom w:val="single" w:sz="8" w:color="auto"/>
            </w:tcBorders>
            <w:shd w:val="clear" w:color="auto" w:fill="D5EEEE"/>
          </w:tcPr>
          <w:p>
            <w:pPr>
              <w:spacing w:after="0"/>
              <w:rPr>
                <w:sz w:val="21"/>
                <w:szCs w:val="21"/>
                <w:color w:val="auto"/>
              </w:rPr>
            </w:pPr>
          </w:p>
        </w:tc>
        <w:tc>
          <w:tcPr>
            <w:tcW w:w="9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1,733</w:t>
            </w:r>
          </w:p>
        </w:tc>
        <w:tc>
          <w:tcPr>
            <w:tcW w:w="220" w:type="dxa"/>
            <w:vAlign w:val="bottom"/>
            <w:shd w:val="clear" w:color="auto" w:fill="D5EEEE"/>
          </w:tcPr>
          <w:p>
            <w:pPr>
              <w:spacing w:after="0"/>
              <w:rPr>
                <w:sz w:val="21"/>
                <w:szCs w:val="21"/>
                <w:color w:val="auto"/>
              </w:rPr>
            </w:pPr>
          </w:p>
        </w:tc>
        <w:tc>
          <w:tcPr>
            <w:tcW w:w="200" w:type="dxa"/>
            <w:vAlign w:val="bottom"/>
            <w:tcBorders>
              <w:bottom w:val="single" w:sz="8" w:color="auto"/>
            </w:tcBorders>
            <w:shd w:val="clear" w:color="auto" w:fill="D5EEEE"/>
          </w:tcPr>
          <w:p>
            <w:pPr>
              <w:spacing w:after="0"/>
              <w:rPr>
                <w:sz w:val="21"/>
                <w:szCs w:val="21"/>
                <w:color w:val="auto"/>
              </w:rPr>
            </w:pPr>
          </w:p>
        </w:tc>
        <w:tc>
          <w:tcPr>
            <w:tcW w:w="9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2,242</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Total research and development expenses</w:t>
            </w: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26,877</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6,398</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Research and development expenses were $26.9 million for the year ended December 31, 2025, compared to $6.4 million for the year ended December 31, 2024. The increase of $20.5 million was primarily related to costs related to the Paramora Warrant of $9.4 million, increased preclinical studies and clinical trial-related expenses of $5.3 million, increased chemistry, manufacturing and control (“CMC”) activities of $5.7 million and increased consulting related costs and other research and development costs of $2.2 million; partially offset by decreased personnel costs of $2.1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Acquired In-Process Research and Development Costs</w:t>
      </w:r>
    </w:p>
    <w:p>
      <w:pPr>
        <w:spacing w:after="0" w:line="24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Acquired in-process research and development costs were $174.3 million for the year ended December 31, 2025, compared to $4.4 million for the year ended December 31, 2024. This increase in costs relate to the Asset Acquisition. The Asset Acquisition was structured as a stock-for-stock transaction pursuant to which all of Pre-Acquisition Damora’s outstanding equity interests were exchanged based on a fixed exchange ratio of 1-for-1.6366, for consideration of a combination of 265,309 shares of common stock, 16,366 shares of Series B Preferred Stock, and 4,241 shares of Series C Preferred Stock, in addition to the assumption of outstanding and unexercised stock options to purchase 434,508 shares of common stock from the Damora Therapeutics, Inc. 2025 Equity Incentive Plan. The acquired in-process research and development costs include the fair value of the common stock of $4.6 million, the fair value of the preferred stock of $148.1 million, the assumed assets of $0.2 million, the assumed specified liabilities of $19.5 million, and transaction costs of $2.3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4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General and administrative expenses were $9.7 million for the year ended December 31, 2025, compared to $ 10.5 million for the year ended December 31, 2024. The decrease of $0.8 million was primarily related to decreased stock-based compensation costs of $1.6 million; partially offset by increased personnel costs of $0.5 million and other general and administrative costs, net of $0.3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Costs</w:t>
      </w:r>
    </w:p>
    <w:p>
      <w:pPr>
        <w:spacing w:after="0" w:line="240"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auto"/>
        </w:rPr>
        <w:t>There were no restructuring costs for the year ended December 31, 2025. Restructuring costs were $1.0 million for the year ended December 31, 2024, primarily attributable to a reduction-in-force in the second quarter of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24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auto"/>
        </w:rPr>
        <w:t>Other income, net was $1.1 million for the year ended December 31, 2025, compared to $0.9 million for the year ended December 31, 2024. The increase of $0.2 million was primarily due to increased interest income, net; offset by increased foreign exchange loss, net.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24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Our operations to date have been financed primarily through our initial public offering, the sale and issuance of common stock and preferred shares and, prior to becoming a public company, convertible notes. During the year ended December 31, 2025, we raised $ 266.8 million in financing through the sale of Series C Preferred Stock in the PIPE completed in November 2025 in connection with the Asset Acquisition. In February 2026, we entered into the ATM Agreement, pursuant to which we may sell, from time-to-time, shares of our common stock under an ATM offering program for up to $150.0 million. As of the date of this</w:t>
      </w:r>
    </w:p>
    <w:p>
      <w:pPr>
        <w:sectPr>
          <w:pgSz w:w="12960" w:h="17280" w:orient="portrait"/>
          <w:cols w:equalWidth="0" w:num="1">
            <w:col w:w="10520"/>
          </w:cols>
          <w:pgMar w:left="1360" w:top="1420" w:right="1080" w:bottom="895"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960" w:h="17280" w:orient="portrait"/>
          <w:cols w:equalWidth="0" w:num="1">
            <w:col w:w="10520"/>
          </w:cols>
          <w:pgMar w:left="1360" w:top="1420" w:right="1080" w:bottom="895" w:gutter="0" w:footer="0" w:header="0"/>
          <w:type w:val="continuous"/>
        </w:sectPr>
      </w:pPr>
    </w:p>
    <w:bookmarkStart w:id="86" w:name="page87"/>
    <w:bookmarkEnd w:id="86"/>
    <w:p>
      <w:pPr>
        <w:ind w:right="20"/>
        <w:spacing w:after="0" w:line="249" w:lineRule="auto"/>
        <w:rPr>
          <w:sz w:val="20"/>
          <w:szCs w:val="20"/>
          <w:color w:val="auto"/>
        </w:rPr>
      </w:pPr>
      <w:r>
        <w:rPr>
          <w:rFonts w:ascii="Times New Roman" w:cs="Times New Roman" w:eastAsia="Times New Roman" w:hAnsi="Times New Roman"/>
          <w:sz w:val="20"/>
          <w:szCs w:val="20"/>
          <w:color w:val="auto"/>
        </w:rPr>
        <w:t>filing, we have not made any sales under the ATM offering program and have $ 150.0 million in remaining capacity under the ATM offering program. In February 2026, we also entered into an underwriting agreement with certain underwriters to issue and sell 14,473,685 shares of our common stock, including the full exercise by the underwriters of their option to purchase an additional 2,171,052 shares, at a public offering price of $19.00 per share. The net proceeds from this offering were approximately $297.3 million, after deducting underwriting discounts and commissions and expenses of the offering.</w:t>
      </w:r>
    </w:p>
    <w:p>
      <w:pPr>
        <w:spacing w:after="0" w:line="19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Since inception, we have had significant operating losses. Our net losses were $209.8 million and $21.4 million for the years ended December 31, 2025 and 2024, respectively. As of December 31, 2025, we had an accumulated deficit of $487.4 million and $257.6 million in cash and cash equivalents. 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our cash flows for the periods indicated:</w:t>
      </w:r>
    </w:p>
    <w:p>
      <w:pPr>
        <w:spacing w:after="0" w:line="200" w:lineRule="exact"/>
        <w:rPr>
          <w:sz w:val="20"/>
          <w:szCs w:val="20"/>
          <w:color w:val="auto"/>
        </w:rPr>
      </w:pPr>
    </w:p>
    <w:p>
      <w:pPr>
        <w:spacing w:after="0" w:line="330"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4138930</wp:posOffset>
                </wp:positionH>
                <wp:positionV relativeFrom="paragraph">
                  <wp:posOffset>0</wp:posOffset>
                </wp:positionV>
                <wp:extent cx="14859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9pt,0pt" to="442.9pt,0pt" o:allowincell="f" strokecolor="#000000" strokeweight="0.75pt"/>
            </w:pict>
          </mc:Fallback>
        </mc:AlternateContent>
      </w:r>
    </w:p>
    <w:tbl>
      <w:tblPr>
        <w:tblLayout w:type="fixed"/>
        <w:tblInd w:w="158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r>
      <w:tr>
        <w:trPr>
          <w:trHeight w:val="193"/>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6"/>
                <w:szCs w:val="16"/>
                <w:color w:val="auto"/>
              </w:rPr>
            </w:pPr>
          </w:p>
        </w:tc>
      </w:tr>
      <w:tr>
        <w:trPr>
          <w:trHeight w:val="244"/>
        </w:trPr>
        <w:tc>
          <w:tcPr>
            <w:tcW w:w="49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240" w:type="dxa"/>
            <w:vAlign w:val="bottom"/>
            <w:gridSpan w:val="2"/>
            <w:shd w:val="clear" w:color="auto" w:fill="D5EEEE"/>
          </w:tcPr>
          <w:p>
            <w:pPr>
              <w:jc w:val="right"/>
              <w:ind w:right="55"/>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(6,726)</w:t>
            </w:r>
          </w:p>
        </w:tc>
        <w:tc>
          <w:tcPr>
            <w:tcW w:w="300" w:type="dxa"/>
            <w:vAlign w:val="bottom"/>
            <w:gridSpan w:val="2"/>
            <w:shd w:val="clear" w:color="auto" w:fill="D5EEEE"/>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(18,623)</w:t>
            </w:r>
          </w:p>
        </w:tc>
      </w:tr>
      <w:tr>
        <w:trPr>
          <w:trHeight w:val="24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provided by investing activities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(17,374)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11,650</w:t>
            </w:r>
          </w:p>
        </w:tc>
        <w:tc>
          <w:tcPr>
            <w:tcW w:w="80" w:type="dxa"/>
            <w:vAlign w:val="bottom"/>
          </w:tcPr>
          <w:p>
            <w:pPr>
              <w:spacing w:after="0"/>
              <w:rPr>
                <w:sz w:val="21"/>
                <w:szCs w:val="21"/>
                <w:color w:val="auto"/>
              </w:rPr>
            </w:pPr>
          </w:p>
        </w:tc>
      </w:tr>
      <w:tr>
        <w:trPr>
          <w:trHeight w:val="244"/>
        </w:trPr>
        <w:tc>
          <w:tcPr>
            <w:tcW w:w="49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2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266,844</w:t>
            </w:r>
          </w:p>
        </w:tc>
        <w:tc>
          <w:tcPr>
            <w:tcW w:w="140" w:type="dxa"/>
            <w:vAlign w:val="bottom"/>
            <w:shd w:val="clear" w:color="auto" w:fill="D5EEEE"/>
          </w:tcPr>
          <w:p>
            <w:pPr>
              <w:spacing w:after="0"/>
              <w:rPr>
                <w:sz w:val="21"/>
                <w:szCs w:val="21"/>
                <w:color w:val="auto"/>
              </w:rPr>
            </w:pPr>
          </w:p>
        </w:tc>
        <w:tc>
          <w:tcPr>
            <w:tcW w:w="6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92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242,744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(6,973)</w:t>
            </w:r>
          </w:p>
        </w:tc>
        <w:tc>
          <w:tcPr>
            <w:tcW w:w="8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Used in Operating Activities</w:t>
      </w:r>
    </w:p>
    <w:p>
      <w:pPr>
        <w:spacing w:after="0" w:line="24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Cash used in operating activities of $6.7 million during the year ended December 31, 2025 was attributable to our net loss of $209.8 million and a net increase of $18.4 million in our working capital, offset by a net increase in non-cash items of $184.7 million principally with respect to non-cash in-process research and development costs in connection with the Asset Acquisition, non-cash issuance of the Paramora Warrant and non-cash stock-based compensation.</w:t>
      </w:r>
    </w:p>
    <w:p>
      <w:pPr>
        <w:spacing w:after="0" w:line="19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Cash used in operating activities of $ 18.6 million during the year ended December 31, 2024 was attributable to our net loss of $21.4 million and a net decrease of $2.7 million in our working capital, offset by a net increase in non-cash items of $5.5 million principally with respect to non-cash stock-based compensation, non-cash issuance of common stock and preferred stock in connection with the asset purchase agreement with Bridge Medicines LLC and non-cash amortization of the right of use lease asset.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Used in Investing Activities</w:t>
      </w:r>
    </w:p>
    <w:p>
      <w:pPr>
        <w:spacing w:after="0" w:line="240"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auto"/>
        </w:rPr>
        <w:t>Cash used in investing activities of $17.4 million for the year ended December 31, 2025 was attributable to Damora Asset Acquisition costs, net of cash assumed.</w:t>
      </w:r>
    </w:p>
    <w:p>
      <w:pPr>
        <w:spacing w:after="0" w:line="169"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auto"/>
        </w:rPr>
        <w:t>Cash provided by investing activities of $11.7 million for the year ended December 31, 2024 was attributable to proceeds from the sale of marketable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Financing Activities</w:t>
      </w:r>
    </w:p>
    <w:p>
      <w:pPr>
        <w:spacing w:after="0" w:line="240"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auto"/>
        </w:rPr>
        <w:t>Cash provided by financing activities of $ 266.8 million for the year ended December 31, 2025 was primarily attributable to the sale of Series C Preferred Stock in the PIPE completed in November 2025 in connection with the Asset Acquisition.</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had no financing activities for the year ended December 31,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Funding Requirements</w:t>
      </w:r>
    </w:p>
    <w:p>
      <w:pPr>
        <w:spacing w:after="0" w:line="242"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auto"/>
        </w:rPr>
        <w:t>Since inception, we have not generated any revenue from product sales. We do not expect to generate any meaningful product revenue unless and until we obtain regulatory approval of and commercialize DMR-001, DMR-002, DMR-003 or any</w:t>
      </w:r>
    </w:p>
    <w:p>
      <w:pPr>
        <w:sectPr>
          <w:pgSz w:w="12960" w:h="17280" w:orient="portrait"/>
          <w:cols w:equalWidth="0" w:num="1">
            <w:col w:w="10480"/>
          </w:cols>
          <w:pgMar w:left="1360" w:top="1420" w:right="1120" w:bottom="895" w:gutter="0" w:footer="0" w:header="0"/>
        </w:sect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81</w:t>
      </w:r>
    </w:p>
    <w:p>
      <w:pPr>
        <w:sectPr>
          <w:pgSz w:w="12960" w:h="17280" w:orient="portrait"/>
          <w:cols w:equalWidth="0" w:num="1">
            <w:col w:w="10480"/>
          </w:cols>
          <w:pgMar w:left="1360" w:top="1420" w:right="1120" w:bottom="895" w:gutter="0" w:footer="0" w:header="0"/>
          <w:type w:val="continuous"/>
        </w:sectPr>
      </w:pPr>
    </w:p>
    <w:bookmarkStart w:id="87" w:name="page88"/>
    <w:bookmarkEnd w:id="87"/>
    <w:p>
      <w:pPr>
        <w:spacing w:after="0" w:line="248" w:lineRule="auto"/>
        <w:rPr>
          <w:sz w:val="20"/>
          <w:szCs w:val="20"/>
          <w:color w:val="auto"/>
        </w:rPr>
      </w:pPr>
      <w:r>
        <w:rPr>
          <w:rFonts w:ascii="Times New Roman" w:cs="Times New Roman" w:eastAsia="Times New Roman" w:hAnsi="Times New Roman"/>
          <w:sz w:val="20"/>
          <w:szCs w:val="20"/>
          <w:color w:val="auto"/>
        </w:rPr>
        <w:t xml:space="preserve">future product candidates, and we do not know when, or if, that will occur. Until we can generate significant revenue from product sales, if ever, we will continue to require substantial additional capital to develop DMR-001, DMR-002, DMR-003 or any future product candidates and fund operations for the foreseeable future. We expect our expenses to increase in connection with our ongoing activities. We are subject to all the risks involved in the development of new biopharmaceutical products, and we may encounter unforeseen expenses, difficulties, complications, delays, and other unknown factors that may harm our business. </w:t>
      </w:r>
      <w:r>
        <w:rPr>
          <w:rFonts w:ascii="Times New Roman" w:cs="Times New Roman" w:eastAsia="Times New Roman" w:hAnsi="Times New Roman"/>
          <w:sz w:val="19"/>
          <w:szCs w:val="19"/>
          <w:color w:val="auto"/>
        </w:rPr>
        <w:t>We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expect to incur significant costs as we implement our development plans for DMR-001, DMR-002 and DMR-003 and we will need to obtain substantial additional funding to finance our continuing operations.</w:t>
      </w:r>
    </w:p>
    <w:p>
      <w:pPr>
        <w:spacing w:after="0" w:line="197"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auto"/>
        </w:rPr>
        <w:t>In order to complete the development of DMR-001, DMR-002, DMR-003 or any future product candidates and to build the sales, marketing and distribution infrastructure that we believe will be necessary to commercialize product candidates, if approved, we will require substantial additional capital. Accordingly, until such time that we can generate a sufficient amount of revenue from product sales or other sources, if ever, we expect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To the extent that we raise additional capital through equity financings, such as our ATM offering program,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capital through collaborations, partnerships, and other similar arrangements with third parties, we may be required to grant rights to develop and market product candidates that we would otherwise prefer to develop and market ourselves. We may be unable to raise additional capital from these sources on favorable terms, or at all. Our ability to raise additional capital may be adversely impacted by potential worsening global economic conditions and the disruptions to, and volatility in, the credit and financial markets in the United States and worldwide resulting from bank failures, other general macroeconomic conditions and otherwise. Our failure to obtain sufficient capital on acceptable terms when needed could have a material adverse effect on our business, results of operations or financial condition, including requiring us to seek other alternatives which may include, among others, a delay or termination of our clinical trials or the development of our product candidates, temporary or permanent curtailment of our operations, a sale of our assets, or other alternatives with strategic or financial partners. We cannot provide assurance that we will ever generate positive cash flow from operating activities.</w:t>
      </w:r>
    </w:p>
    <w:p>
      <w:pPr>
        <w:spacing w:after="0" w:line="219"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auto"/>
        </w:rPr>
        <w:t>Our primary uses of capital are, and we expect will continue to be, costs related to third-party clinical research, manufacturing and development services; laboratory expenses and costs for related supplies; clinical costs; compensation-related expenses; legal and other regulatory expenses; costs to operate as a public company; and general overhead costs.</w:t>
      </w:r>
    </w:p>
    <w:p>
      <w:pPr>
        <w:spacing w:after="0" w:line="187" w:lineRule="exact"/>
        <w:rPr>
          <w:sz w:val="20"/>
          <w:szCs w:val="20"/>
          <w:color w:val="auto"/>
        </w:rPr>
      </w:pPr>
    </w:p>
    <w:p>
      <w:pPr>
        <w:jc w:val="both"/>
        <w:ind w:right="120" w:firstLine="490"/>
        <w:spacing w:after="0" w:line="252" w:lineRule="auto"/>
        <w:rPr>
          <w:sz w:val="20"/>
          <w:szCs w:val="20"/>
          <w:color w:val="auto"/>
        </w:rPr>
      </w:pPr>
      <w:r>
        <w:rPr>
          <w:rFonts w:ascii="Times New Roman" w:cs="Times New Roman" w:eastAsia="Times New Roman" w:hAnsi="Times New Roman"/>
          <w:sz w:val="20"/>
          <w:szCs w:val="20"/>
          <w:color w:val="auto"/>
        </w:rPr>
        <w:t>Based on current estimates of our expenses going forward, we believe that our existing cash and cash equivalents of $257.6 million as of December 31, 2025 will be sufficient to fund our operations into Phase 3 development of DMR-001. We have based these estimates on assumptions that may prove to be wrong, and we could exhaust our available capital resources sooner than we expect.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244"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related disclosures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and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Costs</w:t>
      </w:r>
    </w:p>
    <w:p>
      <w:pPr>
        <w:spacing w:after="0" w:line="240"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We incur expenses associated with the development of our product candidates to conduct preclinical studies and clinical trials. Accounting for clinical trials relating to activities performed by CROs, CMOs and other external vendors requires management to exercise estimates in regard to the timing and accounting for these expenses. We estimate costs of research and development activities conducted by service providers, which include the conduct of sponsored research, preclinical studies and contract manufacturing activities. The diverse nature of services being provided under CRO and other arrangements, the different compensation arrangements that exist for each type of service and the lack of timely information related to certain clinical</w:t>
      </w:r>
    </w:p>
    <w:p>
      <w:pPr>
        <w:sectPr>
          <w:pgSz w:w="12960" w:h="17280" w:orient="portrait"/>
          <w:cols w:equalWidth="0" w:num="1">
            <w:col w:w="10500"/>
          </w:cols>
          <w:pgMar w:left="1360" w:top="1420" w:right="1100" w:bottom="895"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2960" w:h="17280" w:orient="portrait"/>
          <w:cols w:equalWidth="0" w:num="1">
            <w:col w:w="10500"/>
          </w:cols>
          <w:pgMar w:left="1360" w:top="1420" w:right="1100" w:bottom="895" w:gutter="0" w:footer="0" w:header="0"/>
          <w:type w:val="continuous"/>
        </w:sectPr>
      </w:pPr>
    </w:p>
    <w:bookmarkStart w:id="88" w:name="page89"/>
    <w:bookmarkEnd w:id="88"/>
    <w:p>
      <w:pPr>
        <w:spacing w:after="0" w:line="246" w:lineRule="auto"/>
        <w:rPr>
          <w:sz w:val="20"/>
          <w:szCs w:val="20"/>
          <w:color w:val="auto"/>
        </w:rPr>
      </w:pPr>
      <w:r>
        <w:rPr>
          <w:rFonts w:ascii="Times New Roman" w:cs="Times New Roman" w:eastAsia="Times New Roman" w:hAnsi="Times New Roman"/>
          <w:sz w:val="20"/>
          <w:szCs w:val="20"/>
          <w:color w:val="auto"/>
        </w:rPr>
        <w:t>activities complicates the estimation of accruals for services rendered by CROs, CMOs and other vendors in connection with preclinical studies and clinical trials. We record the estimated costs of research and development activities based upon the estimated amount of services provided by the CRO, CMOs and other vendors but not yet invoiced and include these costs in the accrued and other current liabilities or prepaid expenses on the balance sheets and within research and development expense on the consolidated statements of operations. In estimating the duration of a clinical study, we evaluate the start-up, treatment and wrap-up periods, compensation arrangements and services received attributable to each clinical trial and fluctuations are regularly tested against payment plans and trial completion assumptions.</w:t>
      </w:r>
    </w:p>
    <w:p>
      <w:pPr>
        <w:spacing w:after="0" w:line="20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We estimate these costs based on factors such as estimates of the work completed and budget provided, and in accordance with agreements established with our collaboration partners and third-party service providers. We make estimates in determining the accrued liabilities and prepaid expense balances in each reporting period. As actual costs become known, we adjust our accrued liabilities or prepaid expenses. We have not experienced any material differences between accrued costs and actual costs incurred since our inception.</w:t>
      </w:r>
    </w:p>
    <w:p>
      <w:pPr>
        <w:spacing w:after="0" w:line="197"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Our expenses related to clinical trials are based on estimates of patient enrollment and related expenses at clinical investigator sites as well as estimates for the services received and efforts expended pursuant to contracts with multiple research institutions and CROs that may be used to conduct and manage clinical trials on our behalf.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40"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 xml:space="preserve">We have issued stock-based compensation awards through the granting of stock awards, which generally vest over a four-year period. We account for stock-based compensation in accordance with Accounting Standards Codification (“ASC”) 718, </w:t>
      </w:r>
      <w:r>
        <w:rPr>
          <w:rFonts w:ascii="Times New Roman" w:cs="Times New Roman" w:eastAsia="Times New Roman" w:hAnsi="Times New Roman"/>
          <w:sz w:val="20"/>
          <w:szCs w:val="20"/>
          <w:i w:val="1"/>
          <w:iCs w:val="1"/>
          <w:color w:val="auto"/>
        </w:rPr>
        <w:t xml:space="preserve">Compensation-Stock Compensation </w:t>
      </w:r>
      <w:r>
        <w:rPr>
          <w:rFonts w:ascii="Times New Roman" w:cs="Times New Roman" w:eastAsia="Times New Roman" w:hAnsi="Times New Roman"/>
          <w:sz w:val="20"/>
          <w:szCs w:val="20"/>
          <w:color w:val="auto"/>
        </w:rPr>
        <w:t>(“ASC 718”). In accordance with ASC 718, compensation cost is measured at estimated fair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 and is recognized as compensation expense over the vesting period during which service is provided in exchange for the award.</w:t>
      </w:r>
    </w:p>
    <w:p>
      <w:pPr>
        <w:spacing w:after="0" w:line="197"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We use a Black-Scholes option pricing model to determine fair value of our stock options. The Black-Scholes option pricing model includes various assumptions, including the fair value of common shares, expected life of stock options, the expected volatility based on the historical volatility of a publicly traded set of peer companies and the expected risk-free interest rate. These assumptions reflect our best estimates, but they involve inherent uncertainties based on market conditions generally outside our control. As a result, if other assumptions had been used, stock-based compensation cost could have been materially impacted. Furthermore, if we use different assumptions for future grants, share-based compensation cost could be materially impacted in future periods.</w:t>
      </w:r>
    </w:p>
    <w:p>
      <w:pPr>
        <w:spacing w:after="0" w:line="200"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The fair value of our awards in the year ended December 31, 2025 has been estimated using Black-Scholes based on the following assumptions: term of 6.4 years; volatility of 101.9%; risk-free rate of 3.9%; and no expectation of dividends. The fair value of our awards in the year ended December 31, 2024 has been estimated using Black-Scholes based on the following assumptions: term of 6.0 years; volatility of 95.3%; risk-free rate of 4.0%; and no expectation of dividends.</w:t>
      </w:r>
    </w:p>
    <w:p>
      <w:pPr>
        <w:spacing w:after="0" w:line="194"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auto"/>
        </w:rPr>
        <w:t>We will continue to use judgment in evaluating the assumptions utilized for our equity-based compensation expense calculations on a prospective basis. In addition to the assumptions used in the Black-Scholes model, the amount of equity-based compensation expense we recognize in our consolidated financial statements includes stock option forfeitures as they occurred. We recognize forfeitures as they occur, and the compensation expense is reversed in the period that the forfeiture occurs.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4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Deferred tax assets and liabilities are recognized for the future tax consequences attributable to differences between the financial statement carrying amounts of existing assets and liabilities and their respective tax bases, and operating losses and tax credit carry forwards. Deferred tax assets and liabilities are measured using enacted statutory tax rates expected to apply to taxable income in the jurisdictions and years in which those temporary differences are expected to be recovered or settled. The effect on deferred tax assets and liabilities of a change in tax rates is recognized in income in the period that includes the enactment date.</w:t>
      </w:r>
    </w:p>
    <w:p>
      <w:pPr>
        <w:spacing w:after="0" w:line="197" w:lineRule="exact"/>
        <w:rPr>
          <w:sz w:val="20"/>
          <w:szCs w:val="20"/>
          <w:color w:val="auto"/>
        </w:rPr>
      </w:pPr>
    </w:p>
    <w:p>
      <w:pPr>
        <w:jc w:val="both"/>
        <w:ind w:right="200" w:firstLine="490"/>
        <w:spacing w:after="0" w:line="258" w:lineRule="auto"/>
        <w:rPr>
          <w:sz w:val="20"/>
          <w:szCs w:val="20"/>
          <w:color w:val="auto"/>
        </w:rPr>
      </w:pPr>
      <w:r>
        <w:rPr>
          <w:rFonts w:ascii="Times New Roman" w:cs="Times New Roman" w:eastAsia="Times New Roman" w:hAnsi="Times New Roman"/>
          <w:sz w:val="20"/>
          <w:szCs w:val="20"/>
          <w:color w:val="auto"/>
        </w:rPr>
        <w:t>Based on the level of historical operating results and projections for the taxable income for the future, we have determined that it is more likely than not that our net deferred tax assets will not be realized. Accordingly, we have recorded a full valuation allowance to reduce our deferred tax assets.</w:t>
      </w:r>
    </w:p>
    <w:p>
      <w:pPr>
        <w:sectPr>
          <w:pgSz w:w="12960" w:h="17280" w:orient="portrait"/>
          <w:cols w:equalWidth="0" w:num="1">
            <w:col w:w="10500"/>
          </w:cols>
          <w:pgMar w:left="1360" w:top="142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ectPr>
          <w:pgSz w:w="12960" w:h="17280" w:orient="portrait"/>
          <w:cols w:equalWidth="0" w:num="1">
            <w:col w:w="10500"/>
          </w:cols>
          <w:pgMar w:left="1360" w:top="1420" w:right="1100" w:bottom="895" w:gutter="0" w:footer="0" w:header="0"/>
          <w:type w:val="continuous"/>
        </w:sectPr>
      </w:pPr>
    </w:p>
    <w:bookmarkStart w:id="89" w:name="page90"/>
    <w:bookmarkEnd w:id="89"/>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We recognize tax benefits from uncertain tax positions only if (based on the technical merits of the position) it is more likely than not that the tax positions will be sustained on examination by the tax authority. The tax benefits recognized in the financial statements from such positions are measured based on the largest amount that is more than 50% likely to be realized upon ultimate settlement. We have not recorded any uncertain tax positions as of December 31, 2025 or 2024. We do not believe there will be any material changes in our unrecognized tax positions over the next 12 months. In the event we are assessed interest or penalties at some point in the future, they will be classified in the consolidated financial statements as a component of income tax expense. We have not incurred any interest or penalties.</w:t>
      </w:r>
    </w:p>
    <w:p>
      <w:pPr>
        <w:spacing w:after="0" w:line="20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We operate in multiple jurisdictions, both within and outside the United States, and may be subject to audits from various tax authorities. Management’s judgment is required in determining our provision for income taxes, our deferred tax assets and liabilities, liabilities for uncertain tax positions, and any valuation allowance recorded against our net deferred tax assets. We will monitor the extent to which our deferred tax assets may be realized and adjust the valuation allowance accordingly.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40"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auto"/>
        </w:rPr>
        <w:t>Refer to Note 2, “Summary of Significant Accounting Policies,” in the accompanying notes to our consolidated financial statements for the years ended December 31, 2025 and 2024 for a discussion of recent accounting pronouncements.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244"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We enter into contracts in the normal course of business with third-party service providers for clinical trials, preclinical research studies and testing, manufacturing and other services and products for operating purposes. We have not included our payment obligations under these contracts in the table, as these contracts generally provide for termination upon notice, and therefore, we believe that our non-cancelable obligations under these agreements are not material and we cannot reasonably estimate the timing of if and when they will occur. We could also enter into additional research, manufacturing, supplier and other agreements in the future, which may require up-front payments and even long-term commitments of cash.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Smaller Reporting Company Status</w:t>
      </w:r>
    </w:p>
    <w:p>
      <w:pPr>
        <w:spacing w:after="0" w:line="244"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We are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a smaller reporting company, we may choose to present only the two most recent fiscal years of audited financial statements in our Annual Report on Form 10-K, and smaller reporting companies have reduced disclosure obligations regarding executive compensation.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Effects of Inflation</w:t>
      </w:r>
    </w:p>
    <w:p>
      <w:pPr>
        <w:spacing w:after="0" w:line="244"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Our assets are primarily monetary, consisting of cash and cash equivalents. Because of their liquidity, these assets are not directly affected by inflation. Since we intend to retain and continue to use our equipment, furniture, fixtures and office equipment, computer hardware and software and leasehold improvements, we believe that the incremental inflation related to replacement costs of such items will not materially affect our operations. However, the rate of inflation affects our expense and use of our resources. We continue to monitor the impact of inflation on these costs in order to minimize its effects through productivity improvements and cost reductions. There can be no assurance, however, that our operating results will not be affected by inflation in the future.</w:t>
      </w:r>
    </w:p>
    <w:p>
      <w:pPr>
        <w:sectPr>
          <w:pgSz w:w="12960" w:h="17280" w:orient="portrait"/>
          <w:cols w:equalWidth="0" w:num="1">
            <w:col w:w="10520"/>
          </w:cols>
          <w:pgMar w:left="1360" w:top="142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960" w:h="17280" w:orient="portrait"/>
          <w:cols w:equalWidth="0" w:num="1">
            <w:col w:w="10520"/>
          </w:cols>
          <w:pgMar w:left="1360" w:top="1420" w:right="1080" w:bottom="895"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4" w:lineRule="exact"/>
        <w:rPr>
          <w:sz w:val="20"/>
          <w:szCs w:val="20"/>
          <w:color w:val="auto"/>
        </w:rPr>
      </w:pPr>
    </w:p>
    <w:p>
      <w:pPr>
        <w:ind w:right="660" w:firstLine="490"/>
        <w:spacing w:after="0" w:line="277" w:lineRule="auto"/>
        <w:rPr>
          <w:sz w:val="20"/>
          <w:szCs w:val="20"/>
          <w:color w:val="auto"/>
        </w:rPr>
      </w:pPr>
      <w:r>
        <w:rPr>
          <w:rFonts w:ascii="Times New Roman" w:cs="Times New Roman" w:eastAsia="Times New Roman" w:hAnsi="Times New Roman"/>
          <w:sz w:val="20"/>
          <w:szCs w:val="20"/>
          <w:color w:val="auto"/>
        </w:rPr>
        <w:t>We are a smaller reporting company as defined by Item 305(e) of Regulation S-K and are not required to provide the information otherwise required under this item.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44"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The financial statements required to be filed pursuant to this Item 8 are appended to this Annual Report on Form 10-K. An index of those financial statements is found in Item 15, Exhibits and Financial Statement Schedules, of this Annual Report on Form 10-K.</w:t>
      </w:r>
    </w:p>
    <w:p>
      <w:pPr>
        <w:spacing w:after="0" w:line="188"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auto"/>
        </w:rPr>
        <w:t>Our independent public accounting firm is EY Godkendt Revisionspartnerselskab, Copenhagen, Denmark, PCAOB Auditor ID 1757.</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24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Our management, with the participation of our principal executive officer and our principal financial officer, evaluated, as of the end of the period covered by this Annual Report on Form 10-K, the effectiveness of our disclosure controls and procedures. Based on that evaluation of our disclosure controls and procedures, our principal executive officer and principal financial officer concluded that our disclosure controls and procedures were effective at the reasonable assurance level as of December 31, 2025.</w:t>
      </w:r>
    </w:p>
    <w:p>
      <w:pPr>
        <w:spacing w:after="0" w:line="19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periodic and current reports we file or submit under the Exchange Act is accumulated and communicated to our management, including our principal executive officer and principal financial and accounting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Inherent Limitations of Internal Controls</w:t>
      </w:r>
    </w:p>
    <w:p>
      <w:pPr>
        <w:spacing w:after="0" w:line="24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24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Rules 13a-15(f) and 15d-15(f) of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U.S. generally accepted accounting principles.</w:t>
      </w:r>
    </w:p>
    <w:p>
      <w:pPr>
        <w:spacing w:after="0" w:line="202"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auto"/>
        </w:rPr>
        <w:t>Under the supervision and with the participation of management, including our principal executive officer and principal financial officer, we conducted an evaluation of the effectiveness of our internal control over financial reporting based on the 2013</w:t>
      </w:r>
    </w:p>
    <w:p>
      <w:pPr>
        <w:sectPr>
          <w:pgSz w:w="12960" w:h="17280" w:orient="portrait"/>
          <w:cols w:equalWidth="0" w:num="1">
            <w:col w:w="10520"/>
          </w:cols>
          <w:pgMar w:left="1360" w:top="1416" w:right="1080" w:bottom="895"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960" w:h="17280" w:orient="portrait"/>
          <w:cols w:equalWidth="0" w:num="1">
            <w:col w:w="10520"/>
          </w:cols>
          <w:pgMar w:left="1360" w:top="1416" w:right="1080" w:bottom="895" w:gutter="0" w:footer="0" w:header="0"/>
          <w:type w:val="continuous"/>
        </w:sectPr>
      </w:pPr>
    </w:p>
    <w:bookmarkStart w:id="91" w:name="page92"/>
    <w:bookmarkEnd w:id="91"/>
    <w:p>
      <w:pPr>
        <w:jc w:val="both"/>
        <w:ind w:right="340"/>
        <w:spacing w:after="0" w:line="258" w:lineRule="auto"/>
        <w:rPr>
          <w:sz w:val="20"/>
          <w:szCs w:val="20"/>
          <w:color w:val="auto"/>
        </w:rPr>
      </w:pPr>
      <w:r>
        <w:rPr>
          <w:rFonts w:ascii="Times New Roman" w:cs="Times New Roman" w:eastAsia="Times New Roman" w:hAnsi="Times New Roman"/>
          <w:sz w:val="20"/>
          <w:szCs w:val="20"/>
          <w:color w:val="auto"/>
        </w:rPr>
        <w:t>framework in Internal Control – Integrated Framework issued by the Committee of Sponsoring Organizations of the Treadway Commission (“COSO”). Based on our evaluation under that framework, management concluded that our internal control over financial reporting was effective as of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Attestation Report of the Registered Public Accounting Firm</w:t>
      </w:r>
    </w:p>
    <w:p>
      <w:pPr>
        <w:spacing w:after="0" w:line="24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on our internal control over financial reporting from our independent registered public accounting firm due to our status as a smaller reporting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40"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auto"/>
        </w:rPr>
        <w:t>There has been no change in our internal control over financial reporting as such term is defined in Rules 13a-15(f) and 15d-15(f) under the Exchange Act during our most recently completed fiscal quarter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Rule 10b5-1 Trading Plans</w:t>
      </w:r>
    </w:p>
    <w:p>
      <w:pPr>
        <w:spacing w:after="0" w:line="240"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During the three months ended December 31, 2025, none of the Company’s directors or officers adopted, materially modified, or terminated any contract, instruction, or written plan for the purchase or sale of Company securities that was intended to satisfy the affirmative defense conditions of Rule 10b5-1(c) or any non-Rule 10b5-1 trading arrangement.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960" w:h="17280" w:orient="portrait"/>
          <w:cols w:equalWidth="0" w:num="1">
            <w:col w:w="10500"/>
          </w:cols>
          <w:pgMar w:left="1360" w:top="142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ectPr>
          <w:pgSz w:w="12960" w:h="17280" w:orient="portrait"/>
          <w:cols w:equalWidth="0" w:num="1">
            <w:col w:w="10500"/>
          </w:cols>
          <w:pgMar w:left="1360" w:top="1420" w:right="1100" w:bottom="895" w:gutter="0" w:footer="0" w:header="0"/>
          <w:type w:val="continuous"/>
        </w:sectPr>
      </w:pPr>
    </w:p>
    <w:bookmarkStart w:id="92" w:name="page93"/>
    <w:bookmarkEnd w:id="92"/>
    <w:p>
      <w:pPr>
        <w:ind w:left="51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4"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10 will be included in our Definitive Proxy Statement to be filed with the SEC with respect to our 2026 Annual Meeting of Stockholders in the sections titled “Director Biographies,” “Executive Officers,” “The Board of Directors and its Committees,” and “Corporate Governance”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4"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11 will be included in our Definitive Proxy Statement to be filed with the SEC with respect to our 2026 Annual Meeting of Stockholders in the sections titled “Executive Officer Compensation” and “Director Compensation”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4"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12 will be included in our Definitive Proxy Statement to be filed with the SEC with respect to our 2026 Annual Meeting of Stockholders in the sections titled “Security Ownership of Certain Beneficial Owners and Management and Related Stockholder Matters” and “Equity Compensation Plan Information” and is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13 will be included in our Definitive Proxy Statement to be filed with the SEC with respect to our 2026 Annual Meeting of Stockholders in the sections titled “Certain Relationships and Related Person Transactions” and “The Board of Directors and its Committees – Board Independence”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4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14 will be included in our Definitive Proxy Statement to be filed with the SEC with respect to our 2026 Annual Meeting of Stockholders in the sections titled “Ratification of the Selection of Independent Registered Public Accounting Firm–Independent Registered Public Accounting Firm Fees” and “Ratification of the Selection of Independent Registered Public Accounting Firm–Pre-Approval Policies and Procedures” and is incorporated herein by reference.</w:t>
      </w:r>
    </w:p>
    <w:p>
      <w:pPr>
        <w:sectPr>
          <w:pgSz w:w="12960" w:h="17280" w:orient="portrait"/>
          <w:cols w:equalWidth="0" w:num="1">
            <w:col w:w="10500"/>
          </w:cols>
          <w:pgMar w:left="1360" w:top="1416"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ectPr>
          <w:pgSz w:w="12960" w:h="17280" w:orient="portrait"/>
          <w:cols w:equalWidth="0" w:num="1">
            <w:col w:w="10500"/>
          </w:cols>
          <w:pgMar w:left="1360" w:top="1416" w:right="1100" w:bottom="895"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44" w:lineRule="exact"/>
        <w:rPr>
          <w:sz w:val="20"/>
          <w:szCs w:val="20"/>
          <w:color w:val="auto"/>
        </w:rPr>
      </w:pPr>
    </w:p>
    <w:p>
      <w:pPr>
        <w:ind w:left="360" w:right="240" w:hanging="352"/>
        <w:spacing w:after="0" w:line="277"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list of the financial statements included herein, see Index to the Consolidated Financial Statements on page F-1 of this Annual Report on Form 10-K, incorporated into this Item by reference.</w:t>
      </w:r>
    </w:p>
    <w:p>
      <w:pPr>
        <w:spacing w:after="0" w:line="49" w:lineRule="exact"/>
        <w:rPr>
          <w:rFonts w:ascii="Times New Roman" w:cs="Times New Roman" w:eastAsia="Times New Roman" w:hAnsi="Times New Roman"/>
          <w:sz w:val="20"/>
          <w:szCs w:val="20"/>
          <w:color w:val="auto"/>
        </w:rPr>
      </w:pPr>
    </w:p>
    <w:p>
      <w:pPr>
        <w:ind w:left="360" w:right="260" w:hanging="352"/>
        <w:spacing w:after="0" w:line="277"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have been omitted because they are either not required or not applicable or the information is included in the consolidated financial statements or the notes thereto.</w:t>
      </w:r>
    </w:p>
    <w:p>
      <w:pPr>
        <w:spacing w:after="0" w:line="49"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 by</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4"/>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4"/>
        </w:trPr>
        <w:tc>
          <w:tcPr>
            <w:tcW w:w="2080" w:type="dxa"/>
            <w:vAlign w:val="bottom"/>
          </w:tcPr>
          <w:p>
            <w:pPr>
              <w:jc w:val="center"/>
              <w:ind w:left="9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Herein from Form or</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 File /</w:t>
            </w:r>
          </w:p>
        </w:tc>
      </w:tr>
      <w:tr>
        <w:trPr>
          <w:trHeight w:val="203"/>
        </w:trPr>
        <w:tc>
          <w:tcPr>
            <w:tcW w:w="2080" w:type="dxa"/>
            <w:vAlign w:val="bottom"/>
            <w:tcBorders>
              <w:bottom w:val="single" w:sz="8" w:color="auto"/>
            </w:tcBorders>
          </w:tcPr>
          <w:p>
            <w:pPr>
              <w:jc w:val="center"/>
              <w:ind w:left="9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7"/>
                <w:szCs w:val="17"/>
                <w:color w:val="auto"/>
              </w:rPr>
            </w:pPr>
          </w:p>
        </w:tc>
        <w:tc>
          <w:tcPr>
            <w:tcW w:w="36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Schedule</w:t>
            </w:r>
          </w:p>
        </w:tc>
        <w:tc>
          <w:tcPr>
            <w:tcW w:w="200" w:type="dxa"/>
            <w:vAlign w:val="bottom"/>
          </w:tcPr>
          <w:p>
            <w:pPr>
              <w:spacing w:after="0"/>
              <w:rPr>
                <w:sz w:val="17"/>
                <w:szCs w:val="17"/>
                <w:color w:val="auto"/>
              </w:rPr>
            </w:pP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 Number</w:t>
            </w:r>
          </w:p>
        </w:tc>
      </w:tr>
    </w:tbl>
    <w:p>
      <w:pPr>
        <w:spacing w:after="0" w:line="125" w:lineRule="exact"/>
        <w:rPr>
          <w:sz w:val="20"/>
          <w:szCs w:val="20"/>
          <w:color w:val="auto"/>
        </w:rPr>
      </w:pPr>
    </w:p>
    <w:p>
      <w:pPr>
        <w:sectPr>
          <w:pgSz w:w="12960" w:h="17280" w:orient="portrait"/>
          <w:cols w:equalWidth="0" w:num="1">
            <w:col w:w="10520"/>
          </w:cols>
          <w:pgMar w:left="1360" w:top="1416" w:right="1080" w:bottom="895" w:gutter="0" w:footer="0" w:header="0"/>
        </w:sectPr>
      </w:pPr>
    </w:p>
    <w:tbl>
      <w:tblPr>
        <w:tblLayout w:type="fixed"/>
        <w:tblInd w:w="1400" w:type="dxa"/>
        <w:tblCellMar>
          <w:top w:w="0" w:type="dxa"/>
          <w:left w:w="0" w:type="dxa"/>
          <w:bottom w:w="0" w:type="dxa"/>
          <w:right w:w="0" w:type="dxa"/>
        </w:tblCellMar>
      </w:tblPr>
      <w:tr>
        <w:trPr>
          <w:trHeight w:val="230"/>
        </w:trPr>
        <w:tc>
          <w:tcPr>
            <w:tcW w:w="5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2.1†</w:t>
            </w: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Asset Purchase Agreement by and between</w:t>
            </w:r>
          </w:p>
        </w:tc>
        <w:tc>
          <w:tcPr>
            <w:tcW w:w="0" w:type="dxa"/>
            <w:vAlign w:val="bottom"/>
          </w:tcPr>
          <w:p>
            <w:pPr>
              <w:spacing w:after="0"/>
              <w:rPr>
                <w:sz w:val="1"/>
                <w:szCs w:val="1"/>
                <w:color w:val="auto"/>
              </w:rPr>
            </w:pPr>
          </w:p>
        </w:tc>
      </w:tr>
      <w:tr>
        <w:trPr>
          <w:trHeight w:val="151"/>
        </w:trPr>
        <w:tc>
          <w:tcPr>
            <w:tcW w:w="560" w:type="dxa"/>
            <w:vAlign w:val="bottom"/>
            <w:vMerge w:val="continue"/>
          </w:tcPr>
          <w:p>
            <w:pPr>
              <w:spacing w:after="0"/>
              <w:rPr>
                <w:sz w:val="13"/>
                <w:szCs w:val="13"/>
                <w:color w:val="auto"/>
              </w:rPr>
            </w:pPr>
          </w:p>
        </w:tc>
        <w:tc>
          <w:tcPr>
            <w:tcW w:w="38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the Registrant and Bridge Medicines LLC.</w:t>
            </w:r>
          </w:p>
        </w:tc>
        <w:tc>
          <w:tcPr>
            <w:tcW w:w="0" w:type="dxa"/>
            <w:vAlign w:val="bottom"/>
          </w:tcPr>
          <w:p>
            <w:pPr>
              <w:spacing w:after="0"/>
              <w:rPr>
                <w:sz w:val="1"/>
                <w:szCs w:val="1"/>
                <w:color w:val="auto"/>
              </w:rPr>
            </w:pPr>
          </w:p>
        </w:tc>
      </w:tr>
      <w:tr>
        <w:trPr>
          <w:trHeight w:val="115"/>
        </w:trPr>
        <w:tc>
          <w:tcPr>
            <w:tcW w:w="56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5"/>
        </w:trPr>
        <w:tc>
          <w:tcPr>
            <w:tcW w:w="560" w:type="dxa"/>
            <w:vAlign w:val="bottom"/>
          </w:tcPr>
          <w:p>
            <w:pPr>
              <w:spacing w:after="0"/>
              <w:rPr>
                <w:sz w:val="24"/>
                <w:szCs w:val="24"/>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Agreement and Plan of Merger, dated</w:t>
            </w:r>
          </w:p>
        </w:tc>
        <w:tc>
          <w:tcPr>
            <w:tcW w:w="0" w:type="dxa"/>
            <w:vAlign w:val="bottom"/>
          </w:tcPr>
          <w:p>
            <w:pPr>
              <w:spacing w:after="0"/>
              <w:rPr>
                <w:sz w:val="1"/>
                <w:szCs w:val="1"/>
                <w:color w:val="auto"/>
              </w:rPr>
            </w:pPr>
          </w:p>
        </w:tc>
      </w:tr>
      <w:tr>
        <w:trPr>
          <w:trHeight w:val="229"/>
        </w:trPr>
        <w:tc>
          <w:tcPr>
            <w:tcW w:w="5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2.2†</w:t>
            </w: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November 10, 2025, by and among the</w:t>
            </w:r>
          </w:p>
        </w:tc>
        <w:tc>
          <w:tcPr>
            <w:tcW w:w="0" w:type="dxa"/>
            <w:vAlign w:val="bottom"/>
          </w:tcPr>
          <w:p>
            <w:pPr>
              <w:spacing w:after="0"/>
              <w:rPr>
                <w:sz w:val="1"/>
                <w:szCs w:val="1"/>
                <w:color w:val="auto"/>
              </w:rPr>
            </w:pPr>
          </w:p>
        </w:tc>
      </w:tr>
      <w:tr>
        <w:trPr>
          <w:trHeight w:val="151"/>
        </w:trPr>
        <w:tc>
          <w:tcPr>
            <w:tcW w:w="560" w:type="dxa"/>
            <w:vAlign w:val="bottom"/>
            <w:vMerge w:val="continue"/>
          </w:tcPr>
          <w:p>
            <w:pPr>
              <w:spacing w:after="0"/>
              <w:rPr>
                <w:sz w:val="13"/>
                <w:szCs w:val="13"/>
                <w:color w:val="auto"/>
              </w:rPr>
            </w:pPr>
          </w:p>
        </w:tc>
        <w:tc>
          <w:tcPr>
            <w:tcW w:w="38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Registrant, Daylight Merger Sub I, Inc.,</w:t>
            </w: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Daylight Merger Sub II, LLC and Damora</w:t>
            </w:r>
          </w:p>
        </w:tc>
        <w:tc>
          <w:tcPr>
            <w:tcW w:w="0" w:type="dxa"/>
            <w:vAlign w:val="bottom"/>
          </w:tcPr>
          <w:p>
            <w:pPr>
              <w:spacing w:after="0"/>
              <w:rPr>
                <w:sz w:val="1"/>
                <w:szCs w:val="1"/>
                <w:color w:val="auto"/>
              </w:rPr>
            </w:pPr>
          </w:p>
        </w:tc>
      </w:tr>
      <w:tr>
        <w:trPr>
          <w:trHeight w:val="266"/>
        </w:trPr>
        <w:tc>
          <w:tcPr>
            <w:tcW w:w="560" w:type="dxa"/>
            <w:vAlign w:val="bottom"/>
          </w:tcPr>
          <w:p>
            <w:pPr>
              <w:spacing w:after="0"/>
              <w:rPr>
                <w:sz w:val="23"/>
                <w:szCs w:val="23"/>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Therapeutics, Inc.</w:t>
            </w:r>
          </w:p>
        </w:tc>
        <w:tc>
          <w:tcPr>
            <w:tcW w:w="0" w:type="dxa"/>
            <w:vAlign w:val="bottom"/>
          </w:tcPr>
          <w:p>
            <w:pPr>
              <w:spacing w:after="0"/>
              <w:rPr>
                <w:sz w:val="1"/>
                <w:szCs w:val="1"/>
                <w:color w:val="auto"/>
              </w:rPr>
            </w:pPr>
          </w:p>
        </w:tc>
      </w:tr>
      <w:tr>
        <w:trPr>
          <w:trHeight w:val="286"/>
        </w:trPr>
        <w:tc>
          <w:tcPr>
            <w:tcW w:w="5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3.1</w:t>
            </w: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Amended and Restated Certificate of</w:t>
            </w:r>
          </w:p>
        </w:tc>
        <w:tc>
          <w:tcPr>
            <w:tcW w:w="0" w:type="dxa"/>
            <w:vAlign w:val="bottom"/>
          </w:tcPr>
          <w:p>
            <w:pPr>
              <w:spacing w:after="0"/>
              <w:rPr>
                <w:sz w:val="1"/>
                <w:szCs w:val="1"/>
                <w:color w:val="auto"/>
              </w:rPr>
            </w:pPr>
          </w:p>
        </w:tc>
      </w:tr>
      <w:tr>
        <w:trPr>
          <w:trHeight w:val="151"/>
        </w:trPr>
        <w:tc>
          <w:tcPr>
            <w:tcW w:w="560" w:type="dxa"/>
            <w:vAlign w:val="bottom"/>
            <w:vMerge w:val="continue"/>
          </w:tcPr>
          <w:p>
            <w:pPr>
              <w:spacing w:after="0"/>
              <w:rPr>
                <w:sz w:val="13"/>
                <w:szCs w:val="13"/>
                <w:color w:val="auto"/>
              </w:rPr>
            </w:pPr>
          </w:p>
        </w:tc>
        <w:tc>
          <w:tcPr>
            <w:tcW w:w="38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Incorporation of the Registrant.</w:t>
            </w:r>
          </w:p>
        </w:tc>
        <w:tc>
          <w:tcPr>
            <w:tcW w:w="0" w:type="dxa"/>
            <w:vAlign w:val="bottom"/>
          </w:tcPr>
          <w:p>
            <w:pPr>
              <w:spacing w:after="0"/>
              <w:rPr>
                <w:sz w:val="1"/>
                <w:szCs w:val="1"/>
                <w:color w:val="auto"/>
              </w:rPr>
            </w:pPr>
          </w:p>
        </w:tc>
      </w:tr>
      <w:tr>
        <w:trPr>
          <w:trHeight w:val="115"/>
        </w:trPr>
        <w:tc>
          <w:tcPr>
            <w:tcW w:w="56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560" w:type="dxa"/>
            <w:vAlign w:val="bottom"/>
          </w:tcPr>
          <w:p>
            <w:pPr>
              <w:spacing w:after="0"/>
              <w:rPr>
                <w:sz w:val="24"/>
                <w:szCs w:val="24"/>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Certificate of Amendment to Amended and</w:t>
            </w:r>
          </w:p>
        </w:tc>
        <w:tc>
          <w:tcPr>
            <w:tcW w:w="0" w:type="dxa"/>
            <w:vAlign w:val="bottom"/>
          </w:tcPr>
          <w:p>
            <w:pPr>
              <w:spacing w:after="0"/>
              <w:rPr>
                <w:sz w:val="1"/>
                <w:szCs w:val="1"/>
                <w:color w:val="auto"/>
              </w:rPr>
            </w:pPr>
          </w:p>
        </w:tc>
      </w:tr>
      <w:tr>
        <w:trPr>
          <w:trHeight w:val="230"/>
        </w:trPr>
        <w:tc>
          <w:tcPr>
            <w:tcW w:w="56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rPr>
              <w:t>3.2</w:t>
            </w: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Restated Certificate of Incorporation of the</w:t>
            </w:r>
          </w:p>
        </w:tc>
        <w:tc>
          <w:tcPr>
            <w:tcW w:w="0" w:type="dxa"/>
            <w:vAlign w:val="bottom"/>
          </w:tcPr>
          <w:p>
            <w:pPr>
              <w:spacing w:after="0"/>
              <w:rPr>
                <w:sz w:val="1"/>
                <w:szCs w:val="1"/>
                <w:color w:val="auto"/>
              </w:rPr>
            </w:pPr>
          </w:p>
        </w:tc>
      </w:tr>
      <w:tr>
        <w:trPr>
          <w:trHeight w:val="266"/>
        </w:trPr>
        <w:tc>
          <w:tcPr>
            <w:tcW w:w="560" w:type="dxa"/>
            <w:vAlign w:val="bottom"/>
          </w:tcPr>
          <w:p>
            <w:pPr>
              <w:spacing w:after="0"/>
              <w:rPr>
                <w:sz w:val="23"/>
                <w:szCs w:val="23"/>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(Reverse Stock Split).</w:t>
            </w:r>
          </w:p>
        </w:tc>
        <w:tc>
          <w:tcPr>
            <w:tcW w:w="0" w:type="dxa"/>
            <w:vAlign w:val="bottom"/>
          </w:tcPr>
          <w:p>
            <w:pPr>
              <w:spacing w:after="0"/>
              <w:rPr>
                <w:sz w:val="1"/>
                <w:szCs w:val="1"/>
                <w:color w:val="auto"/>
              </w:rPr>
            </w:pPr>
          </w:p>
        </w:tc>
      </w:tr>
      <w:tr>
        <w:trPr>
          <w:trHeight w:val="285"/>
        </w:trPr>
        <w:tc>
          <w:tcPr>
            <w:tcW w:w="5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3.3</w:t>
            </w: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Certificate of Amendment to Amended and</w:t>
            </w:r>
          </w:p>
        </w:tc>
        <w:tc>
          <w:tcPr>
            <w:tcW w:w="0" w:type="dxa"/>
            <w:vAlign w:val="bottom"/>
          </w:tcPr>
          <w:p>
            <w:pPr>
              <w:spacing w:after="0"/>
              <w:rPr>
                <w:sz w:val="1"/>
                <w:szCs w:val="1"/>
                <w:color w:val="auto"/>
              </w:rPr>
            </w:pPr>
          </w:p>
        </w:tc>
      </w:tr>
      <w:tr>
        <w:trPr>
          <w:trHeight w:val="230"/>
        </w:trPr>
        <w:tc>
          <w:tcPr>
            <w:tcW w:w="560" w:type="dxa"/>
            <w:vAlign w:val="bottom"/>
            <w:vMerge w:val="continue"/>
          </w:tcPr>
          <w:p>
            <w:pPr>
              <w:spacing w:after="0"/>
              <w:rPr>
                <w:sz w:val="19"/>
                <w:szCs w:val="19"/>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Restated Certificate of Incorporation of the</w:t>
            </w:r>
          </w:p>
        </w:tc>
        <w:tc>
          <w:tcPr>
            <w:tcW w:w="0" w:type="dxa"/>
            <w:vAlign w:val="bottom"/>
          </w:tcPr>
          <w:p>
            <w:pPr>
              <w:spacing w:after="0"/>
              <w:rPr>
                <w:sz w:val="1"/>
                <w:szCs w:val="1"/>
                <w:color w:val="auto"/>
              </w:rPr>
            </w:pPr>
          </w:p>
        </w:tc>
      </w:tr>
      <w:tr>
        <w:trPr>
          <w:trHeight w:val="266"/>
        </w:trPr>
        <w:tc>
          <w:tcPr>
            <w:tcW w:w="560" w:type="dxa"/>
            <w:vAlign w:val="bottom"/>
          </w:tcPr>
          <w:p>
            <w:pPr>
              <w:spacing w:after="0"/>
              <w:rPr>
                <w:sz w:val="23"/>
                <w:szCs w:val="23"/>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(Authorized Share Increase).</w:t>
            </w:r>
          </w:p>
        </w:tc>
        <w:tc>
          <w:tcPr>
            <w:tcW w:w="0" w:type="dxa"/>
            <w:vAlign w:val="bottom"/>
          </w:tcPr>
          <w:p>
            <w:pPr>
              <w:spacing w:after="0"/>
              <w:rPr>
                <w:sz w:val="1"/>
                <w:szCs w:val="1"/>
                <w:color w:val="auto"/>
              </w:rPr>
            </w:pPr>
          </w:p>
        </w:tc>
      </w:tr>
      <w:tr>
        <w:trPr>
          <w:trHeight w:val="286"/>
        </w:trPr>
        <w:tc>
          <w:tcPr>
            <w:tcW w:w="560" w:type="dxa"/>
            <w:vAlign w:val="bottom"/>
          </w:tcPr>
          <w:p>
            <w:pPr>
              <w:spacing w:after="0"/>
              <w:rPr>
                <w:sz w:val="24"/>
                <w:szCs w:val="24"/>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Certificate of Amendment to Amended and</w:t>
            </w:r>
          </w:p>
        </w:tc>
        <w:tc>
          <w:tcPr>
            <w:tcW w:w="0" w:type="dxa"/>
            <w:vAlign w:val="bottom"/>
          </w:tcPr>
          <w:p>
            <w:pPr>
              <w:spacing w:after="0"/>
              <w:rPr>
                <w:sz w:val="1"/>
                <w:szCs w:val="1"/>
                <w:color w:val="auto"/>
              </w:rPr>
            </w:pPr>
          </w:p>
        </w:tc>
      </w:tr>
      <w:tr>
        <w:trPr>
          <w:trHeight w:val="230"/>
        </w:trPr>
        <w:tc>
          <w:tcPr>
            <w:tcW w:w="56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rPr>
              <w:t>3.4</w:t>
            </w: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Restated Certificate of Incorporation of the</w:t>
            </w:r>
          </w:p>
        </w:tc>
        <w:tc>
          <w:tcPr>
            <w:tcW w:w="0" w:type="dxa"/>
            <w:vAlign w:val="bottom"/>
          </w:tcPr>
          <w:p>
            <w:pPr>
              <w:spacing w:after="0"/>
              <w:rPr>
                <w:sz w:val="1"/>
                <w:szCs w:val="1"/>
                <w:color w:val="auto"/>
              </w:rPr>
            </w:pPr>
          </w:p>
        </w:tc>
      </w:tr>
      <w:tr>
        <w:trPr>
          <w:trHeight w:val="266"/>
        </w:trPr>
        <w:tc>
          <w:tcPr>
            <w:tcW w:w="560" w:type="dxa"/>
            <w:vAlign w:val="bottom"/>
          </w:tcPr>
          <w:p>
            <w:pPr>
              <w:spacing w:after="0"/>
              <w:rPr>
                <w:sz w:val="23"/>
                <w:szCs w:val="23"/>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 (Name Change).</w:t>
            </w:r>
          </w:p>
        </w:tc>
        <w:tc>
          <w:tcPr>
            <w:tcW w:w="0" w:type="dxa"/>
            <w:vAlign w:val="bottom"/>
          </w:tcPr>
          <w:p>
            <w:pPr>
              <w:spacing w:after="0"/>
              <w:rPr>
                <w:sz w:val="1"/>
                <w:szCs w:val="1"/>
                <w:color w:val="auto"/>
              </w:rPr>
            </w:pPr>
          </w:p>
        </w:tc>
      </w:tr>
      <w:tr>
        <w:trPr>
          <w:trHeight w:val="286"/>
        </w:trPr>
        <w:tc>
          <w:tcPr>
            <w:tcW w:w="5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3.5</w:t>
            </w: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Certificate of Designation of Series A Non-</w:t>
            </w:r>
          </w:p>
        </w:tc>
        <w:tc>
          <w:tcPr>
            <w:tcW w:w="0" w:type="dxa"/>
            <w:vAlign w:val="bottom"/>
          </w:tcPr>
          <w:p>
            <w:pPr>
              <w:spacing w:after="0"/>
              <w:rPr>
                <w:sz w:val="1"/>
                <w:szCs w:val="1"/>
                <w:color w:val="auto"/>
              </w:rPr>
            </w:pPr>
          </w:p>
        </w:tc>
      </w:tr>
      <w:tr>
        <w:trPr>
          <w:trHeight w:val="151"/>
        </w:trPr>
        <w:tc>
          <w:tcPr>
            <w:tcW w:w="560" w:type="dxa"/>
            <w:vAlign w:val="bottom"/>
            <w:vMerge w:val="continue"/>
          </w:tcPr>
          <w:p>
            <w:pPr>
              <w:spacing w:after="0"/>
              <w:rPr>
                <w:sz w:val="13"/>
                <w:szCs w:val="13"/>
                <w:color w:val="auto"/>
              </w:rPr>
            </w:pPr>
          </w:p>
        </w:tc>
        <w:tc>
          <w:tcPr>
            <w:tcW w:w="38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Voting Convertible Preferred Stock.</w:t>
            </w:r>
          </w:p>
        </w:tc>
        <w:tc>
          <w:tcPr>
            <w:tcW w:w="0" w:type="dxa"/>
            <w:vAlign w:val="bottom"/>
          </w:tcPr>
          <w:p>
            <w:pPr>
              <w:spacing w:after="0"/>
              <w:rPr>
                <w:sz w:val="1"/>
                <w:szCs w:val="1"/>
                <w:color w:val="auto"/>
              </w:rPr>
            </w:pPr>
          </w:p>
        </w:tc>
      </w:tr>
      <w:tr>
        <w:trPr>
          <w:trHeight w:val="115"/>
        </w:trPr>
        <w:tc>
          <w:tcPr>
            <w:tcW w:w="56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5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3.6</w:t>
            </w: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Certificate of Designation of Series B Non-</w:t>
            </w:r>
          </w:p>
        </w:tc>
        <w:tc>
          <w:tcPr>
            <w:tcW w:w="0" w:type="dxa"/>
            <w:vAlign w:val="bottom"/>
          </w:tcPr>
          <w:p>
            <w:pPr>
              <w:spacing w:after="0"/>
              <w:rPr>
                <w:sz w:val="1"/>
                <w:szCs w:val="1"/>
                <w:color w:val="auto"/>
              </w:rPr>
            </w:pPr>
          </w:p>
        </w:tc>
      </w:tr>
      <w:tr>
        <w:trPr>
          <w:trHeight w:val="151"/>
        </w:trPr>
        <w:tc>
          <w:tcPr>
            <w:tcW w:w="560" w:type="dxa"/>
            <w:vAlign w:val="bottom"/>
            <w:vMerge w:val="continue"/>
          </w:tcPr>
          <w:p>
            <w:pPr>
              <w:spacing w:after="0"/>
              <w:rPr>
                <w:sz w:val="13"/>
                <w:szCs w:val="13"/>
                <w:color w:val="auto"/>
              </w:rPr>
            </w:pPr>
          </w:p>
        </w:tc>
        <w:tc>
          <w:tcPr>
            <w:tcW w:w="38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Voting Convertible Preferred Stock.</w:t>
            </w:r>
          </w:p>
        </w:tc>
        <w:tc>
          <w:tcPr>
            <w:tcW w:w="0" w:type="dxa"/>
            <w:vAlign w:val="bottom"/>
          </w:tcPr>
          <w:p>
            <w:pPr>
              <w:spacing w:after="0"/>
              <w:rPr>
                <w:sz w:val="1"/>
                <w:szCs w:val="1"/>
                <w:color w:val="auto"/>
              </w:rPr>
            </w:pPr>
          </w:p>
        </w:tc>
      </w:tr>
      <w:tr>
        <w:trPr>
          <w:trHeight w:val="115"/>
        </w:trPr>
        <w:tc>
          <w:tcPr>
            <w:tcW w:w="56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5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3.7</w:t>
            </w: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Certificate of Designation of Series C Non-</w:t>
            </w:r>
          </w:p>
        </w:tc>
        <w:tc>
          <w:tcPr>
            <w:tcW w:w="0" w:type="dxa"/>
            <w:vAlign w:val="bottom"/>
          </w:tcPr>
          <w:p>
            <w:pPr>
              <w:spacing w:after="0"/>
              <w:rPr>
                <w:sz w:val="1"/>
                <w:szCs w:val="1"/>
                <w:color w:val="auto"/>
              </w:rPr>
            </w:pPr>
          </w:p>
        </w:tc>
      </w:tr>
      <w:tr>
        <w:trPr>
          <w:trHeight w:val="151"/>
        </w:trPr>
        <w:tc>
          <w:tcPr>
            <w:tcW w:w="560" w:type="dxa"/>
            <w:vAlign w:val="bottom"/>
            <w:vMerge w:val="continue"/>
          </w:tcPr>
          <w:p>
            <w:pPr>
              <w:spacing w:after="0"/>
              <w:rPr>
                <w:sz w:val="13"/>
                <w:szCs w:val="13"/>
                <w:color w:val="auto"/>
              </w:rPr>
            </w:pPr>
          </w:p>
        </w:tc>
        <w:tc>
          <w:tcPr>
            <w:tcW w:w="38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Voting Convertible Preferred Stock.</w:t>
            </w:r>
          </w:p>
        </w:tc>
        <w:tc>
          <w:tcPr>
            <w:tcW w:w="0" w:type="dxa"/>
            <w:vAlign w:val="bottom"/>
          </w:tcPr>
          <w:p>
            <w:pPr>
              <w:spacing w:after="0"/>
              <w:rPr>
                <w:sz w:val="1"/>
                <w:szCs w:val="1"/>
                <w:color w:val="auto"/>
              </w:rPr>
            </w:pPr>
          </w:p>
        </w:tc>
      </w:tr>
      <w:tr>
        <w:trPr>
          <w:trHeight w:val="115"/>
        </w:trPr>
        <w:tc>
          <w:tcPr>
            <w:tcW w:w="56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560" w:type="dxa"/>
            <w:vAlign w:val="bottom"/>
          </w:tcPr>
          <w:p>
            <w:pPr>
              <w:spacing w:after="0"/>
              <w:rPr>
                <w:sz w:val="24"/>
                <w:szCs w:val="24"/>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Certificate of Correction to the Certificate of</w:t>
            </w:r>
          </w:p>
        </w:tc>
        <w:tc>
          <w:tcPr>
            <w:tcW w:w="0" w:type="dxa"/>
            <w:vAlign w:val="bottom"/>
          </w:tcPr>
          <w:p>
            <w:pPr>
              <w:spacing w:after="0"/>
              <w:rPr>
                <w:sz w:val="1"/>
                <w:szCs w:val="1"/>
                <w:color w:val="auto"/>
              </w:rPr>
            </w:pPr>
          </w:p>
        </w:tc>
      </w:tr>
      <w:tr>
        <w:trPr>
          <w:trHeight w:val="230"/>
        </w:trPr>
        <w:tc>
          <w:tcPr>
            <w:tcW w:w="56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rPr>
              <w:t>3.8</w:t>
            </w: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Designation of the Series C Non-Voting</w:t>
            </w:r>
          </w:p>
        </w:tc>
        <w:tc>
          <w:tcPr>
            <w:tcW w:w="0" w:type="dxa"/>
            <w:vAlign w:val="bottom"/>
          </w:tcPr>
          <w:p>
            <w:pPr>
              <w:spacing w:after="0"/>
              <w:rPr>
                <w:sz w:val="1"/>
                <w:szCs w:val="1"/>
                <w:color w:val="auto"/>
              </w:rPr>
            </w:pPr>
          </w:p>
        </w:tc>
      </w:tr>
      <w:tr>
        <w:trPr>
          <w:trHeight w:val="266"/>
        </w:trPr>
        <w:tc>
          <w:tcPr>
            <w:tcW w:w="560" w:type="dxa"/>
            <w:vAlign w:val="bottom"/>
          </w:tcPr>
          <w:p>
            <w:pPr>
              <w:spacing w:after="0"/>
              <w:rPr>
                <w:sz w:val="23"/>
                <w:szCs w:val="23"/>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Convertible Preferred Stock.</w:t>
            </w:r>
          </w:p>
        </w:tc>
        <w:tc>
          <w:tcPr>
            <w:tcW w:w="0" w:type="dxa"/>
            <w:vAlign w:val="bottom"/>
          </w:tcPr>
          <w:p>
            <w:pPr>
              <w:spacing w:after="0"/>
              <w:rPr>
                <w:sz w:val="1"/>
                <w:szCs w:val="1"/>
                <w:color w:val="auto"/>
              </w:rPr>
            </w:pPr>
          </w:p>
        </w:tc>
      </w:tr>
      <w:tr>
        <w:trPr>
          <w:trHeight w:val="309"/>
        </w:trPr>
        <w:tc>
          <w:tcPr>
            <w:tcW w:w="5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3.9</w:t>
            </w: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Amended and Restated By-laws of the</w:t>
            </w:r>
          </w:p>
        </w:tc>
        <w:tc>
          <w:tcPr>
            <w:tcW w:w="0" w:type="dxa"/>
            <w:vAlign w:val="bottom"/>
          </w:tcPr>
          <w:p>
            <w:pPr>
              <w:spacing w:after="0"/>
              <w:rPr>
                <w:sz w:val="1"/>
                <w:szCs w:val="1"/>
                <w:color w:val="auto"/>
              </w:rPr>
            </w:pPr>
          </w:p>
        </w:tc>
      </w:tr>
      <w:tr>
        <w:trPr>
          <w:trHeight w:val="151"/>
        </w:trPr>
        <w:tc>
          <w:tcPr>
            <w:tcW w:w="560" w:type="dxa"/>
            <w:vAlign w:val="bottom"/>
            <w:vMerge w:val="continue"/>
          </w:tcPr>
          <w:p>
            <w:pPr>
              <w:spacing w:after="0"/>
              <w:rPr>
                <w:sz w:val="13"/>
                <w:szCs w:val="13"/>
                <w:color w:val="auto"/>
              </w:rPr>
            </w:pPr>
          </w:p>
        </w:tc>
        <w:tc>
          <w:tcPr>
            <w:tcW w:w="38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Registrant.</w:t>
            </w:r>
          </w:p>
        </w:tc>
        <w:tc>
          <w:tcPr>
            <w:tcW w:w="0" w:type="dxa"/>
            <w:vAlign w:val="bottom"/>
          </w:tcPr>
          <w:p>
            <w:pPr>
              <w:spacing w:after="0"/>
              <w:rPr>
                <w:sz w:val="1"/>
                <w:szCs w:val="1"/>
                <w:color w:val="auto"/>
              </w:rPr>
            </w:pPr>
          </w:p>
        </w:tc>
      </w:tr>
      <w:tr>
        <w:trPr>
          <w:trHeight w:val="115"/>
        </w:trPr>
        <w:tc>
          <w:tcPr>
            <w:tcW w:w="56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5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3.10</w:t>
            </w: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Certificate of Amendment to Amended and</w:t>
            </w:r>
          </w:p>
        </w:tc>
        <w:tc>
          <w:tcPr>
            <w:tcW w:w="0" w:type="dxa"/>
            <w:vAlign w:val="bottom"/>
          </w:tcPr>
          <w:p>
            <w:pPr>
              <w:spacing w:after="0"/>
              <w:rPr>
                <w:sz w:val="1"/>
                <w:szCs w:val="1"/>
                <w:color w:val="auto"/>
              </w:rPr>
            </w:pPr>
          </w:p>
        </w:tc>
      </w:tr>
      <w:tr>
        <w:trPr>
          <w:trHeight w:val="151"/>
        </w:trPr>
        <w:tc>
          <w:tcPr>
            <w:tcW w:w="560" w:type="dxa"/>
            <w:vAlign w:val="bottom"/>
            <w:vMerge w:val="continue"/>
          </w:tcPr>
          <w:p>
            <w:pPr>
              <w:spacing w:after="0"/>
              <w:rPr>
                <w:sz w:val="13"/>
                <w:szCs w:val="13"/>
                <w:color w:val="auto"/>
              </w:rPr>
            </w:pPr>
          </w:p>
        </w:tc>
        <w:tc>
          <w:tcPr>
            <w:tcW w:w="38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Restated By-laws of the Registrant.</w:t>
            </w:r>
          </w:p>
        </w:tc>
        <w:tc>
          <w:tcPr>
            <w:tcW w:w="0" w:type="dxa"/>
            <w:vAlign w:val="bottom"/>
          </w:tcPr>
          <w:p>
            <w:pPr>
              <w:spacing w:after="0"/>
              <w:rPr>
                <w:sz w:val="1"/>
                <w:szCs w:val="1"/>
                <w:color w:val="auto"/>
              </w:rPr>
            </w:pPr>
          </w:p>
        </w:tc>
      </w:tr>
      <w:tr>
        <w:trPr>
          <w:trHeight w:val="115"/>
        </w:trPr>
        <w:tc>
          <w:tcPr>
            <w:tcW w:w="56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7"/>
        </w:trPr>
        <w:tc>
          <w:tcPr>
            <w:tcW w:w="56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rPr>
              <w:t>4.1</w:t>
            </w: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Specimen Common Stock Certificate.</w:t>
            </w:r>
          </w:p>
        </w:tc>
        <w:tc>
          <w:tcPr>
            <w:tcW w:w="0" w:type="dxa"/>
            <w:vAlign w:val="bottom"/>
          </w:tcPr>
          <w:p>
            <w:pPr>
              <w:spacing w:after="0"/>
              <w:rPr>
                <w:sz w:val="1"/>
                <w:szCs w:val="1"/>
                <w:color w:val="auto"/>
              </w:rPr>
            </w:pPr>
          </w:p>
        </w:tc>
      </w:tr>
      <w:tr>
        <w:trPr>
          <w:trHeight w:val="444"/>
        </w:trPr>
        <w:tc>
          <w:tcPr>
            <w:tcW w:w="56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w w:val="97"/>
              </w:rPr>
              <w:t>4.2*</w:t>
            </w: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Description of Capital Stock.</w:t>
            </w:r>
          </w:p>
        </w:tc>
        <w:tc>
          <w:tcPr>
            <w:tcW w:w="0" w:type="dxa"/>
            <w:vAlign w:val="bottom"/>
          </w:tcPr>
          <w:p>
            <w:pPr>
              <w:spacing w:after="0"/>
              <w:rPr>
                <w:sz w:val="1"/>
                <w:szCs w:val="1"/>
                <w:color w:val="auto"/>
              </w:rPr>
            </w:pPr>
          </w:p>
        </w:tc>
      </w:tr>
      <w:tr>
        <w:trPr>
          <w:trHeight w:val="321"/>
        </w:trPr>
        <w:tc>
          <w:tcPr>
            <w:tcW w:w="560" w:type="dxa"/>
            <w:vAlign w:val="bottom"/>
          </w:tcPr>
          <w:p>
            <w:pPr>
              <w:spacing w:after="0"/>
              <w:rPr>
                <w:sz w:val="24"/>
                <w:szCs w:val="24"/>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Registration Rights Agreement, dated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-5956935</wp:posOffset>
            </wp:positionV>
            <wp:extent cx="6675120" cy="6799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extLst>
                    </a:blip>
                    <a:srcRect/>
                    <a:stretch>
                      <a:fillRect/>
                    </a:stretch>
                  </pic:blipFill>
                  <pic:spPr bwMode="auto">
                    <a:xfrm>
                      <a:off x="0" y="0"/>
                      <a:ext cx="6675120" cy="6799580"/>
                    </a:xfrm>
                    <a:prstGeom prst="rect">
                      <a:avLst/>
                    </a:prstGeom>
                    <a:noFill/>
                  </pic:spPr>
                </pic:pic>
              </a:graphicData>
            </a:graphic>
          </wp:anchor>
        </w:drawing>
      </w:r>
    </w:p>
    <w:tbl>
      <w:tblPr>
        <w:tblLayout w:type="fixed"/>
        <w:tblInd w:w="1440" w:type="dxa"/>
        <w:tblCellMar>
          <w:top w:w="0" w:type="dxa"/>
          <w:left w:w="0" w:type="dxa"/>
          <w:bottom w:w="0" w:type="dxa"/>
          <w:right w:w="0" w:type="dxa"/>
        </w:tblCellMar>
      </w:tblPr>
      <w:tr>
        <w:trPr>
          <w:trHeight w:val="202"/>
        </w:trPr>
        <w:tc>
          <w:tcPr>
            <w:tcW w:w="5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w w:val="95"/>
              </w:rPr>
              <w:t>4.3</w:t>
            </w:r>
          </w:p>
        </w:tc>
        <w:tc>
          <w:tcPr>
            <w:tcW w:w="3700" w:type="dxa"/>
            <w:vAlign w:val="bottom"/>
          </w:tcPr>
          <w:p>
            <w:pPr>
              <w:ind w:left="240"/>
              <w:spacing w:after="0" w:line="202" w:lineRule="exact"/>
              <w:rPr>
                <w:sz w:val="20"/>
                <w:szCs w:val="20"/>
                <w:color w:val="auto"/>
              </w:rPr>
            </w:pPr>
            <w:r>
              <w:rPr>
                <w:rFonts w:ascii="Times New Roman" w:cs="Times New Roman" w:eastAsia="Times New Roman" w:hAnsi="Times New Roman"/>
                <w:sz w:val="20"/>
                <w:szCs w:val="20"/>
                <w:color w:val="auto"/>
              </w:rPr>
              <w:t>November 12, 2025, by and among the</w:t>
            </w:r>
          </w:p>
        </w:tc>
        <w:tc>
          <w:tcPr>
            <w:tcW w:w="0" w:type="dxa"/>
            <w:vAlign w:val="bottom"/>
          </w:tcPr>
          <w:p>
            <w:pPr>
              <w:spacing w:after="0"/>
              <w:rPr>
                <w:sz w:val="1"/>
                <w:szCs w:val="1"/>
                <w:color w:val="auto"/>
              </w:rPr>
            </w:pPr>
          </w:p>
        </w:tc>
      </w:tr>
      <w:tr>
        <w:trPr>
          <w:trHeight w:val="151"/>
        </w:trPr>
        <w:tc>
          <w:tcPr>
            <w:tcW w:w="500" w:type="dxa"/>
            <w:vAlign w:val="bottom"/>
            <w:vMerge w:val="continue"/>
          </w:tcPr>
          <w:p>
            <w:pPr>
              <w:spacing w:after="0"/>
              <w:rPr>
                <w:sz w:val="13"/>
                <w:szCs w:val="13"/>
                <w:color w:val="auto"/>
              </w:rPr>
            </w:pPr>
          </w:p>
        </w:tc>
        <w:tc>
          <w:tcPr>
            <w:tcW w:w="37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Registrant and several investors signatory</w:t>
            </w:r>
          </w:p>
        </w:tc>
        <w:tc>
          <w:tcPr>
            <w:tcW w:w="0" w:type="dxa"/>
            <w:vAlign w:val="bottom"/>
          </w:tcPr>
          <w:p>
            <w:pPr>
              <w:spacing w:after="0"/>
              <w:rPr>
                <w:sz w:val="1"/>
                <w:szCs w:val="1"/>
                <w:color w:val="auto"/>
              </w:rPr>
            </w:pPr>
          </w:p>
        </w:tc>
      </w:tr>
      <w:tr>
        <w:trPr>
          <w:trHeight w:val="79"/>
        </w:trPr>
        <w:tc>
          <w:tcPr>
            <w:tcW w:w="500" w:type="dxa"/>
            <w:vAlign w:val="bottom"/>
          </w:tcPr>
          <w:p>
            <w:pPr>
              <w:spacing w:after="0"/>
              <w:rPr>
                <w:sz w:val="6"/>
                <w:szCs w:val="6"/>
                <w:color w:val="auto"/>
              </w:rPr>
            </w:pPr>
          </w:p>
        </w:tc>
        <w:tc>
          <w:tcPr>
            <w:tcW w:w="3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500" w:type="dxa"/>
            <w:vAlign w:val="bottom"/>
          </w:tcPr>
          <w:p>
            <w:pPr>
              <w:spacing w:after="0"/>
              <w:rPr>
                <w:sz w:val="23"/>
                <w:szCs w:val="23"/>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thereto.</w:t>
            </w:r>
          </w:p>
        </w:tc>
        <w:tc>
          <w:tcPr>
            <w:tcW w:w="0" w:type="dxa"/>
            <w:vAlign w:val="bottom"/>
          </w:tcPr>
          <w:p>
            <w:pPr>
              <w:spacing w:after="0"/>
              <w:rPr>
                <w:sz w:val="1"/>
                <w:szCs w:val="1"/>
                <w:color w:val="auto"/>
              </w:rPr>
            </w:pPr>
          </w:p>
        </w:tc>
      </w:tr>
      <w:tr>
        <w:trPr>
          <w:trHeight w:val="286"/>
        </w:trPr>
        <w:tc>
          <w:tcPr>
            <w:tcW w:w="5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w w:val="95"/>
              </w:rPr>
              <w:t>4.4</w:t>
            </w:r>
          </w:p>
        </w:tc>
        <w:tc>
          <w:tcPr>
            <w:tcW w:w="37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Warrant to Purchase Common Stock, dated</w:t>
            </w:r>
          </w:p>
        </w:tc>
        <w:tc>
          <w:tcPr>
            <w:tcW w:w="0" w:type="dxa"/>
            <w:vAlign w:val="bottom"/>
          </w:tcPr>
          <w:p>
            <w:pPr>
              <w:spacing w:after="0"/>
              <w:rPr>
                <w:sz w:val="1"/>
                <w:szCs w:val="1"/>
                <w:color w:val="auto"/>
              </w:rPr>
            </w:pPr>
          </w:p>
        </w:tc>
      </w:tr>
      <w:tr>
        <w:trPr>
          <w:trHeight w:val="151"/>
        </w:trPr>
        <w:tc>
          <w:tcPr>
            <w:tcW w:w="500" w:type="dxa"/>
            <w:vAlign w:val="bottom"/>
            <w:vMerge w:val="continue"/>
          </w:tcPr>
          <w:p>
            <w:pPr>
              <w:spacing w:after="0"/>
              <w:rPr>
                <w:sz w:val="13"/>
                <w:szCs w:val="13"/>
                <w:color w:val="auto"/>
              </w:rPr>
            </w:pPr>
          </w:p>
        </w:tc>
        <w:tc>
          <w:tcPr>
            <w:tcW w:w="37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December 31, 2025.</w:t>
            </w:r>
          </w:p>
        </w:tc>
        <w:tc>
          <w:tcPr>
            <w:tcW w:w="0" w:type="dxa"/>
            <w:vAlign w:val="bottom"/>
          </w:tcPr>
          <w:p>
            <w:pPr>
              <w:spacing w:after="0"/>
              <w:rPr>
                <w:sz w:val="1"/>
                <w:szCs w:val="1"/>
                <w:color w:val="auto"/>
              </w:rPr>
            </w:pPr>
          </w:p>
        </w:tc>
      </w:tr>
      <w:tr>
        <w:trPr>
          <w:trHeight w:val="115"/>
        </w:trPr>
        <w:tc>
          <w:tcPr>
            <w:tcW w:w="500" w:type="dxa"/>
            <w:vAlign w:val="bottom"/>
          </w:tcPr>
          <w:p>
            <w:pPr>
              <w:spacing w:after="0"/>
              <w:rPr>
                <w:sz w:val="9"/>
                <w:szCs w:val="9"/>
                <w:color w:val="auto"/>
              </w:rPr>
            </w:pPr>
          </w:p>
        </w:tc>
        <w:tc>
          <w:tcPr>
            <w:tcW w:w="3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Form 8-K</w:t>
            </w:r>
          </w:p>
        </w:tc>
        <w:tc>
          <w:tcPr>
            <w:tcW w:w="13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October 7,</w:t>
            </w:r>
          </w:p>
        </w:tc>
      </w:tr>
      <w:tr>
        <w:trPr>
          <w:trHeight w:val="26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(Exhibit 2.1)</w:t>
            </w:r>
          </w:p>
        </w:tc>
        <w:tc>
          <w:tcPr>
            <w:tcW w:w="13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2024</w:t>
            </w:r>
          </w:p>
        </w:tc>
      </w:tr>
      <w:tr>
        <w:trPr>
          <w:trHeight w:val="630"/>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Form 8-K</w:t>
            </w:r>
          </w:p>
        </w:tc>
        <w:tc>
          <w:tcPr>
            <w:tcW w:w="13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November 10,</w:t>
            </w:r>
          </w:p>
        </w:tc>
      </w:tr>
      <w:tr>
        <w:trPr>
          <w:trHeight w:val="26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(Exhibit 2.1)</w:t>
            </w:r>
          </w:p>
        </w:tc>
        <w:tc>
          <w:tcPr>
            <w:tcW w:w="13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2025</w:t>
            </w:r>
          </w:p>
        </w:tc>
      </w:tr>
      <w:tr>
        <w:trPr>
          <w:trHeight w:val="630"/>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Form 8-K</w:t>
            </w:r>
          </w:p>
        </w:tc>
        <w:tc>
          <w:tcPr>
            <w:tcW w:w="13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November 4,</w:t>
            </w:r>
          </w:p>
        </w:tc>
      </w:tr>
      <w:tr>
        <w:trPr>
          <w:trHeight w:val="26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(Exhibit 3.1)</w:t>
            </w:r>
          </w:p>
        </w:tc>
        <w:tc>
          <w:tcPr>
            <w:tcW w:w="13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2020</w:t>
            </w:r>
          </w:p>
        </w:tc>
      </w:tr>
      <w:tr>
        <w:trPr>
          <w:trHeight w:val="401"/>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Form 8-K</w:t>
            </w:r>
          </w:p>
        </w:tc>
        <w:tc>
          <w:tcPr>
            <w:tcW w:w="13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September 5,</w:t>
            </w:r>
          </w:p>
        </w:tc>
      </w:tr>
      <w:tr>
        <w:trPr>
          <w:trHeight w:val="26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(Exhibit 3.1)</w:t>
            </w:r>
          </w:p>
        </w:tc>
        <w:tc>
          <w:tcPr>
            <w:tcW w:w="13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2024</w:t>
            </w:r>
          </w:p>
        </w:tc>
      </w:tr>
      <w:tr>
        <w:trPr>
          <w:trHeight w:val="515"/>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Form 8-K</w:t>
            </w:r>
          </w:p>
        </w:tc>
        <w:tc>
          <w:tcPr>
            <w:tcW w:w="13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February 10,</w:t>
            </w:r>
          </w:p>
        </w:tc>
      </w:tr>
      <w:tr>
        <w:trPr>
          <w:trHeight w:val="26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(Exhibit 3.1)</w:t>
            </w:r>
          </w:p>
        </w:tc>
        <w:tc>
          <w:tcPr>
            <w:tcW w:w="13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2026</w:t>
            </w:r>
          </w:p>
        </w:tc>
      </w:tr>
      <w:tr>
        <w:trPr>
          <w:trHeight w:val="515"/>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Form 8-K</w:t>
            </w:r>
          </w:p>
        </w:tc>
        <w:tc>
          <w:tcPr>
            <w:tcW w:w="13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10,</w:t>
            </w:r>
          </w:p>
        </w:tc>
      </w:tr>
      <w:tr>
        <w:trPr>
          <w:trHeight w:val="26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(Exhibit 3.1)</w:t>
            </w:r>
          </w:p>
        </w:tc>
        <w:tc>
          <w:tcPr>
            <w:tcW w:w="13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2026</w:t>
            </w:r>
          </w:p>
        </w:tc>
      </w:tr>
      <w:tr>
        <w:trPr>
          <w:trHeight w:val="401"/>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Form 8-K</w:t>
            </w:r>
          </w:p>
        </w:tc>
        <w:tc>
          <w:tcPr>
            <w:tcW w:w="13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October 7,</w:t>
            </w:r>
          </w:p>
        </w:tc>
      </w:tr>
      <w:tr>
        <w:trPr>
          <w:trHeight w:val="26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(Exhibit 3.1)</w:t>
            </w:r>
          </w:p>
        </w:tc>
        <w:tc>
          <w:tcPr>
            <w:tcW w:w="13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2024</w:t>
            </w:r>
          </w:p>
        </w:tc>
      </w:tr>
      <w:tr>
        <w:trPr>
          <w:trHeight w:val="28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Form 8-K</w:t>
            </w:r>
          </w:p>
        </w:tc>
        <w:tc>
          <w:tcPr>
            <w:tcW w:w="13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November 10,</w:t>
            </w:r>
          </w:p>
        </w:tc>
      </w:tr>
      <w:tr>
        <w:trPr>
          <w:trHeight w:val="26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(Exhibit 3.1)</w:t>
            </w:r>
          </w:p>
        </w:tc>
        <w:tc>
          <w:tcPr>
            <w:tcW w:w="13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2025</w:t>
            </w:r>
          </w:p>
        </w:tc>
      </w:tr>
      <w:tr>
        <w:trPr>
          <w:trHeight w:val="28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Form 8-K</w:t>
            </w:r>
          </w:p>
        </w:tc>
        <w:tc>
          <w:tcPr>
            <w:tcW w:w="13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November 10,</w:t>
            </w:r>
          </w:p>
        </w:tc>
      </w:tr>
      <w:tr>
        <w:trPr>
          <w:trHeight w:val="26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(Exhibit 3.2)</w:t>
            </w:r>
          </w:p>
        </w:tc>
        <w:tc>
          <w:tcPr>
            <w:tcW w:w="13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2025</w:t>
            </w:r>
          </w:p>
        </w:tc>
      </w:tr>
      <w:tr>
        <w:trPr>
          <w:trHeight w:val="401"/>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Form 8-K/A</w:t>
            </w:r>
          </w:p>
        </w:tc>
        <w:tc>
          <w:tcPr>
            <w:tcW w:w="13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December 9,</w:t>
            </w:r>
          </w:p>
        </w:tc>
      </w:tr>
      <w:tr>
        <w:trPr>
          <w:trHeight w:val="26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(Exhibit 3.3)</w:t>
            </w:r>
          </w:p>
        </w:tc>
        <w:tc>
          <w:tcPr>
            <w:tcW w:w="13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2025</w:t>
            </w:r>
          </w:p>
        </w:tc>
      </w:tr>
      <w:tr>
        <w:trPr>
          <w:trHeight w:val="424"/>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Form 8-K</w:t>
            </w:r>
          </w:p>
        </w:tc>
        <w:tc>
          <w:tcPr>
            <w:tcW w:w="13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November 4,</w:t>
            </w:r>
          </w:p>
        </w:tc>
      </w:tr>
      <w:tr>
        <w:trPr>
          <w:trHeight w:val="26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(Exhibit 3.2)</w:t>
            </w:r>
          </w:p>
        </w:tc>
        <w:tc>
          <w:tcPr>
            <w:tcW w:w="13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2020</w:t>
            </w:r>
          </w:p>
        </w:tc>
      </w:tr>
      <w:tr>
        <w:trPr>
          <w:trHeight w:val="28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8"/>
              </w:rPr>
              <w:t>Form 10-K</w:t>
            </w:r>
          </w:p>
        </w:tc>
        <w:tc>
          <w:tcPr>
            <w:tcW w:w="13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19,</w:t>
            </w:r>
          </w:p>
        </w:tc>
      </w:tr>
      <w:tr>
        <w:trPr>
          <w:trHeight w:val="26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(Exhibit 3.5)</w:t>
            </w:r>
          </w:p>
        </w:tc>
        <w:tc>
          <w:tcPr>
            <w:tcW w:w="13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2025</w:t>
            </w:r>
          </w:p>
        </w:tc>
      </w:tr>
      <w:tr>
        <w:trPr>
          <w:trHeight w:val="28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9"/>
              </w:rPr>
              <w:t>Form S-1/A</w:t>
            </w:r>
          </w:p>
        </w:tc>
        <w:tc>
          <w:tcPr>
            <w:tcW w:w="13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October 22,</w:t>
            </w:r>
          </w:p>
        </w:tc>
      </w:tr>
      <w:tr>
        <w:trPr>
          <w:trHeight w:val="26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(Exhibit 4.1)</w:t>
            </w:r>
          </w:p>
        </w:tc>
        <w:tc>
          <w:tcPr>
            <w:tcW w:w="13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2020</w:t>
            </w:r>
          </w:p>
        </w:tc>
      </w:tr>
      <w:tr>
        <w:trPr>
          <w:trHeight w:val="853"/>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Form 8-K</w:t>
            </w:r>
          </w:p>
        </w:tc>
        <w:tc>
          <w:tcPr>
            <w:tcW w:w="13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November 10,</w:t>
            </w:r>
          </w:p>
        </w:tc>
      </w:tr>
      <w:tr>
        <w:trPr>
          <w:trHeight w:val="26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9"/>
              </w:rPr>
              <w:t>(Exhibit 10.2)</w:t>
            </w:r>
          </w:p>
        </w:tc>
        <w:tc>
          <w:tcPr>
            <w:tcW w:w="13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2025</w:t>
            </w:r>
          </w:p>
        </w:tc>
      </w:tr>
      <w:tr>
        <w:trPr>
          <w:trHeight w:val="51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Form 8-K</w:t>
            </w:r>
          </w:p>
        </w:tc>
        <w:tc>
          <w:tcPr>
            <w:tcW w:w="13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January 6,</w:t>
            </w:r>
          </w:p>
        </w:tc>
      </w:tr>
      <w:tr>
        <w:trPr>
          <w:trHeight w:val="266"/>
        </w:trPr>
        <w:tc>
          <w:tcPr>
            <w:tcW w:w="13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(Exhibit 4.1)</w:t>
            </w:r>
          </w:p>
        </w:tc>
        <w:tc>
          <w:tcPr>
            <w:tcW w:w="13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2026</w:t>
            </w:r>
          </w:p>
        </w:tc>
      </w:tr>
    </w:tbl>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333-249369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351" w:lineRule="exact"/>
        <w:rPr>
          <w:sz w:val="20"/>
          <w:szCs w:val="20"/>
          <w:color w:val="auto"/>
        </w:rPr>
      </w:pPr>
    </w:p>
    <w:p>
      <w:pPr>
        <w:sectPr>
          <w:pgSz w:w="12960" w:h="17280" w:orient="portrait"/>
          <w:cols w:equalWidth="0" w:num="3">
            <w:col w:w="5760" w:space="500"/>
            <w:col w:w="2740" w:space="320"/>
            <w:col w:w="1200"/>
          </w:cols>
          <w:pgMar w:left="1360" w:top="1416" w:right="1080" w:bottom="895" w:gutter="0" w:footer="0" w:header="0"/>
          <w:type w:val="continuous"/>
        </w:sectPr>
      </w:pP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960" w:h="17280" w:orient="portrait"/>
          <w:cols w:equalWidth="0" w:num="1">
            <w:col w:w="10520"/>
          </w:cols>
          <w:pgMar w:left="1360" w:top="1416" w:right="1080" w:bottom="895" w:gutter="0" w:footer="0" w:header="0"/>
          <w:type w:val="continuous"/>
        </w:sectPr>
      </w:pPr>
    </w:p>
    <w:bookmarkStart w:id="94" w:name="page95"/>
    <w:bookmarkEnd w:id="94"/>
    <w:p>
      <w:pPr>
        <w:spacing w:after="0" w:line="1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10.1#</w:t>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10.2#</w:t>
      </w:r>
    </w:p>
    <w:p>
      <w:pPr>
        <w:spacing w:after="0" w:line="200" w:lineRule="exact"/>
        <w:rPr>
          <w:sz w:val="20"/>
          <w:szCs w:val="20"/>
          <w:color w:val="auto"/>
        </w:rPr>
      </w:pPr>
    </w:p>
    <w:p>
      <w:pPr>
        <w:spacing w:after="0" w:line="23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10.3#*</w:t>
      </w: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10.4#</w:t>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10.5#</w:t>
      </w: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10.6#</w:t>
      </w:r>
    </w:p>
    <w:p>
      <w:pPr>
        <w:spacing w:after="0" w:line="200" w:lineRule="exact"/>
        <w:rPr>
          <w:sz w:val="20"/>
          <w:szCs w:val="20"/>
          <w:color w:val="auto"/>
        </w:rPr>
      </w:pPr>
    </w:p>
    <w:p>
      <w:pPr>
        <w:spacing w:after="0" w:line="3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10.7#</w:t>
      </w: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10.8*</w:t>
      </w: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10.9#</w:t>
      </w:r>
    </w:p>
    <w:p>
      <w:pPr>
        <w:spacing w:after="0" w:line="200" w:lineRule="exact"/>
        <w:rPr>
          <w:sz w:val="20"/>
          <w:szCs w:val="20"/>
          <w:color w:val="auto"/>
        </w:rPr>
      </w:pPr>
    </w:p>
    <w:p>
      <w:pPr>
        <w:spacing w:after="0" w:line="3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10.10#*</w:t>
      </w:r>
    </w:p>
    <w:p>
      <w:pPr>
        <w:spacing w:after="0" w:line="200" w:lineRule="exact"/>
        <w:rPr>
          <w:sz w:val="20"/>
          <w:szCs w:val="20"/>
          <w:color w:val="auto"/>
        </w:rPr>
      </w:pPr>
    </w:p>
    <w:p>
      <w:pPr>
        <w:spacing w:after="0" w:line="3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10.11#*</w:t>
      </w:r>
    </w:p>
    <w:p>
      <w:pPr>
        <w:spacing w:after="0" w:line="200" w:lineRule="exact"/>
        <w:rPr>
          <w:sz w:val="20"/>
          <w:szCs w:val="20"/>
          <w:color w:val="auto"/>
        </w:rPr>
      </w:pPr>
    </w:p>
    <w:p>
      <w:pPr>
        <w:spacing w:after="0" w:line="38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10.12#</w:t>
      </w:r>
    </w:p>
    <w:p>
      <w:pPr>
        <w:spacing w:after="0" w:line="200" w:lineRule="exact"/>
        <w:rPr>
          <w:sz w:val="20"/>
          <w:szCs w:val="20"/>
          <w:color w:val="auto"/>
        </w:rPr>
      </w:pP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10.13#*</w:t>
      </w:r>
    </w:p>
    <w:p>
      <w:pPr>
        <w:spacing w:after="0" w:line="3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10.14#</w:t>
      </w:r>
    </w:p>
    <w:p>
      <w:pPr>
        <w:spacing w:after="0" w:line="200" w:lineRule="exact"/>
        <w:rPr>
          <w:sz w:val="20"/>
          <w:szCs w:val="20"/>
          <w:color w:val="auto"/>
        </w:rPr>
      </w:pPr>
    </w:p>
    <w:p>
      <w:pPr>
        <w:spacing w:after="0" w:line="2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10.15#*</w:t>
      </w:r>
    </w:p>
    <w:p>
      <w:pPr>
        <w:spacing w:after="0" w:line="200" w:lineRule="exact"/>
        <w:rPr>
          <w:sz w:val="20"/>
          <w:szCs w:val="20"/>
          <w:color w:val="auto"/>
        </w:rPr>
      </w:pPr>
    </w:p>
    <w:p>
      <w:pPr>
        <w:spacing w:after="0" w:line="2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10.16#*</w:t>
      </w:r>
    </w:p>
    <w:p>
      <w:pPr>
        <w:spacing w:after="0" w:line="200" w:lineRule="exact"/>
        <w:rPr>
          <w:sz w:val="20"/>
          <w:szCs w:val="20"/>
          <w:color w:val="auto"/>
        </w:rPr>
      </w:pPr>
    </w:p>
    <w:p>
      <w:pPr>
        <w:spacing w:after="0" w:line="2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10.19+</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2020 Stock Option and Grant Plan</w:t>
      </w:r>
      <w:r>
        <w:rPr>
          <w:rFonts w:ascii="Times New Roman" w:cs="Times New Roman" w:eastAsia="Times New Roman" w:hAnsi="Times New Roman"/>
          <w:sz w:val="20"/>
          <w:szCs w:val="20"/>
          <w:color w:val="1B439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-205740</wp:posOffset>
            </wp:positionV>
            <wp:extent cx="6675120" cy="64071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extLst>
                    </a:blip>
                    <a:srcRect/>
                    <a:stretch>
                      <a:fillRect/>
                    </a:stretch>
                  </pic:blipFill>
                  <pic:spPr bwMode="auto">
                    <a:xfrm>
                      <a:off x="0" y="0"/>
                      <a:ext cx="6675120" cy="6407150"/>
                    </a:xfrm>
                    <a:prstGeom prst="rect">
                      <a:avLst/>
                    </a:prstGeom>
                    <a:noFill/>
                  </pic:spPr>
                </pic:pic>
              </a:graphicData>
            </a:graphic>
          </wp:anchor>
        </w:drawing>
      </w:r>
    </w:p>
    <w:p>
      <w:pPr>
        <w:spacing w:after="0" w:line="187"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color w:val="auto"/>
        </w:rPr>
        <w:t>2020 Equity Incentive Plan and forms of award agreements.</w:t>
      </w:r>
    </w:p>
    <w:p>
      <w:pPr>
        <w:spacing w:after="0" w:line="22"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0"/>
          <w:szCs w:val="20"/>
          <w:color w:val="auto"/>
        </w:rPr>
        <w:t>Damora Therapeutics, Inc. 2025 Equity Incentive Plan and forms of award agreements.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Executive Cash Incentive Bonus Plan.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 Separation Benefits Plan.</w:t>
      </w:r>
    </w:p>
    <w:p>
      <w:pPr>
        <w:spacing w:after="0" w:line="2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Form of Officer Indemnification Agreement between the Registrant and each of its executive officers.</w:t>
      </w:r>
    </w:p>
    <w:p>
      <w:pPr>
        <w:spacing w:after="0" w:line="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Form of Director Indemnification Agreement between the Registrant and each of its directors.</w:t>
      </w:r>
    </w:p>
    <w:p>
      <w:pPr>
        <w:spacing w:after="0" w:line="41"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color w:val="auto"/>
        </w:rPr>
        <w:t>Non-Employee Director Compensation Policy, as amended.</w:t>
      </w:r>
    </w:p>
    <w:p>
      <w:pPr>
        <w:spacing w:after="0" w:line="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Service Agreement between Galecto Biotech ApS and Hans Schambye, dated April 23, 2013.</w:t>
      </w:r>
    </w:p>
    <w:p>
      <w:pPr>
        <w:spacing w:after="0" w:line="4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color w:val="auto"/>
        </w:rPr>
        <w:t>Retention Agreement between Galecto Biotech ApS and Hans Schambye, dated November 10, 2025.</w:t>
      </w:r>
    </w:p>
    <w:p>
      <w:pPr>
        <w:spacing w:after="0" w:line="40" w:lineRule="exact"/>
        <w:rPr>
          <w:sz w:val="20"/>
          <w:szCs w:val="20"/>
          <w:color w:val="auto"/>
        </w:rPr>
      </w:pPr>
    </w:p>
    <w:p>
      <w:pPr>
        <w:jc w:val="both"/>
        <w:ind w:right="380"/>
        <w:spacing w:after="0" w:line="258" w:lineRule="auto"/>
        <w:rPr>
          <w:sz w:val="20"/>
          <w:szCs w:val="20"/>
          <w:color w:val="auto"/>
        </w:rPr>
      </w:pPr>
      <w:r>
        <w:rPr>
          <w:rFonts w:ascii="Times New Roman" w:cs="Times New Roman" w:eastAsia="Times New Roman" w:hAnsi="Times New Roman"/>
          <w:sz w:val="20"/>
          <w:szCs w:val="20"/>
          <w:color w:val="auto"/>
        </w:rPr>
        <w:t>Separation Agreement between Galecto Biotech ApS and Hans Schambye, dated February 9, 2026.</w:t>
      </w:r>
    </w:p>
    <w:p>
      <w:pPr>
        <w:spacing w:after="0" w:line="7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Offer Letter between the Registrant and Sherwin Sattarzadeh, dated December 31, 2025.</w:t>
      </w:r>
    </w:p>
    <w:p>
      <w:pPr>
        <w:spacing w:after="0" w:line="70"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Offer Letter between the Registrant and Becker Hewes, dated December 31, 2025.</w:t>
      </w:r>
    </w:p>
    <w:p>
      <w:pPr>
        <w:spacing w:after="0" w:line="21" w:lineRule="exact"/>
        <w:rPr>
          <w:sz w:val="20"/>
          <w:szCs w:val="20"/>
          <w:color w:val="auto"/>
        </w:rPr>
      </w:pPr>
    </w:p>
    <w:p>
      <w:pPr>
        <w:jc w:val="both"/>
        <w:ind w:right="460"/>
        <w:spacing w:after="0" w:line="303" w:lineRule="auto"/>
        <w:rPr>
          <w:sz w:val="20"/>
          <w:szCs w:val="20"/>
          <w:color w:val="auto"/>
        </w:rPr>
      </w:pPr>
      <w:r>
        <w:rPr>
          <w:rFonts w:ascii="Times New Roman" w:cs="Times New Roman" w:eastAsia="Times New Roman" w:hAnsi="Times New Roman"/>
          <w:sz w:val="19"/>
          <w:szCs w:val="19"/>
          <w:color w:val="auto"/>
        </w:rPr>
        <w:t>Offer Letter between the Registrant and Garrett Winslow, dated April 12, 2021.</w:t>
      </w:r>
    </w:p>
    <w:p>
      <w:pPr>
        <w:spacing w:after="0" w:line="258" w:lineRule="auto"/>
        <w:rPr>
          <w:sz w:val="20"/>
          <w:szCs w:val="20"/>
          <w:color w:val="auto"/>
        </w:rPr>
      </w:pPr>
      <w:r>
        <w:rPr>
          <w:rFonts w:ascii="Times New Roman" w:cs="Times New Roman" w:eastAsia="Times New Roman" w:hAnsi="Times New Roman"/>
          <w:sz w:val="20"/>
          <w:szCs w:val="20"/>
          <w:color w:val="auto"/>
        </w:rPr>
        <w:t>Retention Compensation Agreement between the Registrant and Garrett Winslow, dated 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-19685</wp:posOffset>
            </wp:positionV>
            <wp:extent cx="6675120" cy="2043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extLst>
                    </a:blip>
                    <a:srcRect/>
                    <a:stretch>
                      <a:fillRect/>
                    </a:stretch>
                  </pic:blipFill>
                  <pic:spPr bwMode="auto">
                    <a:xfrm>
                      <a:off x="0" y="0"/>
                      <a:ext cx="6675120" cy="2043430"/>
                    </a:xfrm>
                    <a:prstGeom prst="rect">
                      <a:avLst/>
                    </a:prstGeom>
                    <a:noFill/>
                  </pic:spPr>
                </pic:pic>
              </a:graphicData>
            </a:graphic>
          </wp:anchor>
        </w:drawing>
      </w:r>
    </w:p>
    <w:p>
      <w:pPr>
        <w:spacing w:after="0" w:line="2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Offer Letter between the Registrant and Lori Firmani, dated September 29, 2020.</w:t>
      </w:r>
    </w:p>
    <w:p>
      <w:pPr>
        <w:spacing w:after="0" w:line="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Retention Compensation Agreement between the Registrant and Lori Firmani, dated November 10, 2025.</w:t>
      </w:r>
    </w:p>
    <w:p>
      <w:pPr>
        <w:spacing w:after="0" w:line="4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Antibody Discovery and Option Agreement, dated as of October 7, 2025, by and among Paragon Therapeutics, Inc., Paramora Holding LLC and Damora Therapeutics, Inc.</w:t>
      </w:r>
    </w:p>
    <w:p>
      <w:pPr>
        <w:spacing w:after="0" w:line="3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License Agreement between Bridge Medicines LLC and Rockefeller University, dated February 3,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230"/>
        </w:trPr>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9"/>
              </w:rPr>
              <w:t>Form S-1/A</w:t>
            </w:r>
          </w:p>
        </w:tc>
        <w:tc>
          <w:tcPr>
            <w:tcW w:w="1240" w:type="dxa"/>
            <w:vAlign w:val="bottom"/>
          </w:tcPr>
          <w:p>
            <w:pPr>
              <w:jc w:val="center"/>
              <w:ind w:left="200"/>
              <w:spacing w:after="0"/>
              <w:rPr>
                <w:sz w:val="20"/>
                <w:szCs w:val="20"/>
                <w:color w:val="auto"/>
              </w:rPr>
            </w:pPr>
            <w:r>
              <w:rPr>
                <w:rFonts w:ascii="Times New Roman" w:cs="Times New Roman" w:eastAsia="Times New Roman" w:hAnsi="Times New Roman"/>
                <w:sz w:val="20"/>
                <w:szCs w:val="20"/>
                <w:color w:val="auto"/>
                <w:w w:val="99"/>
              </w:rPr>
              <w:t>October 22,</w:t>
            </w:r>
          </w:p>
        </w:tc>
      </w:tr>
      <w:tr>
        <w:trPr>
          <w:trHeight w:val="266"/>
        </w:trPr>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9"/>
              </w:rPr>
              <w:t>(Exhibit 10.1)</w:t>
            </w:r>
          </w:p>
        </w:tc>
        <w:tc>
          <w:tcPr>
            <w:tcW w:w="124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2020</w:t>
            </w:r>
          </w:p>
        </w:tc>
      </w:tr>
      <w:tr>
        <w:trPr>
          <w:trHeight w:val="286"/>
        </w:trPr>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8"/>
              </w:rPr>
              <w:t>Form 10-K</w:t>
            </w:r>
          </w:p>
        </w:tc>
        <w:tc>
          <w:tcPr>
            <w:tcW w:w="124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March 8,</w:t>
            </w:r>
          </w:p>
        </w:tc>
      </w:tr>
      <w:tr>
        <w:trPr>
          <w:trHeight w:val="266"/>
        </w:trPr>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9"/>
              </w:rPr>
              <w:t>(Exhibit 10.2)</w:t>
            </w:r>
          </w:p>
        </w:tc>
        <w:tc>
          <w:tcPr>
            <w:tcW w:w="124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9"/>
              </w:rPr>
              <w:t>Form S-1/A</w:t>
            </w:r>
          </w:p>
        </w:tc>
        <w:tc>
          <w:tcPr>
            <w:tcW w:w="126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October 22,</w:t>
            </w:r>
          </w:p>
        </w:tc>
        <w:tc>
          <w:tcPr>
            <w:tcW w:w="0" w:type="dxa"/>
            <w:vAlign w:val="bottom"/>
          </w:tcPr>
          <w:p>
            <w:pPr>
              <w:spacing w:after="0"/>
              <w:rPr>
                <w:sz w:val="1"/>
                <w:szCs w:val="1"/>
                <w:color w:val="auto"/>
              </w:rPr>
            </w:pPr>
          </w:p>
        </w:tc>
      </w:tr>
      <w:tr>
        <w:trPr>
          <w:trHeight w:val="266"/>
        </w:trPr>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9"/>
              </w:rPr>
              <w:t>(Exhibit 10.3)</w:t>
            </w:r>
          </w:p>
        </w:tc>
        <w:tc>
          <w:tcPr>
            <w:tcW w:w="12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2020</w:t>
            </w:r>
          </w:p>
        </w:tc>
        <w:tc>
          <w:tcPr>
            <w:tcW w:w="0" w:type="dxa"/>
            <w:vAlign w:val="bottom"/>
          </w:tcPr>
          <w:p>
            <w:pPr>
              <w:spacing w:after="0"/>
              <w:rPr>
                <w:sz w:val="1"/>
                <w:szCs w:val="1"/>
                <w:color w:val="auto"/>
              </w:rPr>
            </w:pPr>
          </w:p>
        </w:tc>
      </w:tr>
      <w:tr>
        <w:trPr>
          <w:trHeight w:val="286"/>
        </w:trPr>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rPr>
              <w:t>Form 8-K</w:t>
            </w:r>
          </w:p>
        </w:tc>
        <w:tc>
          <w:tcPr>
            <w:tcW w:w="1260" w:type="dxa"/>
            <w:vAlign w:val="bottom"/>
            <w:vMerge w:val="restart"/>
          </w:tcPr>
          <w:p>
            <w:pPr>
              <w:jc w:val="center"/>
              <w:ind w:left="180"/>
              <w:spacing w:after="0"/>
              <w:rPr>
                <w:sz w:val="20"/>
                <w:szCs w:val="20"/>
                <w:color w:val="auto"/>
              </w:rPr>
            </w:pPr>
            <w:r>
              <w:rPr>
                <w:rFonts w:ascii="Times New Roman" w:cs="Times New Roman" w:eastAsia="Times New Roman" w:hAnsi="Times New Roman"/>
                <w:sz w:val="20"/>
                <w:szCs w:val="20"/>
                <w:color w:val="auto"/>
                <w:w w:val="99"/>
              </w:rPr>
              <w:t>July 6, 2021</w:t>
            </w:r>
          </w:p>
        </w:tc>
        <w:tc>
          <w:tcPr>
            <w:tcW w:w="0" w:type="dxa"/>
            <w:vAlign w:val="bottom"/>
          </w:tcPr>
          <w:p>
            <w:pPr>
              <w:spacing w:after="0"/>
              <w:rPr>
                <w:sz w:val="1"/>
                <w:szCs w:val="1"/>
                <w:color w:val="auto"/>
              </w:rPr>
            </w:pPr>
          </w:p>
        </w:tc>
      </w:tr>
      <w:tr>
        <w:trPr>
          <w:trHeight w:val="151"/>
        </w:trPr>
        <w:tc>
          <w:tcPr>
            <w:tcW w:w="1400" w:type="dxa"/>
            <w:vAlign w:val="bottom"/>
            <w:vMerge w:val="restart"/>
          </w:tcPr>
          <w:p>
            <w:pPr>
              <w:jc w:val="center"/>
              <w:ind w:right="180"/>
              <w:spacing w:after="0"/>
              <w:rPr>
                <w:sz w:val="20"/>
                <w:szCs w:val="20"/>
                <w:color w:val="auto"/>
              </w:rPr>
            </w:pPr>
            <w:r>
              <w:rPr>
                <w:rFonts w:ascii="Times New Roman" w:cs="Times New Roman" w:eastAsia="Times New Roman" w:hAnsi="Times New Roman"/>
                <w:sz w:val="20"/>
                <w:szCs w:val="20"/>
                <w:color w:val="auto"/>
                <w:w w:val="99"/>
              </w:rPr>
              <w:t>(Exhibit 10.1)</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4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1"/>
        </w:trPr>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9"/>
              </w:rPr>
              <w:t>Form S-1/A</w:t>
            </w:r>
          </w:p>
        </w:tc>
        <w:tc>
          <w:tcPr>
            <w:tcW w:w="126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October 22,</w:t>
            </w:r>
          </w:p>
        </w:tc>
        <w:tc>
          <w:tcPr>
            <w:tcW w:w="0" w:type="dxa"/>
            <w:vAlign w:val="bottom"/>
          </w:tcPr>
          <w:p>
            <w:pPr>
              <w:spacing w:after="0"/>
              <w:rPr>
                <w:sz w:val="1"/>
                <w:szCs w:val="1"/>
                <w:color w:val="auto"/>
              </w:rPr>
            </w:pPr>
          </w:p>
        </w:tc>
      </w:tr>
      <w:tr>
        <w:trPr>
          <w:trHeight w:val="266"/>
        </w:trPr>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9"/>
              </w:rPr>
              <w:t>(Exhibit 10.4)</w:t>
            </w:r>
          </w:p>
        </w:tc>
        <w:tc>
          <w:tcPr>
            <w:tcW w:w="12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2020</w:t>
            </w:r>
          </w:p>
        </w:tc>
        <w:tc>
          <w:tcPr>
            <w:tcW w:w="0" w:type="dxa"/>
            <w:vAlign w:val="bottom"/>
          </w:tcPr>
          <w:p>
            <w:pPr>
              <w:spacing w:after="0"/>
              <w:rPr>
                <w:sz w:val="1"/>
                <w:szCs w:val="1"/>
                <w:color w:val="auto"/>
              </w:rPr>
            </w:pPr>
          </w:p>
        </w:tc>
      </w:tr>
      <w:tr>
        <w:trPr>
          <w:trHeight w:val="516"/>
        </w:trPr>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9"/>
              </w:rPr>
              <w:t>Form S-1/A</w:t>
            </w:r>
          </w:p>
        </w:tc>
        <w:tc>
          <w:tcPr>
            <w:tcW w:w="126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October 22,</w:t>
            </w:r>
          </w:p>
        </w:tc>
        <w:tc>
          <w:tcPr>
            <w:tcW w:w="0" w:type="dxa"/>
            <w:vAlign w:val="bottom"/>
          </w:tcPr>
          <w:p>
            <w:pPr>
              <w:spacing w:after="0"/>
              <w:rPr>
                <w:sz w:val="1"/>
                <w:szCs w:val="1"/>
                <w:color w:val="auto"/>
              </w:rPr>
            </w:pPr>
          </w:p>
        </w:tc>
      </w:tr>
      <w:tr>
        <w:trPr>
          <w:trHeight w:val="266"/>
        </w:trPr>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9"/>
              </w:rPr>
              <w:t>(Exhibit 10.5)</w:t>
            </w:r>
          </w:p>
        </w:tc>
        <w:tc>
          <w:tcPr>
            <w:tcW w:w="12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2020</w:t>
            </w:r>
          </w:p>
        </w:tc>
        <w:tc>
          <w:tcPr>
            <w:tcW w:w="0" w:type="dxa"/>
            <w:vAlign w:val="bottom"/>
          </w:tcPr>
          <w:p>
            <w:pPr>
              <w:spacing w:after="0"/>
              <w:rPr>
                <w:sz w:val="1"/>
                <w:szCs w:val="1"/>
                <w:color w:val="auto"/>
              </w:rPr>
            </w:pPr>
          </w:p>
        </w:tc>
      </w:tr>
      <w:tr>
        <w:trPr>
          <w:trHeight w:val="401"/>
        </w:trPr>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8"/>
              </w:rPr>
              <w:t>Form 10-K</w:t>
            </w:r>
          </w:p>
        </w:tc>
        <w:tc>
          <w:tcPr>
            <w:tcW w:w="126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March 19,</w:t>
            </w:r>
          </w:p>
        </w:tc>
        <w:tc>
          <w:tcPr>
            <w:tcW w:w="0" w:type="dxa"/>
            <w:vAlign w:val="bottom"/>
          </w:tcPr>
          <w:p>
            <w:pPr>
              <w:spacing w:after="0"/>
              <w:rPr>
                <w:sz w:val="1"/>
                <w:szCs w:val="1"/>
                <w:color w:val="auto"/>
              </w:rPr>
            </w:pPr>
          </w:p>
        </w:tc>
      </w:tr>
      <w:tr>
        <w:trPr>
          <w:trHeight w:val="266"/>
        </w:trPr>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9"/>
              </w:rPr>
              <w:t>(Exhibit 10.7)</w:t>
            </w:r>
          </w:p>
        </w:tc>
        <w:tc>
          <w:tcPr>
            <w:tcW w:w="12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401"/>
        </w:trPr>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9"/>
              </w:rPr>
              <w:t>Form S-1/A</w:t>
            </w:r>
          </w:p>
        </w:tc>
        <w:tc>
          <w:tcPr>
            <w:tcW w:w="126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October 22,</w:t>
            </w:r>
          </w:p>
        </w:tc>
        <w:tc>
          <w:tcPr>
            <w:tcW w:w="0" w:type="dxa"/>
            <w:vAlign w:val="bottom"/>
          </w:tcPr>
          <w:p>
            <w:pPr>
              <w:spacing w:after="0"/>
              <w:rPr>
                <w:sz w:val="1"/>
                <w:szCs w:val="1"/>
                <w:color w:val="auto"/>
              </w:rPr>
            </w:pPr>
          </w:p>
        </w:tc>
      </w:tr>
      <w:tr>
        <w:trPr>
          <w:trHeight w:val="266"/>
        </w:trPr>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9"/>
              </w:rPr>
              <w:t>(Exhibit 10.7)</w:t>
            </w:r>
          </w:p>
        </w:tc>
        <w:tc>
          <w:tcPr>
            <w:tcW w:w="12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0"/>
          <w:szCs w:val="20"/>
          <w:color w:val="auto"/>
        </w:rPr>
        <w:t>Form 8-K (Exhibit</w:t>
      </w:r>
      <w:r>
        <w:rPr>
          <w:sz w:val="20"/>
          <w:szCs w:val="20"/>
          <w:color w:val="auto"/>
        </w:rPr>
        <w:tab/>
      </w:r>
      <w:r>
        <w:rPr>
          <w:rFonts w:ascii="Times New Roman" w:cs="Times New Roman" w:eastAsia="Times New Roman" w:hAnsi="Times New Roman"/>
          <w:sz w:val="19"/>
          <w:szCs w:val="19"/>
          <w:color w:val="auto"/>
        </w:rPr>
        <w:t>January 6,</w:t>
      </w:r>
    </w:p>
    <w:p>
      <w:pPr>
        <w:spacing w:after="0" w:line="28" w:lineRule="exact"/>
        <w:rPr>
          <w:sz w:val="20"/>
          <w:szCs w:val="20"/>
          <w:color w:val="auto"/>
        </w:rPr>
      </w:pPr>
    </w:p>
    <w:p>
      <w:pPr>
        <w:ind w:left="560"/>
        <w:spacing w:after="0"/>
        <w:tabs>
          <w:tab w:leader="none" w:pos="214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tabs>
          <w:tab w:leader="none" w:pos="1900" w:val="left"/>
        </w:tabs>
        <w:rPr>
          <w:sz w:val="20"/>
          <w:szCs w:val="20"/>
          <w:color w:val="auto"/>
        </w:rPr>
      </w:pPr>
      <w:r>
        <w:rPr>
          <w:rFonts w:ascii="Times New Roman" w:cs="Times New Roman" w:eastAsia="Times New Roman" w:hAnsi="Times New Roman"/>
          <w:sz w:val="20"/>
          <w:szCs w:val="20"/>
          <w:color w:val="auto"/>
        </w:rPr>
        <w:t>Form 10-Q</w:t>
      </w:r>
      <w:r>
        <w:rPr>
          <w:sz w:val="20"/>
          <w:szCs w:val="20"/>
          <w:color w:val="auto"/>
        </w:rPr>
        <w:tab/>
      </w:r>
      <w:r>
        <w:rPr>
          <w:rFonts w:ascii="Times New Roman" w:cs="Times New Roman" w:eastAsia="Times New Roman" w:hAnsi="Times New Roman"/>
          <w:sz w:val="20"/>
          <w:szCs w:val="20"/>
          <w:color w:val="auto"/>
        </w:rPr>
        <w:t>August 12,</w:t>
      </w:r>
    </w:p>
    <w:p>
      <w:pPr>
        <w:spacing w:after="0" w:line="28" w:lineRule="exact"/>
        <w:rPr>
          <w:sz w:val="20"/>
          <w:szCs w:val="20"/>
          <w:color w:val="auto"/>
        </w:rPr>
      </w:pPr>
    </w:p>
    <w:p>
      <w:pPr>
        <w:ind w:left="200"/>
        <w:spacing w:after="0"/>
        <w:tabs>
          <w:tab w:leader="none" w:pos="2140" w:val="left"/>
        </w:tabs>
        <w:rPr>
          <w:sz w:val="20"/>
          <w:szCs w:val="20"/>
          <w:color w:val="auto"/>
        </w:rPr>
      </w:pPr>
      <w:r>
        <w:rPr>
          <w:rFonts w:ascii="Times New Roman" w:cs="Times New Roman" w:eastAsia="Times New Roman" w:hAnsi="Times New Roman"/>
          <w:sz w:val="20"/>
          <w:szCs w:val="20"/>
          <w:color w:val="auto"/>
        </w:rPr>
        <w:t>(Exhibit 10.1)</w:t>
      </w:r>
      <w:r>
        <w:rPr>
          <w:sz w:val="20"/>
          <w:szCs w:val="20"/>
          <w:color w:val="auto"/>
        </w:rPr>
        <w:tab/>
      </w:r>
      <w:r>
        <w:rPr>
          <w:rFonts w:ascii="Times New Roman" w:cs="Times New Roman" w:eastAsia="Times New Roman" w:hAnsi="Times New Roman"/>
          <w:sz w:val="20"/>
          <w:szCs w:val="20"/>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4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9"/>
              </w:rPr>
              <w:t>Form S-3</w:t>
            </w:r>
          </w:p>
        </w:tc>
        <w:tc>
          <w:tcPr>
            <w:tcW w:w="12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February 10,</w:t>
            </w:r>
          </w:p>
        </w:tc>
      </w:tr>
      <w:tr>
        <w:trPr>
          <w:trHeight w:val="266"/>
        </w:trPr>
        <w:tc>
          <w:tcPr>
            <w:tcW w:w="14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9"/>
              </w:rPr>
              <w:t>(Exhibit 10.1)</w:t>
            </w:r>
          </w:p>
        </w:tc>
        <w:tc>
          <w:tcPr>
            <w:tcW w:w="126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2026</w:t>
            </w:r>
          </w:p>
        </w:tc>
      </w:tr>
      <w:tr>
        <w:trPr>
          <w:trHeight w:val="630"/>
        </w:trPr>
        <w:tc>
          <w:tcPr>
            <w:tcW w:w="14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8"/>
              </w:rPr>
              <w:t>Form 10-K</w:t>
            </w:r>
          </w:p>
        </w:tc>
        <w:tc>
          <w:tcPr>
            <w:tcW w:w="12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19,</w:t>
            </w:r>
          </w:p>
        </w:tc>
      </w:tr>
      <w:tr>
        <w:trPr>
          <w:trHeight w:val="266"/>
        </w:trPr>
        <w:tc>
          <w:tcPr>
            <w:tcW w:w="14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(Exhibit 10.15)</w:t>
            </w:r>
          </w:p>
        </w:tc>
        <w:tc>
          <w:tcPr>
            <w:tcW w:w="126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2025</w:t>
            </w:r>
          </w:p>
        </w:tc>
      </w:tr>
    </w:tbl>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333-249369</w:t>
      </w: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333-249369</w:t>
      </w: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333-249369</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333-249369</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333-249369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333-293343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001-39655</w:t>
      </w:r>
    </w:p>
    <w:p>
      <w:pPr>
        <w:spacing w:after="0" w:line="481" w:lineRule="exact"/>
        <w:rPr>
          <w:sz w:val="20"/>
          <w:szCs w:val="20"/>
          <w:color w:val="auto"/>
        </w:rPr>
      </w:pPr>
    </w:p>
    <w:p>
      <w:pPr>
        <w:sectPr>
          <w:pgSz w:w="12960" w:h="17280" w:orient="portrait"/>
          <w:cols w:equalWidth="0" w:num="4">
            <w:col w:w="1820" w:space="280"/>
            <w:col w:w="3640" w:space="240"/>
            <w:col w:w="2880" w:space="380"/>
            <w:col w:w="980"/>
          </w:cols>
          <w:pgMar w:left="1440" w:top="1420" w:right="13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89</w:t>
      </w:r>
    </w:p>
    <w:p>
      <w:pPr>
        <w:sectPr>
          <w:pgSz w:w="12960" w:h="17280" w:orient="portrait"/>
          <w:cols w:equalWidth="0" w:num="1">
            <w:col w:w="10220"/>
          </w:cols>
          <w:pgMar w:left="1440" w:top="1420" w:right="1300" w:bottom="895" w:gutter="0" w:footer="0" w:header="0"/>
          <w:type w:val="continuous"/>
        </w:sectPr>
      </w:pPr>
    </w:p>
    <w:bookmarkStart w:id="95" w:name="page96"/>
    <w:bookmarkEnd w:id="95"/>
    <w:tbl>
      <w:tblPr>
        <w:tblLayout w:type="fixed"/>
        <w:tblInd w:w="13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English language summary of Lease</w:t>
            </w:r>
          </w:p>
        </w:tc>
        <w:tc>
          <w:tcPr>
            <w:tcW w:w="0" w:type="dxa"/>
            <w:vAlign w:val="bottom"/>
          </w:tcPr>
          <w:p>
            <w:pPr>
              <w:spacing w:after="0"/>
              <w:rPr>
                <w:sz w:val="1"/>
                <w:szCs w:val="1"/>
                <w:color w:val="auto"/>
              </w:rPr>
            </w:pPr>
          </w:p>
        </w:tc>
      </w:tr>
      <w:tr>
        <w:trPr>
          <w:trHeight w:val="230"/>
        </w:trPr>
        <w:tc>
          <w:tcPr>
            <w:tcW w:w="66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rPr>
              <w:t>10.20</w:t>
            </w:r>
          </w:p>
        </w:tc>
        <w:tc>
          <w:tcPr>
            <w:tcW w:w="3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Agreement between Galecto Biotech ApS</w:t>
            </w:r>
          </w:p>
        </w:tc>
        <w:tc>
          <w:tcPr>
            <w:tcW w:w="0" w:type="dxa"/>
            <w:vAlign w:val="bottom"/>
          </w:tcPr>
          <w:p>
            <w:pPr>
              <w:spacing w:after="0"/>
              <w:rPr>
                <w:sz w:val="1"/>
                <w:szCs w:val="1"/>
                <w:color w:val="auto"/>
              </w:rPr>
            </w:pPr>
          </w:p>
        </w:tc>
      </w:tr>
      <w:tr>
        <w:trPr>
          <w:trHeight w:val="266"/>
        </w:trPr>
        <w:tc>
          <w:tcPr>
            <w:tcW w:w="660" w:type="dxa"/>
            <w:vAlign w:val="bottom"/>
          </w:tcPr>
          <w:p>
            <w:pPr>
              <w:spacing w:after="0"/>
              <w:rPr>
                <w:sz w:val="23"/>
                <w:szCs w:val="23"/>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and COBIS A/S, dated November 11, 2024</w:t>
            </w:r>
            <w:r>
              <w:rPr>
                <w:rFonts w:ascii="Times New Roman" w:cs="Times New Roman" w:eastAsia="Times New Roman" w:hAnsi="Times New Roman"/>
                <w:sz w:val="20"/>
                <w:szCs w:val="20"/>
                <w:color w:val="001987"/>
              </w:rPr>
              <w:t>.</w:t>
            </w:r>
          </w:p>
        </w:tc>
        <w:tc>
          <w:tcPr>
            <w:tcW w:w="0" w:type="dxa"/>
            <w:vAlign w:val="bottom"/>
          </w:tcPr>
          <w:p>
            <w:pPr>
              <w:spacing w:after="0"/>
              <w:rPr>
                <w:sz w:val="1"/>
                <w:szCs w:val="1"/>
                <w:color w:val="auto"/>
              </w:rPr>
            </w:pPr>
          </w:p>
        </w:tc>
      </w:tr>
      <w:tr>
        <w:trPr>
          <w:trHeight w:val="286"/>
        </w:trPr>
        <w:tc>
          <w:tcPr>
            <w:tcW w:w="66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Sales Agreement, dated as of February 10,</w:t>
            </w:r>
          </w:p>
        </w:tc>
        <w:tc>
          <w:tcPr>
            <w:tcW w:w="0" w:type="dxa"/>
            <w:vAlign w:val="bottom"/>
          </w:tcPr>
          <w:p>
            <w:pPr>
              <w:spacing w:after="0"/>
              <w:rPr>
                <w:sz w:val="1"/>
                <w:szCs w:val="1"/>
                <w:color w:val="auto"/>
              </w:rPr>
            </w:pPr>
          </w:p>
        </w:tc>
      </w:tr>
      <w:tr>
        <w:trPr>
          <w:trHeight w:val="230"/>
        </w:trPr>
        <w:tc>
          <w:tcPr>
            <w:tcW w:w="66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rPr>
              <w:t>10.21</w:t>
            </w:r>
          </w:p>
        </w:tc>
        <w:tc>
          <w:tcPr>
            <w:tcW w:w="37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2026, by and between the Registrant and TD</w:t>
            </w:r>
          </w:p>
        </w:tc>
        <w:tc>
          <w:tcPr>
            <w:tcW w:w="0" w:type="dxa"/>
            <w:vAlign w:val="bottom"/>
          </w:tcPr>
          <w:p>
            <w:pPr>
              <w:spacing w:after="0"/>
              <w:rPr>
                <w:sz w:val="1"/>
                <w:szCs w:val="1"/>
                <w:color w:val="auto"/>
              </w:rPr>
            </w:pPr>
          </w:p>
        </w:tc>
      </w:tr>
      <w:tr>
        <w:trPr>
          <w:trHeight w:val="266"/>
        </w:trPr>
        <w:tc>
          <w:tcPr>
            <w:tcW w:w="660" w:type="dxa"/>
            <w:vAlign w:val="bottom"/>
          </w:tcPr>
          <w:p>
            <w:pPr>
              <w:spacing w:after="0"/>
              <w:rPr>
                <w:sz w:val="23"/>
                <w:szCs w:val="23"/>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Securities (USA) LLC.</w:t>
            </w:r>
          </w:p>
        </w:tc>
        <w:tc>
          <w:tcPr>
            <w:tcW w:w="0" w:type="dxa"/>
            <w:vAlign w:val="bottom"/>
          </w:tcPr>
          <w:p>
            <w:pPr>
              <w:spacing w:after="0"/>
              <w:rPr>
                <w:sz w:val="1"/>
                <w:szCs w:val="1"/>
                <w:color w:val="auto"/>
              </w:rPr>
            </w:pPr>
          </w:p>
        </w:tc>
      </w:tr>
      <w:tr>
        <w:trPr>
          <w:trHeight w:val="401"/>
        </w:trPr>
        <w:tc>
          <w:tcPr>
            <w:tcW w:w="660" w:type="dxa"/>
            <w:vAlign w:val="bottom"/>
            <w:vMerge w:val="restart"/>
          </w:tcPr>
          <w:p>
            <w:pPr>
              <w:jc w:val="center"/>
              <w:ind w:right="100"/>
              <w:spacing w:after="0"/>
              <w:rPr>
                <w:sz w:val="20"/>
                <w:szCs w:val="20"/>
                <w:color w:val="auto"/>
              </w:rPr>
            </w:pPr>
            <w:r>
              <w:rPr>
                <w:rFonts w:ascii="Times New Roman" w:cs="Times New Roman" w:eastAsia="Times New Roman" w:hAnsi="Times New Roman"/>
                <w:sz w:val="20"/>
                <w:szCs w:val="20"/>
                <w:color w:val="auto"/>
                <w:w w:val="97"/>
              </w:rPr>
              <w:t>19.1</w:t>
            </w:r>
          </w:p>
        </w:tc>
        <w:tc>
          <w:tcPr>
            <w:tcW w:w="3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Statement of Company Policy on Insider</w:t>
            </w:r>
          </w:p>
        </w:tc>
        <w:tc>
          <w:tcPr>
            <w:tcW w:w="0" w:type="dxa"/>
            <w:vAlign w:val="bottom"/>
          </w:tcPr>
          <w:p>
            <w:pPr>
              <w:spacing w:after="0"/>
              <w:rPr>
                <w:sz w:val="1"/>
                <w:szCs w:val="1"/>
                <w:color w:val="auto"/>
              </w:rPr>
            </w:pPr>
          </w:p>
        </w:tc>
      </w:tr>
      <w:tr>
        <w:trPr>
          <w:trHeight w:val="151"/>
        </w:trPr>
        <w:tc>
          <w:tcPr>
            <w:tcW w:w="660" w:type="dxa"/>
            <w:vAlign w:val="bottom"/>
            <w:vMerge w:val="continue"/>
          </w:tcPr>
          <w:p>
            <w:pPr>
              <w:spacing w:after="0"/>
              <w:rPr>
                <w:sz w:val="13"/>
                <w:szCs w:val="13"/>
                <w:color w:val="auto"/>
              </w:rPr>
            </w:pPr>
          </w:p>
        </w:tc>
        <w:tc>
          <w:tcPr>
            <w:tcW w:w="37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Trading and Disclosure.</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3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7"/>
        </w:trPr>
        <w:tc>
          <w:tcPr>
            <w:tcW w:w="66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rPr>
              <w:t>21.1*</w:t>
            </w:r>
          </w:p>
        </w:tc>
        <w:tc>
          <w:tcPr>
            <w:tcW w:w="3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List of Subsidiaries of the Registrant.</w:t>
            </w:r>
          </w:p>
        </w:tc>
        <w:tc>
          <w:tcPr>
            <w:tcW w:w="0" w:type="dxa"/>
            <w:vAlign w:val="bottom"/>
          </w:tcPr>
          <w:p>
            <w:pPr>
              <w:spacing w:after="0"/>
              <w:rPr>
                <w:sz w:val="1"/>
                <w:szCs w:val="1"/>
                <w:color w:val="auto"/>
              </w:rPr>
            </w:pPr>
          </w:p>
        </w:tc>
      </w:tr>
      <w:tr>
        <w:trPr>
          <w:trHeight w:val="286"/>
        </w:trPr>
        <w:tc>
          <w:tcPr>
            <w:tcW w:w="66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Consent of EY Godkendt</w:t>
            </w:r>
          </w:p>
        </w:tc>
        <w:tc>
          <w:tcPr>
            <w:tcW w:w="0" w:type="dxa"/>
            <w:vAlign w:val="bottom"/>
          </w:tcPr>
          <w:p>
            <w:pPr>
              <w:spacing w:after="0"/>
              <w:rPr>
                <w:sz w:val="1"/>
                <w:szCs w:val="1"/>
                <w:color w:val="auto"/>
              </w:rPr>
            </w:pPr>
          </w:p>
        </w:tc>
      </w:tr>
      <w:tr>
        <w:trPr>
          <w:trHeight w:val="230"/>
        </w:trPr>
        <w:tc>
          <w:tcPr>
            <w:tcW w:w="66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rPr>
              <w:t>23.1*</w:t>
            </w:r>
          </w:p>
        </w:tc>
        <w:tc>
          <w:tcPr>
            <w:tcW w:w="3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Revisionspartnerselskab, independent</w:t>
            </w:r>
          </w:p>
        </w:tc>
        <w:tc>
          <w:tcPr>
            <w:tcW w:w="0" w:type="dxa"/>
            <w:vAlign w:val="bottom"/>
          </w:tcPr>
          <w:p>
            <w:pPr>
              <w:spacing w:after="0"/>
              <w:rPr>
                <w:sz w:val="1"/>
                <w:szCs w:val="1"/>
                <w:color w:val="auto"/>
              </w:rPr>
            </w:pPr>
          </w:p>
        </w:tc>
      </w:tr>
      <w:tr>
        <w:trPr>
          <w:trHeight w:val="266"/>
        </w:trPr>
        <w:tc>
          <w:tcPr>
            <w:tcW w:w="660" w:type="dxa"/>
            <w:vAlign w:val="bottom"/>
          </w:tcPr>
          <w:p>
            <w:pPr>
              <w:spacing w:after="0"/>
              <w:rPr>
                <w:sz w:val="23"/>
                <w:szCs w:val="23"/>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registered public accounting firm.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-2142490</wp:posOffset>
            </wp:positionV>
            <wp:extent cx="6675120" cy="5958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extLst>
                    </a:blip>
                    <a:srcRect/>
                    <a:stretch>
                      <a:fillRect/>
                    </a:stretch>
                  </pic:blipFill>
                  <pic:spPr bwMode="auto">
                    <a:xfrm>
                      <a:off x="0" y="0"/>
                      <a:ext cx="6675120" cy="5958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8"/>
              </w:rPr>
              <w:t>Form 10-K</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19,</w:t>
            </w:r>
          </w:p>
        </w:tc>
        <w:tc>
          <w:tcPr>
            <w:tcW w:w="116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auto"/>
                <w:w w:val="99"/>
              </w:rPr>
              <w:t>001-39655</w:t>
            </w:r>
          </w:p>
        </w:tc>
        <w:tc>
          <w:tcPr>
            <w:tcW w:w="0" w:type="dxa"/>
            <w:vAlign w:val="bottom"/>
          </w:tcPr>
          <w:p>
            <w:pPr>
              <w:spacing w:after="0"/>
              <w:rPr>
                <w:sz w:val="1"/>
                <w:szCs w:val="1"/>
                <w:color w:val="auto"/>
              </w:rPr>
            </w:pPr>
          </w:p>
        </w:tc>
      </w:tr>
      <w:tr>
        <w:trPr>
          <w:trHeight w:val="151"/>
        </w:trPr>
        <w:tc>
          <w:tcPr>
            <w:tcW w:w="14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rPr>
              <w:t>(Exhibit 10.16)</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2025</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4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6"/>
        </w:trPr>
        <w:tc>
          <w:tcPr>
            <w:tcW w:w="14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9"/>
              </w:rPr>
              <w:t>Form S-3</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10,</w:t>
            </w:r>
          </w:p>
        </w:tc>
        <w:tc>
          <w:tcPr>
            <w:tcW w:w="116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auto"/>
              </w:rPr>
              <w:t>333-293343</w:t>
            </w:r>
          </w:p>
        </w:tc>
        <w:tc>
          <w:tcPr>
            <w:tcW w:w="0" w:type="dxa"/>
            <w:vAlign w:val="bottom"/>
          </w:tcPr>
          <w:p>
            <w:pPr>
              <w:spacing w:after="0"/>
              <w:rPr>
                <w:sz w:val="1"/>
                <w:szCs w:val="1"/>
                <w:color w:val="auto"/>
              </w:rPr>
            </w:pPr>
          </w:p>
        </w:tc>
      </w:tr>
      <w:tr>
        <w:trPr>
          <w:trHeight w:val="151"/>
        </w:trPr>
        <w:tc>
          <w:tcPr>
            <w:tcW w:w="14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rPr>
              <w:t>(Exhibit 1.2)</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2026</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4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6"/>
        </w:trPr>
        <w:tc>
          <w:tcPr>
            <w:tcW w:w="14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8"/>
              </w:rPr>
              <w:t>Form 10-K</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19,</w:t>
            </w:r>
          </w:p>
        </w:tc>
        <w:tc>
          <w:tcPr>
            <w:tcW w:w="116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auto"/>
                <w:w w:val="99"/>
              </w:rPr>
              <w:t>001-39655</w:t>
            </w:r>
          </w:p>
        </w:tc>
        <w:tc>
          <w:tcPr>
            <w:tcW w:w="0" w:type="dxa"/>
            <w:vAlign w:val="bottom"/>
          </w:tcPr>
          <w:p>
            <w:pPr>
              <w:spacing w:after="0"/>
              <w:rPr>
                <w:sz w:val="1"/>
                <w:szCs w:val="1"/>
                <w:color w:val="auto"/>
              </w:rPr>
            </w:pPr>
          </w:p>
        </w:tc>
      </w:tr>
      <w:tr>
        <w:trPr>
          <w:trHeight w:val="151"/>
        </w:trPr>
        <w:tc>
          <w:tcPr>
            <w:tcW w:w="14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w w:val="99"/>
              </w:rPr>
              <w:t>(Exhibit 19.1)</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2025</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4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75" w:lineRule="exact"/>
        <w:rPr>
          <w:sz w:val="20"/>
          <w:szCs w:val="20"/>
          <w:color w:val="auto"/>
        </w:rPr>
      </w:pPr>
    </w:p>
    <w:p>
      <w:pPr>
        <w:sectPr>
          <w:pgSz w:w="12960" w:h="17280" w:orient="portrait"/>
          <w:cols w:equalWidth="0" w:num="2">
            <w:col w:w="5760" w:space="440"/>
            <w:col w:w="4220"/>
          </w:cols>
          <w:pgMar w:left="1360" w:top="1420" w:right="1180" w:bottom="895" w:gutter="0" w:footer="0" w:header="0"/>
        </w:sectPr>
      </w:pPr>
    </w:p>
    <w:p>
      <w:pPr>
        <w:spacing w:after="0" w:line="1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24.1*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Power of Attorney (included on signature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to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Certification of Principal Executive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Rules 13a-14(a) and 15d-14(a)</w:t>
      </w:r>
    </w:p>
    <w:p>
      <w:pPr>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rPr>
          <w:sz w:val="20"/>
          <w:szCs w:val="20"/>
          <w:color w:val="auto"/>
        </w:rPr>
      </w:pPr>
      <w:r>
        <w:rPr>
          <w:rFonts w:ascii="Times New Roman" w:cs="Times New Roman" w:eastAsia="Times New Roman" w:hAnsi="Times New Roman"/>
          <w:sz w:val="20"/>
          <w:szCs w:val="20"/>
          <w:color w:val="auto"/>
        </w:rPr>
        <w:t>as Adopted Pursuant to Section 302 of the</w:t>
      </w:r>
    </w:p>
    <w:p>
      <w:pPr>
        <w:spacing w:after="0"/>
        <w:rPr>
          <w:sz w:val="20"/>
          <w:szCs w:val="20"/>
          <w:color w:val="auto"/>
        </w:rPr>
      </w:pPr>
      <w:r>
        <w:rPr>
          <w:rFonts w:ascii="Times New Roman" w:cs="Times New Roman" w:eastAsia="Times New Roman" w:hAnsi="Times New Roman"/>
          <w:sz w:val="20"/>
          <w:szCs w:val="20"/>
          <w:color w:val="auto"/>
        </w:rPr>
        <w:t>Sarbanes-Oxley Act of 2002.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Certification of Principal Financial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Rules 13a-14(a) and 15d-14(a)</w:t>
      </w:r>
    </w:p>
    <w:p>
      <w:pPr>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rPr>
          <w:sz w:val="20"/>
          <w:szCs w:val="20"/>
          <w:color w:val="auto"/>
        </w:rPr>
      </w:pPr>
      <w:r>
        <w:rPr>
          <w:rFonts w:ascii="Times New Roman" w:cs="Times New Roman" w:eastAsia="Times New Roman" w:hAnsi="Times New Roman"/>
          <w:sz w:val="20"/>
          <w:szCs w:val="20"/>
          <w:color w:val="auto"/>
        </w:rPr>
        <w:t>as Adopted Pursuant to Section 302 of the</w:t>
      </w:r>
    </w:p>
    <w:p>
      <w:pPr>
        <w:spacing w:after="0"/>
        <w:rPr>
          <w:sz w:val="20"/>
          <w:szCs w:val="20"/>
          <w:color w:val="auto"/>
        </w:rPr>
      </w:pPr>
      <w:r>
        <w:rPr>
          <w:rFonts w:ascii="Times New Roman" w:cs="Times New Roman" w:eastAsia="Times New Roman" w:hAnsi="Times New Roman"/>
          <w:sz w:val="20"/>
          <w:szCs w:val="20"/>
          <w:color w:val="auto"/>
        </w:rPr>
        <w:t>Sarbanes-Oxley Act of 2002.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Certification of Principal Executive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18 U.S.C. Section 1350, as</w:t>
      </w:r>
    </w:p>
    <w:p>
      <w:pPr>
        <w:spacing w:after="0"/>
        <w:rPr>
          <w:sz w:val="20"/>
          <w:szCs w:val="20"/>
          <w:color w:val="auto"/>
        </w:rPr>
      </w:pPr>
      <w:r>
        <w:rPr>
          <w:rFonts w:ascii="Times New Roman" w:cs="Times New Roman" w:eastAsia="Times New Roman" w:hAnsi="Times New Roman"/>
          <w:sz w:val="20"/>
          <w:szCs w:val="20"/>
          <w:color w:val="auto"/>
        </w:rPr>
        <w:t>Adopted Pursuant to Section 906 of the</w:t>
      </w:r>
    </w:p>
    <w:p>
      <w:pPr>
        <w:spacing w:after="0"/>
        <w:rPr>
          <w:sz w:val="20"/>
          <w:szCs w:val="20"/>
          <w:color w:val="auto"/>
        </w:rPr>
      </w:pPr>
      <w:r>
        <w:rPr>
          <w:rFonts w:ascii="Times New Roman" w:cs="Times New Roman" w:eastAsia="Times New Roman" w:hAnsi="Times New Roman"/>
          <w:sz w:val="20"/>
          <w:szCs w:val="20"/>
          <w:color w:val="auto"/>
        </w:rPr>
        <w:t>Sarbanes-Oxley Act of 2002.</w:t>
      </w:r>
    </w:p>
    <w:p>
      <w:pPr>
        <w:spacing w:after="0" w:line="64" w:lineRule="exact"/>
        <w:rPr>
          <w:sz w:val="20"/>
          <w:szCs w:val="20"/>
          <w:color w:val="auto"/>
        </w:rPr>
      </w:pPr>
    </w:p>
    <w:p>
      <w:pPr>
        <w:sectPr>
          <w:pgSz w:w="12960" w:h="17280" w:orient="portrait"/>
          <w:cols w:equalWidth="0" w:num="2">
            <w:col w:w="1840" w:space="340"/>
            <w:col w:w="8240"/>
          </w:cols>
          <w:pgMar w:left="1360" w:top="1420" w:right="1180" w:bottom="895" w:gutter="0" w:footer="0" w:header="0"/>
          <w:type w:val="continuous"/>
        </w:sectPr>
      </w:pPr>
    </w:p>
    <w:tbl>
      <w:tblPr>
        <w:tblLayout w:type="fixed"/>
        <w:tblInd w:w="1200" w:type="dxa"/>
        <w:tblCellMar>
          <w:top w:w="0" w:type="dxa"/>
          <w:left w:w="0" w:type="dxa"/>
          <w:bottom w:w="0" w:type="dxa"/>
          <w:right w:w="0" w:type="dxa"/>
        </w:tblCellMar>
      </w:tblPr>
      <w:tr>
        <w:trPr>
          <w:trHeight w:val="230"/>
        </w:trPr>
        <w:tc>
          <w:tcPr>
            <w:tcW w:w="860" w:type="dxa"/>
            <w:vAlign w:val="bottom"/>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9"/>
              </w:rPr>
              <w:t>97#</w:t>
            </w:r>
          </w:p>
        </w:tc>
        <w:tc>
          <w:tcPr>
            <w:tcW w:w="39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Incentive Compensation Recovery Policy.</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Form 10-K</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8,</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001-39655</w:t>
            </w:r>
          </w:p>
        </w:tc>
        <w:tc>
          <w:tcPr>
            <w:tcW w:w="0" w:type="dxa"/>
            <w:vAlign w:val="bottom"/>
          </w:tcPr>
          <w:p>
            <w:pPr>
              <w:spacing w:after="0"/>
              <w:rPr>
                <w:sz w:val="1"/>
                <w:szCs w:val="1"/>
                <w:color w:val="auto"/>
              </w:rPr>
            </w:pPr>
          </w:p>
        </w:tc>
      </w:tr>
      <w:tr>
        <w:trPr>
          <w:trHeight w:val="151"/>
        </w:trPr>
        <w:tc>
          <w:tcPr>
            <w:tcW w:w="860" w:type="dxa"/>
            <w:vAlign w:val="bottom"/>
            <w:vMerge w:val="continue"/>
          </w:tcPr>
          <w:p>
            <w:pPr>
              <w:spacing w:after="0"/>
              <w:rPr>
                <w:sz w:val="13"/>
                <w:szCs w:val="13"/>
                <w:color w:val="auto"/>
              </w:rPr>
            </w:pPr>
          </w:p>
        </w:tc>
        <w:tc>
          <w:tcPr>
            <w:tcW w:w="3940" w:type="dxa"/>
            <w:vAlign w:val="bottom"/>
            <w:vMerge w:val="continue"/>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(Exhibit 97)</w:t>
            </w:r>
          </w:p>
        </w:tc>
        <w:tc>
          <w:tcPr>
            <w:tcW w:w="1400" w:type="dxa"/>
            <w:vAlign w:val="bottom"/>
            <w:vMerge w:val="restart"/>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8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8"/>
              </w:rPr>
              <w:t>101.INS</w:t>
            </w:r>
          </w:p>
        </w:tc>
        <w:tc>
          <w:tcPr>
            <w:tcW w:w="3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60" w:type="dxa"/>
            <w:vAlign w:val="bottom"/>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rPr>
              <w:t>101.SCH</w:t>
            </w:r>
          </w:p>
        </w:tc>
        <w:tc>
          <w:tcPr>
            <w:tcW w:w="3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Schema</w:t>
            </w: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60" w:type="dxa"/>
            <w:vAlign w:val="bottom"/>
            <w:vMerge w:val="continue"/>
          </w:tcPr>
          <w:p>
            <w:pPr>
              <w:spacing w:after="0"/>
              <w:rPr>
                <w:sz w:val="13"/>
                <w:szCs w:val="13"/>
                <w:color w:val="auto"/>
              </w:rPr>
            </w:pPr>
          </w:p>
        </w:tc>
        <w:tc>
          <w:tcPr>
            <w:tcW w:w="39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Document</w:t>
            </w:r>
          </w:p>
        </w:tc>
        <w:tc>
          <w:tcPr>
            <w:tcW w:w="1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60" w:type="dxa"/>
            <w:vAlign w:val="bottom"/>
          </w:tcPr>
          <w:p>
            <w:pPr>
              <w:spacing w:after="0"/>
              <w:rPr>
                <w:sz w:val="10"/>
                <w:szCs w:val="10"/>
                <w:color w:val="auto"/>
              </w:rPr>
            </w:pPr>
          </w:p>
        </w:tc>
        <w:tc>
          <w:tcPr>
            <w:tcW w:w="394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2180" w:right="4680" w:hanging="761"/>
        <w:spacing w:after="0" w:line="181" w:lineRule="auto"/>
        <w:tabs>
          <w:tab w:leader="none" w:pos="2180" w:val="left"/>
        </w:tabs>
        <w:numPr>
          <w:ilvl w:val="0"/>
          <w:numId w:val="38"/>
        </w:numPr>
        <w:rPr>
          <w:rFonts w:ascii="Times New Roman" w:cs="Times New Roman" w:eastAsia="Times New Roman" w:hAnsi="Times New Roman"/>
          <w:sz w:val="38"/>
          <w:szCs w:val="38"/>
          <w:color w:val="auto"/>
          <w:vertAlign w:val="subscript"/>
        </w:rPr>
      </w:pPr>
      <w:r>
        <w:rPr>
          <w:rFonts w:ascii="Times New Roman" w:cs="Times New Roman" w:eastAsia="Times New Roman" w:hAnsi="Times New Roman"/>
          <w:sz w:val="19"/>
          <w:szCs w:val="19"/>
          <w:color w:val="auto"/>
        </w:rPr>
        <w:t>Cover Page Interactive Data File (embedded within the Inline XBRL document)</w:t>
      </w:r>
    </w:p>
    <w:p>
      <w:pPr>
        <w:spacing w:after="0" w:line="86" w:lineRule="exact"/>
        <w:rPr>
          <w:sz w:val="20"/>
          <w:szCs w:val="20"/>
          <w:color w:val="auto"/>
        </w:rPr>
      </w:pPr>
    </w:p>
    <w:p>
      <w:pPr>
        <w:ind w:left="160" w:hanging="152"/>
        <w:spacing w:after="0"/>
        <w:tabs>
          <w:tab w:leader="none" w:pos="16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Filed herewith.</w:t>
      </w:r>
    </w:p>
    <w:p>
      <w:pPr>
        <w:spacing w:after="0" w:line="40" w:lineRule="exact"/>
        <w:rPr>
          <w:rFonts w:ascii="Times New Roman" w:cs="Times New Roman" w:eastAsia="Times New Roman" w:hAnsi="Times New Roman"/>
          <w:sz w:val="20"/>
          <w:szCs w:val="20"/>
          <w:b w:val="1"/>
          <w:bCs w:val="1"/>
          <w:color w:val="auto"/>
        </w:rPr>
      </w:pPr>
    </w:p>
    <w:p>
      <w:pPr>
        <w:ind w:left="280" w:hanging="272"/>
        <w:spacing w:after="0" w:line="260" w:lineRule="auto"/>
        <w:tabs>
          <w:tab w:leader="none" w:pos="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 Such certifications will not be deemed to be incorporated by reference into any filings under the Securities Act or the Exchange Act, except to the extent that we specifically incorporate it by reference.</w:t>
      </w:r>
    </w:p>
    <w:p>
      <w:pPr>
        <w:spacing w:after="0" w:line="2" w:lineRule="exact"/>
        <w:rPr>
          <w:sz w:val="20"/>
          <w:szCs w:val="20"/>
          <w:color w:val="auto"/>
        </w:rPr>
      </w:pPr>
    </w:p>
    <w:p>
      <w:pPr>
        <w:ind w:left="160" w:hanging="152"/>
        <w:spacing w:after="0"/>
        <w:tabs>
          <w:tab w:leader="none" w:pos="1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any compensatory plan, contract or arrangement.</w:t>
      </w:r>
    </w:p>
    <w:p>
      <w:pPr>
        <w:spacing w:after="0" w:line="4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Schedules have been omitted pursuant to Item 601(a)(5) of Regulation S-K.</w:t>
      </w:r>
    </w:p>
    <w:p>
      <w:pPr>
        <w:spacing w:after="0" w:line="40" w:lineRule="exact"/>
        <w:rPr>
          <w:sz w:val="20"/>
          <w:szCs w:val="20"/>
          <w:color w:val="auto"/>
        </w:rPr>
      </w:pPr>
    </w:p>
    <w:p>
      <w:pPr>
        <w:ind w:left="180" w:hanging="172"/>
        <w:spacing w:after="0" w:line="258" w:lineRule="auto"/>
        <w:tabs>
          <w:tab w:leader="none" w:pos="16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portions have been omitted pursuant to Item 601(b)(10)(iv) of Regulation S-K by means of marking such portions with brackets (“[***]”) because the identified confidential portions (i) are not material and (ii) is the type that the Registrant treats as private or confidential.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None.</w:t>
      </w:r>
    </w:p>
    <w:p>
      <w:pPr>
        <w:sectPr>
          <w:pgSz w:w="12960" w:h="17280" w:orient="portrait"/>
          <w:cols w:equalWidth="0" w:num="1">
            <w:col w:w="10420"/>
          </w:cols>
          <w:pgMar w:left="1360" w:top="1420" w:right="1180" w:bottom="8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90</w:t>
      </w:r>
    </w:p>
    <w:p>
      <w:pPr>
        <w:sectPr>
          <w:pgSz w:w="12960" w:h="17280" w:orient="portrait"/>
          <w:cols w:equalWidth="0" w:num="1">
            <w:col w:w="10420"/>
          </w:cols>
          <w:pgMar w:left="1360" w:top="1420" w:right="1180" w:bottom="895"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p>
    <w:p>
      <w:pPr>
        <w:spacing w:after="0" w:line="18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b w:val="1"/>
          <w:bCs w:val="1"/>
          <w:color w:val="auto"/>
        </w:rPr>
        <w:t>Damora Therapeutics, Inc.</w:t>
      </w:r>
    </w:p>
    <w:p>
      <w:pPr>
        <w:spacing w:after="0" w:line="264" w:lineRule="exact"/>
        <w:rPr>
          <w:sz w:val="20"/>
          <w:szCs w:val="20"/>
          <w:color w:val="auto"/>
        </w:rPr>
      </w:pPr>
    </w:p>
    <w:p>
      <w:pPr>
        <w:ind w:left="1520"/>
        <w:spacing w:after="0"/>
        <w:tabs>
          <w:tab w:leader="none" w:pos="5300" w:val="left"/>
          <w:tab w:leader="none" w:pos="7100" w:val="left"/>
        </w:tabs>
        <w:rPr>
          <w:sz w:val="20"/>
          <w:szCs w:val="20"/>
          <w:color w:val="auto"/>
        </w:rPr>
      </w:pPr>
      <w:r>
        <w:rPr>
          <w:rFonts w:ascii="Times New Roman" w:cs="Times New Roman" w:eastAsia="Times New Roman" w:hAnsi="Times New Roman"/>
          <w:sz w:val="20"/>
          <w:szCs w:val="20"/>
          <w:color w:val="auto"/>
        </w:rPr>
        <w:t>Date: March 19,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Sherwin Sattarzadeh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3580130</wp:posOffset>
                </wp:positionH>
                <wp:positionV relativeFrom="paragraph">
                  <wp:posOffset>13970</wp:posOffset>
                </wp:positionV>
                <wp:extent cx="310007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0007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9pt,1.1pt" to="526pt,1.1pt" o:allowincell="f" strokecolor="#000000" strokeweight="0.25pt"/>
            </w:pict>
          </mc:Fallback>
        </mc:AlternateContent>
      </w:r>
    </w:p>
    <w:p>
      <w:pPr>
        <w:spacing w:after="0" w:line="1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20"/>
          <w:szCs w:val="20"/>
          <w:color w:val="auto"/>
        </w:rPr>
        <w:t>Sherwin Sattarzadeh</w:t>
      </w:r>
    </w:p>
    <w:p>
      <w:pPr>
        <w:spacing w:after="0" w:line="2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0"/>
          <w:szCs w:val="20"/>
          <w:color w:val="auto"/>
        </w:rPr>
        <w:t>Chief Operating Officer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Each person whose individual signature appears below hereby authorizes and appoints Sherwin Sattarzadeh and Garrett Winslow,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2"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00" w:type="dxa"/>
            <w:vAlign w:val="bottom"/>
          </w:tcPr>
          <w:p>
            <w:pPr>
              <w:spacing w:after="0"/>
              <w:rPr>
                <w:sz w:val="17"/>
                <w:szCs w:val="17"/>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00" w:type="dxa"/>
            <w:vAlign w:val="bottom"/>
          </w:tcPr>
          <w:p>
            <w:pPr>
              <w:spacing w:after="0"/>
              <w:rPr>
                <w:sz w:val="17"/>
                <w:szCs w:val="17"/>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37"/>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Sherwin Sattarzadeh</w:t>
            </w:r>
          </w:p>
        </w:tc>
        <w:tc>
          <w:tcPr>
            <w:tcW w:w="10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Operating Officer</w:t>
            </w:r>
          </w:p>
        </w:tc>
        <w:tc>
          <w:tcPr>
            <w:tcW w:w="10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19, 2026</w:t>
            </w:r>
          </w:p>
        </w:tc>
      </w:tr>
      <w:tr>
        <w:trPr>
          <w:trHeight w:val="251"/>
        </w:trPr>
        <w:tc>
          <w:tcPr>
            <w:tcW w:w="3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Sherwin Sattarzadeh</w:t>
            </w:r>
          </w:p>
        </w:tc>
        <w:tc>
          <w:tcPr>
            <w:tcW w:w="100" w:type="dxa"/>
            <w:vAlign w:val="bottom"/>
          </w:tcPr>
          <w:p>
            <w:pPr>
              <w:spacing w:after="0"/>
              <w:rPr>
                <w:sz w:val="21"/>
                <w:szCs w:val="21"/>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Executive Officer)</w:t>
            </w: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Lori Firmani</w:t>
            </w:r>
          </w:p>
        </w:tc>
        <w:tc>
          <w:tcPr>
            <w:tcW w:w="10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Financial Officer</w:t>
            </w:r>
          </w:p>
        </w:tc>
        <w:tc>
          <w:tcPr>
            <w:tcW w:w="10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19, 2026</w:t>
            </w:r>
          </w:p>
        </w:tc>
      </w:tr>
      <w:tr>
        <w:trPr>
          <w:trHeight w:val="251"/>
        </w:trPr>
        <w:tc>
          <w:tcPr>
            <w:tcW w:w="3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Lori Firmani</w:t>
            </w:r>
          </w:p>
        </w:tc>
        <w:tc>
          <w:tcPr>
            <w:tcW w:w="100" w:type="dxa"/>
            <w:vAlign w:val="bottom"/>
          </w:tcPr>
          <w:p>
            <w:pPr>
              <w:spacing w:after="0"/>
              <w:rPr>
                <w:sz w:val="21"/>
                <w:szCs w:val="21"/>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Carl Goldfischer</w:t>
            </w:r>
          </w:p>
        </w:tc>
        <w:tc>
          <w:tcPr>
            <w:tcW w:w="10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Chairman</w:t>
            </w:r>
          </w:p>
        </w:tc>
        <w:tc>
          <w:tcPr>
            <w:tcW w:w="10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19, 2026</w:t>
            </w:r>
          </w:p>
        </w:tc>
      </w:tr>
      <w:tr>
        <w:trPr>
          <w:trHeight w:val="251"/>
        </w:trPr>
        <w:tc>
          <w:tcPr>
            <w:tcW w:w="3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Carl Goldfischer, M.D.</w:t>
            </w:r>
          </w:p>
        </w:tc>
        <w:tc>
          <w:tcPr>
            <w:tcW w:w="1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Julianne Bruno</w:t>
            </w:r>
          </w:p>
        </w:tc>
        <w:tc>
          <w:tcPr>
            <w:tcW w:w="10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19, 2026</w:t>
            </w:r>
          </w:p>
        </w:tc>
      </w:tr>
      <w:tr>
        <w:trPr>
          <w:trHeight w:val="251"/>
        </w:trPr>
        <w:tc>
          <w:tcPr>
            <w:tcW w:w="3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Julianne Bruno</w:t>
            </w:r>
          </w:p>
        </w:tc>
        <w:tc>
          <w:tcPr>
            <w:tcW w:w="1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Christopher Cain</w:t>
            </w:r>
          </w:p>
        </w:tc>
        <w:tc>
          <w:tcPr>
            <w:tcW w:w="10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19, 2026</w:t>
            </w:r>
          </w:p>
        </w:tc>
      </w:tr>
      <w:tr>
        <w:trPr>
          <w:trHeight w:val="251"/>
        </w:trPr>
        <w:tc>
          <w:tcPr>
            <w:tcW w:w="3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Christopher Cain, Ph.D.</w:t>
            </w:r>
          </w:p>
        </w:tc>
        <w:tc>
          <w:tcPr>
            <w:tcW w:w="1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Jayson Dallas</w:t>
            </w:r>
          </w:p>
        </w:tc>
        <w:tc>
          <w:tcPr>
            <w:tcW w:w="10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19, 2026</w:t>
            </w:r>
          </w:p>
        </w:tc>
      </w:tr>
      <w:tr>
        <w:trPr>
          <w:trHeight w:val="251"/>
        </w:trPr>
        <w:tc>
          <w:tcPr>
            <w:tcW w:w="3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Jayson Dallas, M.D.</w:t>
            </w:r>
          </w:p>
        </w:tc>
        <w:tc>
          <w:tcPr>
            <w:tcW w:w="1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Peter Harwin</w:t>
            </w:r>
          </w:p>
        </w:tc>
        <w:tc>
          <w:tcPr>
            <w:tcW w:w="10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19, 2026</w:t>
            </w:r>
          </w:p>
        </w:tc>
      </w:tr>
      <w:tr>
        <w:trPr>
          <w:trHeight w:val="266"/>
        </w:trPr>
        <w:tc>
          <w:tcPr>
            <w:tcW w:w="3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Peter Harwin</w:t>
            </w:r>
          </w:p>
        </w:tc>
        <w:tc>
          <w:tcPr>
            <w:tcW w:w="10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40" w:type="dxa"/>
            <w:vAlign w:val="bottom"/>
          </w:tcPr>
          <w:p>
            <w:pPr>
              <w:spacing w:after="0"/>
              <w:rPr>
                <w:sz w:val="23"/>
                <w:szCs w:val="23"/>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Amit Munshi</w:t>
            </w:r>
          </w:p>
        </w:tc>
        <w:tc>
          <w:tcPr>
            <w:tcW w:w="10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19, 2026</w:t>
            </w:r>
          </w:p>
        </w:tc>
      </w:tr>
      <w:tr>
        <w:trPr>
          <w:trHeight w:val="251"/>
        </w:trPr>
        <w:tc>
          <w:tcPr>
            <w:tcW w:w="3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Amit D. Munshi</w:t>
            </w:r>
          </w:p>
        </w:tc>
        <w:tc>
          <w:tcPr>
            <w:tcW w:w="1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-1933575</wp:posOffset>
            </wp:positionV>
            <wp:extent cx="6675120" cy="988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a:extLst>
                        <a:ext uri="{28A0092B-C50C-407E-A947-70E740481C1C}"/>
                      </a:extLst>
                    </a:blip>
                    <a:srcRect/>
                    <a:stretch>
                      <a:fillRect/>
                    </a:stretch>
                  </pic:blipFill>
                  <pic:spPr bwMode="auto">
                    <a:xfrm>
                      <a:off x="0" y="0"/>
                      <a:ext cx="6675120" cy="988060"/>
                    </a:xfrm>
                    <a:prstGeom prst="rect">
                      <a:avLst/>
                    </a:prstGeom>
                    <a:noFill/>
                  </pic:spPr>
                </pic:pic>
              </a:graphicData>
            </a:graphic>
          </wp:anchor>
        </w:drawing>
      </w:r>
    </w:p>
    <w:p>
      <w:pPr>
        <w:sectPr>
          <w:pgSz w:w="12960" w:h="17280" w:orient="portrait"/>
          <w:cols w:equalWidth="0" w:num="1">
            <w:col w:w="10520"/>
          </w:cols>
          <w:pgMar w:left="1360" w:top="1416"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960" w:h="17280" w:orient="portrait"/>
          <w:cols w:equalWidth="0" w:num="1">
            <w:col w:w="10520"/>
          </w:cols>
          <w:pgMar w:left="1360" w:top="1416" w:right="1080" w:bottom="895" w:gutter="0" w:footer="0" w:header="0"/>
          <w:type w:val="continuous"/>
        </w:sectPr>
      </w:pPr>
    </w:p>
    <w:bookmarkStart w:id="97" w:name="page98"/>
    <w:bookmarkEnd w:id="97"/>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DAMORA THERAPEUTICS,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Audited Financial Statements</w:t>
            </w:r>
          </w:p>
        </w:tc>
        <w:tc>
          <w:tcPr>
            <w:tcW w:w="84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01"/>
        </w:trPr>
        <w:tc>
          <w:tcPr>
            <w:tcW w:w="96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9"/>
              </w:rPr>
              <w:t>Report of Independent Registered Public Accounting Firm (PCAOB ID 1757) ..........................................................</w:t>
            </w:r>
          </w:p>
        </w:tc>
        <w:tc>
          <w:tcPr>
            <w:tcW w:w="840" w:type="dxa"/>
            <w:vAlign w:val="bottom"/>
          </w:tcPr>
          <w:p>
            <w:pPr>
              <w:jc w:val="center"/>
              <w:ind w:left="63"/>
              <w:spacing w:after="0"/>
              <w:rPr>
                <w:sz w:val="20"/>
                <w:szCs w:val="20"/>
                <w:color w:val="auto"/>
              </w:rPr>
            </w:pPr>
            <w:r>
              <w:rPr>
                <w:rFonts w:ascii="Times New Roman" w:cs="Times New Roman" w:eastAsia="Times New Roman" w:hAnsi="Times New Roman"/>
                <w:sz w:val="20"/>
                <w:szCs w:val="20"/>
                <w:color w:val="auto"/>
              </w:rPr>
              <w:t>F-2</w:t>
            </w:r>
          </w:p>
        </w:tc>
        <w:tc>
          <w:tcPr>
            <w:tcW w:w="0" w:type="dxa"/>
            <w:vAlign w:val="bottom"/>
          </w:tcPr>
          <w:p>
            <w:pPr>
              <w:spacing w:after="0"/>
              <w:rPr>
                <w:sz w:val="1"/>
                <w:szCs w:val="1"/>
                <w:color w:val="auto"/>
              </w:rPr>
            </w:pPr>
          </w:p>
        </w:tc>
      </w:tr>
      <w:tr>
        <w:trPr>
          <w:trHeight w:val="230"/>
        </w:trPr>
        <w:tc>
          <w:tcPr>
            <w:tcW w:w="96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840" w:type="dxa"/>
            <w:vAlign w:val="bottom"/>
          </w:tcPr>
          <w:p>
            <w:pPr>
              <w:jc w:val="center"/>
              <w:ind w:left="63"/>
              <w:spacing w:after="0"/>
              <w:rPr>
                <w:sz w:val="20"/>
                <w:szCs w:val="20"/>
                <w:color w:val="auto"/>
              </w:rPr>
            </w:pPr>
            <w:r>
              <w:rPr>
                <w:rFonts w:ascii="Times New Roman" w:cs="Times New Roman" w:eastAsia="Times New Roman" w:hAnsi="Times New Roman"/>
                <w:sz w:val="20"/>
                <w:szCs w:val="20"/>
                <w:color w:val="auto"/>
              </w:rPr>
              <w:t>F-4</w:t>
            </w:r>
          </w:p>
        </w:tc>
        <w:tc>
          <w:tcPr>
            <w:tcW w:w="0" w:type="dxa"/>
            <w:vAlign w:val="bottom"/>
          </w:tcPr>
          <w:p>
            <w:pPr>
              <w:spacing w:after="0"/>
              <w:rPr>
                <w:sz w:val="1"/>
                <w:szCs w:val="1"/>
                <w:color w:val="auto"/>
              </w:rPr>
            </w:pPr>
          </w:p>
        </w:tc>
      </w:tr>
      <w:tr>
        <w:trPr>
          <w:trHeight w:val="230"/>
        </w:trPr>
        <w:tc>
          <w:tcPr>
            <w:tcW w:w="96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 ..............................................................................</w:t>
            </w:r>
          </w:p>
        </w:tc>
        <w:tc>
          <w:tcPr>
            <w:tcW w:w="840" w:type="dxa"/>
            <w:vAlign w:val="bottom"/>
          </w:tcPr>
          <w:p>
            <w:pPr>
              <w:jc w:val="center"/>
              <w:ind w:left="63"/>
              <w:spacing w:after="0"/>
              <w:rPr>
                <w:sz w:val="20"/>
                <w:szCs w:val="20"/>
                <w:color w:val="auto"/>
              </w:rPr>
            </w:pPr>
            <w:r>
              <w:rPr>
                <w:rFonts w:ascii="Times New Roman" w:cs="Times New Roman" w:eastAsia="Times New Roman" w:hAnsi="Times New Roman"/>
                <w:sz w:val="20"/>
                <w:szCs w:val="20"/>
                <w:color w:val="auto"/>
              </w:rPr>
              <w:t>F-5</w:t>
            </w:r>
          </w:p>
        </w:tc>
        <w:tc>
          <w:tcPr>
            <w:tcW w:w="0" w:type="dxa"/>
            <w:vAlign w:val="bottom"/>
          </w:tcPr>
          <w:p>
            <w:pPr>
              <w:spacing w:after="0"/>
              <w:rPr>
                <w:sz w:val="1"/>
                <w:szCs w:val="1"/>
                <w:color w:val="auto"/>
              </w:rPr>
            </w:pPr>
          </w:p>
        </w:tc>
      </w:tr>
      <w:tr>
        <w:trPr>
          <w:trHeight w:val="230"/>
        </w:trPr>
        <w:tc>
          <w:tcPr>
            <w:tcW w:w="9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9"/>
              </w:rPr>
              <w:t>Consolidated Statements of Changes in Stockholders’ Equity .....................................................................................</w:t>
            </w:r>
          </w:p>
        </w:tc>
        <w:tc>
          <w:tcPr>
            <w:tcW w:w="840" w:type="dxa"/>
            <w:vAlign w:val="bottom"/>
          </w:tcPr>
          <w:p>
            <w:pPr>
              <w:jc w:val="center"/>
              <w:ind w:left="63"/>
              <w:spacing w:after="0"/>
              <w:rPr>
                <w:sz w:val="20"/>
                <w:szCs w:val="20"/>
                <w:color w:val="auto"/>
              </w:rPr>
            </w:pPr>
            <w:r>
              <w:rPr>
                <w:rFonts w:ascii="Times New Roman" w:cs="Times New Roman" w:eastAsia="Times New Roman" w:hAnsi="Times New Roman"/>
                <w:sz w:val="20"/>
                <w:szCs w:val="20"/>
                <w:color w:val="auto"/>
              </w:rPr>
              <w:t>F-6</w:t>
            </w:r>
          </w:p>
        </w:tc>
        <w:tc>
          <w:tcPr>
            <w:tcW w:w="0" w:type="dxa"/>
            <w:vAlign w:val="bottom"/>
          </w:tcPr>
          <w:p>
            <w:pPr>
              <w:spacing w:after="0"/>
              <w:rPr>
                <w:sz w:val="1"/>
                <w:szCs w:val="1"/>
                <w:color w:val="auto"/>
              </w:rPr>
            </w:pPr>
          </w:p>
        </w:tc>
      </w:tr>
      <w:tr>
        <w:trPr>
          <w:trHeight w:val="230"/>
        </w:trPr>
        <w:tc>
          <w:tcPr>
            <w:tcW w:w="9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9"/>
              </w:rPr>
              <w:t>Consolidated Statements of Cash Flows .......................................................................................................................</w:t>
            </w:r>
          </w:p>
        </w:tc>
        <w:tc>
          <w:tcPr>
            <w:tcW w:w="840" w:type="dxa"/>
            <w:vAlign w:val="bottom"/>
          </w:tcPr>
          <w:p>
            <w:pPr>
              <w:jc w:val="center"/>
              <w:ind w:left="63"/>
              <w:spacing w:after="0"/>
              <w:rPr>
                <w:sz w:val="20"/>
                <w:szCs w:val="20"/>
                <w:color w:val="auto"/>
              </w:rPr>
            </w:pPr>
            <w:r>
              <w:rPr>
                <w:rFonts w:ascii="Times New Roman" w:cs="Times New Roman" w:eastAsia="Times New Roman" w:hAnsi="Times New Roman"/>
                <w:sz w:val="20"/>
                <w:szCs w:val="20"/>
                <w:color w:val="auto"/>
              </w:rPr>
              <w:t>F-7</w:t>
            </w:r>
          </w:p>
        </w:tc>
        <w:tc>
          <w:tcPr>
            <w:tcW w:w="0" w:type="dxa"/>
            <w:vAlign w:val="bottom"/>
          </w:tcPr>
          <w:p>
            <w:pPr>
              <w:spacing w:after="0"/>
              <w:rPr>
                <w:sz w:val="1"/>
                <w:szCs w:val="1"/>
                <w:color w:val="auto"/>
              </w:rPr>
            </w:pPr>
          </w:p>
        </w:tc>
      </w:tr>
      <w:tr>
        <w:trPr>
          <w:trHeight w:val="266"/>
        </w:trPr>
        <w:tc>
          <w:tcPr>
            <w:tcW w:w="9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9"/>
              </w:rPr>
              <w:t>Notes to the Consolidated Financial Statements ...........................................................................................................</w:t>
            </w:r>
          </w:p>
        </w:tc>
        <w:tc>
          <w:tcPr>
            <w:tcW w:w="840" w:type="dxa"/>
            <w:vAlign w:val="bottom"/>
          </w:tcPr>
          <w:p>
            <w:pPr>
              <w:jc w:val="center"/>
              <w:ind w:left="63"/>
              <w:spacing w:after="0"/>
              <w:rPr>
                <w:sz w:val="20"/>
                <w:szCs w:val="20"/>
                <w:color w:val="auto"/>
              </w:rPr>
            </w:pPr>
            <w:r>
              <w:rPr>
                <w:rFonts w:ascii="Times New Roman" w:cs="Times New Roman" w:eastAsia="Times New Roman" w:hAnsi="Times New Roman"/>
                <w:sz w:val="20"/>
                <w:szCs w:val="20"/>
                <w:color w:val="auto"/>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960" w:h="17280" w:orient="portrait"/>
          <w:cols w:equalWidth="0" w:num="1">
            <w:col w:w="10520"/>
          </w:cols>
          <w:pgMar w:left="136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960" w:h="17280" w:orient="portrait"/>
          <w:cols w:equalWidth="0" w:num="1">
            <w:col w:w="10520"/>
          </w:cols>
          <w:pgMar w:left="1360" w:top="1440" w:right="1080" w:bottom="895" w:gutter="0" w:footer="0" w:header="0"/>
          <w:type w:val="continuous"/>
        </w:sectPr>
      </w:pPr>
    </w:p>
    <w:bookmarkStart w:id="98" w:name="page99"/>
    <w:bookmarkEnd w:id="98"/>
    <w:p>
      <w:pPr>
        <w:spacing w:after="0" w:line="20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the Shareholders and the Board of Directors of Damora Therapeutics,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24"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Damora Therapeutics, Inc. (the Company) as of December 31, 2025 and 2024, the related consolidated statements of operations and comprehensive loss, changes in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24" w:lineRule="exact"/>
        <w:rPr>
          <w:sz w:val="20"/>
          <w:szCs w:val="20"/>
          <w:color w:val="auto"/>
        </w:rPr>
      </w:pPr>
    </w:p>
    <w:p>
      <w:pPr>
        <w:ind w:right="60" w:firstLine="979"/>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ind w:right="40" w:firstLine="979"/>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ind w:right="260" w:firstLine="979"/>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24" w:lineRule="exact"/>
        <w:rPr>
          <w:sz w:val="20"/>
          <w:szCs w:val="20"/>
          <w:color w:val="auto"/>
        </w:rPr>
      </w:pPr>
    </w:p>
    <w:p>
      <w:pPr>
        <w:ind w:right="240" w:firstLine="979"/>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i w:val="1"/>
          <w:iCs w:val="1"/>
          <w:color w:val="auto"/>
        </w:rPr>
        <w:t>Acquired option obligation</w:t>
      </w:r>
    </w:p>
    <w:p>
      <w:pPr>
        <w:spacing w:after="0" w:line="120" w:lineRule="exact"/>
        <w:rPr>
          <w:sz w:val="20"/>
          <w:szCs w:val="20"/>
          <w:color w:val="auto"/>
        </w:rPr>
      </w:pPr>
    </w:p>
    <w:p>
      <w:pPr>
        <w:ind w:left="120"/>
        <w:spacing w:after="0"/>
        <w:tabs>
          <w:tab w:leader="none" w:pos="2360" w:val="left"/>
        </w:tabs>
        <w:rPr>
          <w:sz w:val="20"/>
          <w:szCs w:val="20"/>
          <w:color w:val="auto"/>
        </w:rPr>
      </w:pPr>
      <w:r>
        <w:rPr>
          <w:rFonts w:ascii="Times New Roman" w:cs="Times New Roman" w:eastAsia="Times New Roman" w:hAnsi="Times New Roman"/>
          <w:sz w:val="20"/>
          <w:szCs w:val="20"/>
          <w:i w:val="1"/>
          <w:iCs w:val="1"/>
          <w:color w:val="auto"/>
        </w:rPr>
        <w:t>Description of the</w:t>
      </w:r>
      <w:r>
        <w:rPr>
          <w:sz w:val="20"/>
          <w:szCs w:val="20"/>
          <w:color w:val="auto"/>
        </w:rPr>
        <w:tab/>
      </w:r>
      <w:r>
        <w:rPr>
          <w:rFonts w:ascii="Times New Roman" w:cs="Times New Roman" w:eastAsia="Times New Roman" w:hAnsi="Times New Roman"/>
          <w:sz w:val="19"/>
          <w:szCs w:val="19"/>
          <w:color w:val="auto"/>
        </w:rPr>
        <w:t>As disclosed in Notes 1, 3, 4 and 13 of the consolidated financial statements, on</w:t>
      </w:r>
    </w:p>
    <w:p>
      <w:pPr>
        <w:spacing w:after="0" w:line="28" w:lineRule="exact"/>
        <w:rPr>
          <w:sz w:val="20"/>
          <w:szCs w:val="20"/>
          <w:color w:val="auto"/>
        </w:rPr>
      </w:pPr>
    </w:p>
    <w:p>
      <w:pPr>
        <w:ind w:left="120"/>
        <w:spacing w:after="0"/>
        <w:tabs>
          <w:tab w:leader="none" w:pos="2360" w:val="left"/>
        </w:tabs>
        <w:rPr>
          <w:sz w:val="20"/>
          <w:szCs w:val="20"/>
          <w:color w:val="auto"/>
        </w:rPr>
      </w:pPr>
      <w:r>
        <w:rPr>
          <w:rFonts w:ascii="Times New Roman" w:cs="Times New Roman" w:eastAsia="Times New Roman" w:hAnsi="Times New Roman"/>
          <w:sz w:val="20"/>
          <w:szCs w:val="20"/>
          <w:i w:val="1"/>
          <w:iCs w:val="1"/>
          <w:color w:val="auto"/>
        </w:rPr>
        <w:t>Matter</w:t>
      </w:r>
      <w:r>
        <w:rPr>
          <w:sz w:val="20"/>
          <w:szCs w:val="20"/>
          <w:color w:val="auto"/>
        </w:rPr>
        <w:tab/>
      </w:r>
      <w:r>
        <w:rPr>
          <w:rFonts w:ascii="Times New Roman" w:cs="Times New Roman" w:eastAsia="Times New Roman" w:hAnsi="Times New Roman"/>
          <w:sz w:val="20"/>
          <w:szCs w:val="20"/>
          <w:color w:val="auto"/>
        </w:rPr>
        <w:t>November 10, 2025, the Company (formerly known as Galecto, Inc.) acquired Damora</w:t>
      </w:r>
    </w:p>
    <w:p>
      <w:pPr>
        <w:ind w:left="2380" w:right="1080"/>
        <w:spacing w:after="0" w:line="241" w:lineRule="auto"/>
        <w:rPr>
          <w:sz w:val="20"/>
          <w:szCs w:val="20"/>
          <w:color w:val="auto"/>
        </w:rPr>
      </w:pPr>
      <w:r>
        <w:rPr>
          <w:rFonts w:ascii="Times New Roman" w:cs="Times New Roman" w:eastAsia="Times New Roman" w:hAnsi="Times New Roman"/>
          <w:sz w:val="20"/>
          <w:szCs w:val="20"/>
          <w:color w:val="auto"/>
        </w:rPr>
        <w:t>Therapeutics, Inc. The total fair value of consideration transferred was $152.7 million. The transaction was accounted for as an asset acquisition under ASC 805-50. Substantially all of the fair value of the gross assets acquired was concentrated in a single identifiable asset, consisting of rights to license in-process research and development with no alternative future use. In connection with the asset acquisition, the Company recognized an option obligation liability of $3.7 million related to a service provider’s contractual right to receive future warrant grants.</w:t>
      </w:r>
    </w:p>
    <w:p>
      <w:pPr>
        <w:spacing w:after="0" w:line="195" w:lineRule="exact"/>
        <w:rPr>
          <w:sz w:val="20"/>
          <w:szCs w:val="20"/>
          <w:color w:val="auto"/>
        </w:rPr>
      </w:pPr>
    </w:p>
    <w:p>
      <w:pPr>
        <w:ind w:left="2380" w:right="1060"/>
        <w:spacing w:after="0" w:line="247" w:lineRule="auto"/>
        <w:rPr>
          <w:sz w:val="20"/>
          <w:szCs w:val="20"/>
          <w:color w:val="auto"/>
        </w:rPr>
      </w:pPr>
      <w:r>
        <w:rPr>
          <w:rFonts w:ascii="Times New Roman" w:cs="Times New Roman" w:eastAsia="Times New Roman" w:hAnsi="Times New Roman"/>
          <w:sz w:val="20"/>
          <w:szCs w:val="20"/>
          <w:color w:val="auto"/>
        </w:rPr>
        <w:t>Auditing the Company’s accounting for the asset acquisition was complex due to the estimation uncertainty in determining the fair value of the option obligation liability. The Company used an option pricing model to measure the acquired option obligation. The fair value determination of the option obligation liability required management to make estimates and significant assumptions regarding the expected term of the warrants and volatility of the underlying shares.</w:t>
      </w:r>
    </w:p>
    <w:p>
      <w:pPr>
        <w:sectPr>
          <w:pgSz w:w="12960" w:h="17280" w:orient="portrait"/>
          <w:cols w:equalWidth="0" w:num="1">
            <w:col w:w="10480"/>
          </w:cols>
          <w:pgMar w:left="1360" w:top="1440" w:right="1120" w:bottom="895" w:gutter="0" w:footer="0" w:header="0"/>
        </w:sect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F-2</w:t>
      </w:r>
    </w:p>
    <w:p>
      <w:pPr>
        <w:sectPr>
          <w:pgSz w:w="12960" w:h="17280" w:orient="portrait"/>
          <w:cols w:equalWidth="0" w:num="1">
            <w:col w:w="10480"/>
          </w:cols>
          <w:pgMar w:left="1360" w:top="1440" w:right="1120" w:bottom="895" w:gutter="0" w:footer="0" w:header="0"/>
          <w:type w:val="continuous"/>
        </w:sectPr>
      </w:pPr>
    </w:p>
    <w:bookmarkStart w:id="99" w:name="page100"/>
    <w:bookmarkEnd w:id="99"/>
    <w:p>
      <w:pPr>
        <w:spacing w:after="0" w:line="200" w:lineRule="exact"/>
        <w:rPr>
          <w:sz w:val="20"/>
          <w:szCs w:val="20"/>
          <w:color w:val="auto"/>
        </w:rPr>
      </w:pPr>
    </w:p>
    <w:p>
      <w:pPr>
        <w:spacing w:after="0" w:line="276" w:lineRule="exact"/>
        <w:rPr>
          <w:sz w:val="20"/>
          <w:szCs w:val="20"/>
          <w:color w:val="auto"/>
        </w:rPr>
      </w:pPr>
    </w:p>
    <w:p>
      <w:pPr>
        <w:ind w:left="120"/>
        <w:spacing w:after="0" w:line="302" w:lineRule="auto"/>
        <w:rPr>
          <w:sz w:val="20"/>
          <w:szCs w:val="20"/>
          <w:color w:val="auto"/>
        </w:rPr>
      </w:pPr>
      <w:r>
        <w:rPr>
          <w:rFonts w:ascii="Times New Roman" w:cs="Times New Roman" w:eastAsia="Times New Roman" w:hAnsi="Times New Roman"/>
          <w:sz w:val="19"/>
          <w:szCs w:val="19"/>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both"/>
        <w:ind w:right="700"/>
        <w:spacing w:after="0" w:line="244" w:lineRule="auto"/>
        <w:rPr>
          <w:sz w:val="20"/>
          <w:szCs w:val="20"/>
          <w:color w:val="auto"/>
        </w:rPr>
      </w:pPr>
      <w:r>
        <w:rPr>
          <w:rFonts w:ascii="Times New Roman" w:cs="Times New Roman" w:eastAsia="Times New Roman" w:hAnsi="Times New Roman"/>
          <w:sz w:val="20"/>
          <w:szCs w:val="20"/>
          <w:color w:val="auto"/>
        </w:rPr>
        <w:t>To test the value of the option obligation liability, our procedures included, among others, reading the relevant agreements related to the asset acquisition and research services to understand the terms and conditions of the option. We assessed the reasonableness of management’s significant assumptions and evaluated the completeness and accuracy of the data used in supporting the assumptions, including the actual historical volatility of the underlying shares and related adjustments. With the assistance of our internal valuation specialists, we evaluated the reasonableness of the methodology assumptions applied by the Company, including in the determination of the expected term and volatility. We also assessed the appropriateness of the related disclosures included in the consolidated financial statements.</w:t>
      </w:r>
    </w:p>
    <w:p>
      <w:pPr>
        <w:spacing w:after="0" w:line="200" w:lineRule="exact"/>
        <w:rPr>
          <w:sz w:val="20"/>
          <w:szCs w:val="20"/>
          <w:color w:val="auto"/>
        </w:rPr>
      </w:pPr>
    </w:p>
    <w:p>
      <w:pPr>
        <w:sectPr>
          <w:pgSz w:w="12960" w:h="17280" w:orient="portrait"/>
          <w:cols w:equalWidth="0" w:num="2">
            <w:col w:w="1980" w:space="400"/>
            <w:col w:w="7780"/>
          </w:cols>
          <w:pgMar w:left="1360" w:top="1440" w:right="1440" w:bottom="895" w:gutter="0" w:footer="0" w:header="0"/>
        </w:sect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EY Godkendt Revisionspartnerselskab</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2019.</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Copenhagen, Denmark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19, 2026</w:t>
      </w:r>
    </w:p>
    <w:p>
      <w:pPr>
        <w:sectPr>
          <w:pgSz w:w="12960" w:h="17280" w:orient="portrait"/>
          <w:cols w:equalWidth="0" w:num="1">
            <w:col w:w="10160"/>
          </w:cols>
          <w:pgMar w:left="1360" w:top="1440" w:right="1440" w:bottom="8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F-3</w:t>
      </w:r>
    </w:p>
    <w:p>
      <w:pPr>
        <w:sectPr>
          <w:pgSz w:w="12960" w:h="17280" w:orient="portrait"/>
          <w:cols w:equalWidth="0" w:num="1">
            <w:col w:w="10160"/>
          </w:cols>
          <w:pgMar w:left="1360" w:top="1440" w:right="1440" w:bottom="895" w:gutter="0" w:footer="0" w:header="0"/>
          <w:type w:val="continuous"/>
        </w:sectPr>
      </w:pPr>
    </w:p>
    <w:bookmarkStart w:id="100" w:name="page101"/>
    <w:bookmarkEnd w:id="100"/>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DAMORA THERAPEUTICS,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6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D5EEEE"/>
            </w:tcBorders>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Assets</w:t>
            </w:r>
          </w:p>
        </w:tc>
        <w:tc>
          <w:tcPr>
            <w:tcW w:w="2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116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440" w:type="dxa"/>
            <w:vAlign w:val="bottom"/>
            <w:shd w:val="clear" w:color="auto" w:fill="D5EEEE"/>
          </w:tcPr>
          <w:p>
            <w:pPr>
              <w:spacing w:after="0"/>
              <w:rPr>
                <w:sz w:val="20"/>
                <w:szCs w:val="20"/>
                <w:color w:val="auto"/>
              </w:rPr>
            </w:pPr>
          </w:p>
        </w:tc>
        <w:tc>
          <w:tcPr>
            <w:tcW w:w="10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40" w:type="dxa"/>
            <w:vAlign w:val="bottom"/>
            <w:gridSpan w:val="2"/>
            <w:shd w:val="clear" w:color="auto" w:fill="D5EEEE"/>
          </w:tcPr>
          <w:p>
            <w:pPr>
              <w:jc w:val="right"/>
              <w:ind w:right="155"/>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257,624</w:t>
            </w:r>
          </w:p>
        </w:tc>
        <w:tc>
          <w:tcPr>
            <w:tcW w:w="180" w:type="dxa"/>
            <w:vAlign w:val="bottom"/>
            <w:shd w:val="clear" w:color="auto" w:fill="D5EEEE"/>
          </w:tcPr>
          <w:p>
            <w:pPr>
              <w:spacing w:after="0"/>
              <w:rPr>
                <w:sz w:val="21"/>
                <w:szCs w:val="21"/>
                <w:color w:val="auto"/>
              </w:rPr>
            </w:pPr>
          </w:p>
        </w:tc>
        <w:tc>
          <w:tcPr>
            <w:tcW w:w="540" w:type="dxa"/>
            <w:vAlign w:val="bottom"/>
            <w:gridSpan w:val="2"/>
            <w:shd w:val="clear" w:color="auto" w:fill="D5EEEE"/>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14,175</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D5EEEE"/>
            </w:tcBorders>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0" w:type="dxa"/>
            <w:vAlign w:val="bottom"/>
            <w:tcBorders>
              <w:bottom w:val="single" w:sz="8" w:color="D5EEEE"/>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2,799</w:t>
            </w:r>
          </w:p>
        </w:tc>
        <w:tc>
          <w:tcPr>
            <w:tcW w:w="1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2,664</w:t>
            </w: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6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Total current assets</w:t>
            </w:r>
          </w:p>
        </w:tc>
        <w:tc>
          <w:tcPr>
            <w:tcW w:w="2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260,423</w:t>
            </w:r>
          </w:p>
        </w:tc>
        <w:tc>
          <w:tcPr>
            <w:tcW w:w="1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440" w:type="dxa"/>
            <w:vAlign w:val="bottom"/>
            <w:shd w:val="clear" w:color="auto" w:fill="D5EEEE"/>
          </w:tcPr>
          <w:p>
            <w:pPr>
              <w:spacing w:after="0"/>
              <w:rPr>
                <w:sz w:val="20"/>
                <w:szCs w:val="20"/>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16,839</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Equipment, net</w:t>
            </w:r>
          </w:p>
        </w:tc>
        <w:tc>
          <w:tcPr>
            <w:tcW w:w="20" w:type="dxa"/>
            <w:vAlign w:val="bottom"/>
            <w:shd w:val="clear" w:color="auto" w:fill="D5EEEE"/>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44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Other assets, noncurrent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160" w:type="dxa"/>
            <w:vAlign w:val="bottom"/>
            <w:tcBorders>
              <w:top w:val="single" w:sz="8" w:color="D5EEEE"/>
              <w:bottom w:val="single" w:sz="8" w:color="D5EEEE"/>
            </w:tcBorders>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Total assets</w:t>
            </w:r>
          </w:p>
        </w:tc>
        <w:tc>
          <w:tcPr>
            <w:tcW w:w="20" w:type="dxa"/>
            <w:vAlign w:val="bottom"/>
            <w:tcBorders>
              <w:top w:val="single" w:sz="8" w:color="D5EEEE"/>
              <w:bottom w:val="single" w:sz="8" w:color="D5EEEE"/>
            </w:tcBorders>
            <w:shd w:val="clear" w:color="auto" w:fill="D5EEEE"/>
          </w:tcPr>
          <w:p>
            <w:pPr>
              <w:spacing w:after="0"/>
              <w:rPr>
                <w:sz w:val="22"/>
                <w:szCs w:val="22"/>
                <w:color w:val="auto"/>
              </w:rPr>
            </w:pPr>
          </w:p>
        </w:tc>
        <w:tc>
          <w:tcPr>
            <w:tcW w:w="320" w:type="dxa"/>
            <w:vAlign w:val="bottom"/>
            <w:tcBorders>
              <w:top w:val="single" w:sz="8" w:color="auto"/>
              <w:bottom w:val="single" w:sz="8" w:color="auto"/>
            </w:tcBorders>
            <w:shd w:val="clear" w:color="auto" w:fill="D5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260,527</w:t>
            </w:r>
          </w:p>
        </w:tc>
        <w:tc>
          <w:tcPr>
            <w:tcW w:w="180" w:type="dxa"/>
            <w:vAlign w:val="bottom"/>
            <w:tcBorders>
              <w:top w:val="single" w:sz="8" w:color="D5EEEE"/>
              <w:bottom w:val="single" w:sz="8" w:color="D5EEEE"/>
            </w:tcBorders>
            <w:shd w:val="clear" w:color="auto" w:fill="D5EEEE"/>
          </w:tcPr>
          <w:p>
            <w:pPr>
              <w:spacing w:after="0"/>
              <w:rPr>
                <w:sz w:val="22"/>
                <w:szCs w:val="22"/>
                <w:color w:val="auto"/>
              </w:rPr>
            </w:pPr>
          </w:p>
        </w:tc>
        <w:tc>
          <w:tcPr>
            <w:tcW w:w="100" w:type="dxa"/>
            <w:vAlign w:val="bottom"/>
            <w:tcBorders>
              <w:top w:val="single" w:sz="8" w:color="D5EEEE"/>
              <w:bottom w:val="single" w:sz="8" w:color="D5EEEE"/>
            </w:tcBorders>
            <w:shd w:val="clear" w:color="auto" w:fill="D5EEEE"/>
          </w:tcPr>
          <w:p>
            <w:pPr>
              <w:spacing w:after="0"/>
              <w:rPr>
                <w:sz w:val="22"/>
                <w:szCs w:val="22"/>
                <w:color w:val="auto"/>
              </w:rPr>
            </w:pPr>
          </w:p>
        </w:tc>
        <w:tc>
          <w:tcPr>
            <w:tcW w:w="440" w:type="dxa"/>
            <w:vAlign w:val="bottom"/>
            <w:tcBorders>
              <w:top w:val="single" w:sz="8" w:color="auto"/>
              <w:bottom w:val="single" w:sz="8" w:color="auto"/>
            </w:tcBorders>
            <w:shd w:val="clear" w:color="auto" w:fill="D5EEEE"/>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17,132</w:t>
            </w:r>
          </w:p>
        </w:tc>
        <w:tc>
          <w:tcPr>
            <w:tcW w:w="80" w:type="dxa"/>
            <w:vAlign w:val="bottom"/>
            <w:tcBorders>
              <w:top w:val="single" w:sz="8" w:color="D5EEEE"/>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Liabilities and stockholders’ equity</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0" w:type="dxa"/>
            <w:vAlign w:val="bottom"/>
            <w:shd w:val="clear" w:color="auto" w:fill="D5EEEE"/>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116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440" w:type="dxa"/>
            <w:vAlign w:val="bottom"/>
            <w:shd w:val="clear" w:color="auto" w:fill="D5EEEE"/>
          </w:tcPr>
          <w:p>
            <w:pPr>
              <w:spacing w:after="0"/>
              <w:rPr>
                <w:sz w:val="21"/>
                <w:szCs w:val="21"/>
                <w:color w:val="auto"/>
              </w:rPr>
            </w:pPr>
          </w:p>
        </w:tc>
        <w:tc>
          <w:tcPr>
            <w:tcW w:w="106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340" w:type="dxa"/>
            <w:vAlign w:val="bottom"/>
            <w:gridSpan w:val="2"/>
          </w:tcPr>
          <w:p>
            <w:pPr>
              <w:jc w:val="right"/>
              <w:ind w:right="155"/>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18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20" w:type="dxa"/>
            <w:vAlign w:val="bottom"/>
            <w:shd w:val="clear" w:color="auto" w:fill="D5EEEE"/>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2,401</w:t>
            </w: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44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820</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Related party accounts payable and other current liabilities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7160" w:type="dxa"/>
            <w:vAlign w:val="bottom"/>
            <w:tcBorders>
              <w:top w:val="single" w:sz="8" w:color="D5EEEE"/>
            </w:tcBorders>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0" w:type="dxa"/>
            <w:vAlign w:val="bottom"/>
            <w:tcBorders>
              <w:top w:val="single" w:sz="8" w:color="D5EEEE"/>
            </w:tcBorders>
            <w:shd w:val="clear" w:color="auto" w:fill="D5EEEE"/>
          </w:tcPr>
          <w:p>
            <w:pPr>
              <w:spacing w:after="0"/>
              <w:rPr>
                <w:sz w:val="20"/>
                <w:szCs w:val="20"/>
                <w:color w:val="auto"/>
              </w:rPr>
            </w:pPr>
          </w:p>
        </w:tc>
        <w:tc>
          <w:tcPr>
            <w:tcW w:w="320" w:type="dxa"/>
            <w:vAlign w:val="bottom"/>
            <w:tcBorders>
              <w:top w:val="single" w:sz="8" w:color="auto"/>
            </w:tcBorders>
            <w:shd w:val="clear" w:color="auto" w:fill="D5EEEE"/>
          </w:tcPr>
          <w:p>
            <w:pPr>
              <w:spacing w:after="0"/>
              <w:rPr>
                <w:sz w:val="20"/>
                <w:szCs w:val="20"/>
                <w:color w:val="auto"/>
              </w:rPr>
            </w:pPr>
          </w:p>
        </w:tc>
        <w:tc>
          <w:tcPr>
            <w:tcW w:w="11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20,066</w:t>
            </w:r>
          </w:p>
        </w:tc>
        <w:tc>
          <w:tcPr>
            <w:tcW w:w="18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D5EEEE"/>
            </w:tcBorders>
            <w:shd w:val="clear" w:color="auto" w:fill="D5EEEE"/>
          </w:tcPr>
          <w:p>
            <w:pPr>
              <w:spacing w:after="0"/>
              <w:rPr>
                <w:sz w:val="20"/>
                <w:szCs w:val="20"/>
                <w:color w:val="auto"/>
              </w:rPr>
            </w:pPr>
          </w:p>
        </w:tc>
        <w:tc>
          <w:tcPr>
            <w:tcW w:w="440" w:type="dxa"/>
            <w:vAlign w:val="bottom"/>
            <w:tcBorders>
              <w:top w:val="single" w:sz="8" w:color="auto"/>
            </w:tcBorders>
            <w:shd w:val="clear" w:color="auto" w:fill="D5EEEE"/>
          </w:tcPr>
          <w:p>
            <w:pPr>
              <w:spacing w:after="0"/>
              <w:rPr>
                <w:sz w:val="20"/>
                <w:szCs w:val="20"/>
                <w:color w:val="auto"/>
              </w:rPr>
            </w:pPr>
          </w:p>
        </w:tc>
        <w:tc>
          <w:tcPr>
            <w:tcW w:w="10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1,197</w:t>
            </w:r>
          </w:p>
        </w:tc>
        <w:tc>
          <w:tcPr>
            <w:tcW w:w="80" w:type="dxa"/>
            <w:vAlign w:val="bottom"/>
            <w:tcBorders>
              <w:top w:val="single" w:sz="8" w:color="D5EEEE"/>
            </w:tcBorders>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16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Other liabilities, noncurrent</w:t>
            </w:r>
          </w:p>
        </w:tc>
        <w:tc>
          <w:tcPr>
            <w:tcW w:w="20" w:type="dxa"/>
            <w:vAlign w:val="bottom"/>
            <w:tcBorders>
              <w:bottom w:val="single" w:sz="8" w:color="D5EEEE"/>
            </w:tcBorders>
            <w:shd w:val="clear" w:color="auto" w:fill="D5EEEE"/>
          </w:tcPr>
          <w:p>
            <w:pPr>
              <w:spacing w:after="0"/>
              <w:rPr>
                <w:sz w:val="22"/>
                <w:szCs w:val="22"/>
                <w:color w:val="auto"/>
              </w:rPr>
            </w:pPr>
          </w:p>
        </w:tc>
        <w:tc>
          <w:tcPr>
            <w:tcW w:w="320" w:type="dxa"/>
            <w:vAlign w:val="bottom"/>
            <w:tcBorders>
              <w:bottom w:val="single" w:sz="8" w:color="auto"/>
            </w:tcBorders>
            <w:shd w:val="clear" w:color="auto" w:fill="D5EEEE"/>
          </w:tcPr>
          <w:p>
            <w:pPr>
              <w:spacing w:after="0"/>
              <w:rPr>
                <w:sz w:val="22"/>
                <w:szCs w:val="22"/>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80" w:type="dxa"/>
            <w:vAlign w:val="bottom"/>
            <w:tcBorders>
              <w:bottom w:val="single" w:sz="8" w:color="D5EEEE"/>
            </w:tcBorders>
            <w:shd w:val="clear" w:color="auto" w:fill="D5EEEE"/>
          </w:tcPr>
          <w:p>
            <w:pPr>
              <w:spacing w:after="0"/>
              <w:rPr>
                <w:sz w:val="22"/>
                <w:szCs w:val="22"/>
                <w:color w:val="auto"/>
              </w:rPr>
            </w:pPr>
          </w:p>
        </w:tc>
        <w:tc>
          <w:tcPr>
            <w:tcW w:w="100" w:type="dxa"/>
            <w:vAlign w:val="bottom"/>
            <w:tcBorders>
              <w:bottom w:val="single" w:sz="8" w:color="D5EEEE"/>
            </w:tcBorders>
            <w:shd w:val="clear" w:color="auto" w:fill="D5EEEE"/>
          </w:tcPr>
          <w:p>
            <w:pPr>
              <w:spacing w:after="0"/>
              <w:rPr>
                <w:sz w:val="22"/>
                <w:szCs w:val="22"/>
                <w:color w:val="auto"/>
              </w:rPr>
            </w:pPr>
          </w:p>
        </w:tc>
        <w:tc>
          <w:tcPr>
            <w:tcW w:w="440" w:type="dxa"/>
            <w:vAlign w:val="bottom"/>
            <w:tcBorders>
              <w:bottom w:val="single" w:sz="8" w:color="auto"/>
            </w:tcBorders>
            <w:shd w:val="clear" w:color="auto" w:fill="D5EEEE"/>
          </w:tcPr>
          <w:p>
            <w:pPr>
              <w:spacing w:after="0"/>
              <w:rPr>
                <w:sz w:val="22"/>
                <w:szCs w:val="22"/>
                <w:color w:val="auto"/>
              </w:rPr>
            </w:pP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160" w:type="dxa"/>
            <w:vAlign w:val="bottom"/>
            <w:tcBorders>
              <w:bottom w:val="single" w:sz="8" w:color="D5EEEE"/>
            </w:tcBorders>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liabilities</w:t>
            </w:r>
          </w:p>
        </w:tc>
        <w:tc>
          <w:tcPr>
            <w:tcW w:w="20" w:type="dxa"/>
            <w:vAlign w:val="bottom"/>
            <w:tcBorders>
              <w:bottom w:val="single" w:sz="8" w:color="D5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20,147</w:t>
            </w:r>
          </w:p>
        </w:tc>
        <w:tc>
          <w:tcPr>
            <w:tcW w:w="18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1,301</w:t>
            </w: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1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Commitments and contingencies (Note 11)</w:t>
            </w:r>
          </w:p>
        </w:tc>
        <w:tc>
          <w:tcPr>
            <w:tcW w:w="2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116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440" w:type="dxa"/>
            <w:vAlign w:val="bottom"/>
            <w:shd w:val="clear" w:color="auto" w:fill="D5EEEE"/>
          </w:tcPr>
          <w:p>
            <w:pPr>
              <w:spacing w:after="0"/>
              <w:rPr>
                <w:sz w:val="20"/>
                <w:szCs w:val="20"/>
                <w:color w:val="auto"/>
              </w:rPr>
            </w:pPr>
          </w:p>
        </w:tc>
        <w:tc>
          <w:tcPr>
            <w:tcW w:w="10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Mezzanine equity</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160" w:type="dxa"/>
            <w:vAlign w:val="bottom"/>
            <w:shd w:val="clear" w:color="auto" w:fill="D5EEEE"/>
          </w:tcPr>
          <w:p>
            <w:pPr>
              <w:ind w:left="200"/>
              <w:spacing w:after="0" w:line="225" w:lineRule="exact"/>
              <w:rPr>
                <w:sz w:val="20"/>
                <w:szCs w:val="20"/>
                <w:color w:val="auto"/>
              </w:rPr>
            </w:pPr>
            <w:r>
              <w:rPr>
                <w:rFonts w:ascii="Times New Roman" w:cs="Times New Roman" w:eastAsia="Times New Roman" w:hAnsi="Times New Roman"/>
                <w:sz w:val="20"/>
                <w:szCs w:val="20"/>
                <w:color w:val="auto"/>
              </w:rPr>
              <w:t>Preferred stock, par value of $0.00001 per share; 10,000,000 shares authorized</w:t>
            </w:r>
          </w:p>
        </w:tc>
        <w:tc>
          <w:tcPr>
            <w:tcW w:w="20" w:type="dxa"/>
            <w:vAlign w:val="bottom"/>
            <w:shd w:val="clear" w:color="auto" w:fill="D5EEEE"/>
          </w:tcPr>
          <w:p>
            <w:pPr>
              <w:spacing w:after="0"/>
              <w:rPr>
                <w:sz w:val="19"/>
                <w:szCs w:val="19"/>
                <w:color w:val="auto"/>
              </w:rPr>
            </w:pPr>
          </w:p>
        </w:tc>
        <w:tc>
          <w:tcPr>
            <w:tcW w:w="320" w:type="dxa"/>
            <w:vAlign w:val="bottom"/>
            <w:shd w:val="clear" w:color="auto" w:fill="D5EEEE"/>
          </w:tcPr>
          <w:p>
            <w:pPr>
              <w:spacing w:after="0"/>
              <w:rPr>
                <w:sz w:val="19"/>
                <w:szCs w:val="19"/>
                <w:color w:val="auto"/>
              </w:rPr>
            </w:pPr>
          </w:p>
        </w:tc>
        <w:tc>
          <w:tcPr>
            <w:tcW w:w="116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106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5EEEE"/>
          </w:tcPr>
          <w:p>
            <w:pPr>
              <w:ind w:left="460"/>
              <w:spacing w:after="0"/>
              <w:rPr>
                <w:sz w:val="20"/>
                <w:szCs w:val="20"/>
                <w:color w:val="auto"/>
              </w:rPr>
            </w:pPr>
            <w:r>
              <w:rPr>
                <w:rFonts w:ascii="Times New Roman" w:cs="Times New Roman" w:eastAsia="Times New Roman" w:hAnsi="Times New Roman"/>
                <w:sz w:val="20"/>
                <w:szCs w:val="20"/>
                <w:color w:val="auto"/>
              </w:rPr>
              <w:t>at December 31, 2025 and 2024; 159 shares issued and outstanding as of</w:t>
            </w:r>
          </w:p>
        </w:tc>
        <w:tc>
          <w:tcPr>
            <w:tcW w:w="2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116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440" w:type="dxa"/>
            <w:vAlign w:val="bottom"/>
            <w:shd w:val="clear" w:color="auto" w:fill="D5EEEE"/>
          </w:tcPr>
          <w:p>
            <w:pPr>
              <w:spacing w:after="0"/>
              <w:rPr>
                <w:sz w:val="20"/>
                <w:szCs w:val="20"/>
                <w:color w:val="auto"/>
              </w:rPr>
            </w:pPr>
          </w:p>
        </w:tc>
        <w:tc>
          <w:tcPr>
            <w:tcW w:w="10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5EEEE"/>
          </w:tcPr>
          <w:p>
            <w:pPr>
              <w:ind w:left="460"/>
              <w:spacing w:after="0"/>
              <w:rPr>
                <w:sz w:val="20"/>
                <w:szCs w:val="20"/>
                <w:color w:val="auto"/>
              </w:rPr>
            </w:pPr>
            <w:r>
              <w:rPr>
                <w:rFonts w:ascii="Times New Roman" w:cs="Times New Roman" w:eastAsia="Times New Roman" w:hAnsi="Times New Roman"/>
                <w:sz w:val="20"/>
                <w:szCs w:val="20"/>
                <w:color w:val="auto"/>
              </w:rPr>
              <w:t>December 31, 2025 and 161 shares issued or outstanding as of December 31,</w:t>
            </w:r>
          </w:p>
        </w:tc>
        <w:tc>
          <w:tcPr>
            <w:tcW w:w="2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116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440" w:type="dxa"/>
            <w:vAlign w:val="bottom"/>
            <w:shd w:val="clear" w:color="auto" w:fill="D5EEEE"/>
          </w:tcPr>
          <w:p>
            <w:pPr>
              <w:spacing w:after="0"/>
              <w:rPr>
                <w:sz w:val="20"/>
                <w:szCs w:val="20"/>
                <w:color w:val="auto"/>
              </w:rPr>
            </w:pPr>
          </w:p>
        </w:tc>
        <w:tc>
          <w:tcPr>
            <w:tcW w:w="10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160" w:type="dxa"/>
            <w:vAlign w:val="bottom"/>
            <w:shd w:val="clear" w:color="auto" w:fill="D5EEEE"/>
          </w:tcPr>
          <w:p>
            <w:pPr>
              <w:ind w:left="460"/>
              <w:spacing w:after="0"/>
              <w:rPr>
                <w:sz w:val="20"/>
                <w:szCs w:val="20"/>
                <w:color w:val="auto"/>
              </w:rPr>
            </w:pPr>
            <w:r>
              <w:rPr>
                <w:rFonts w:ascii="Times New Roman" w:cs="Times New Roman" w:eastAsia="Times New Roman" w:hAnsi="Times New Roman"/>
                <w:sz w:val="20"/>
                <w:szCs w:val="20"/>
                <w:color w:val="auto"/>
              </w:rPr>
              <w:t>2024</w:t>
            </w:r>
          </w:p>
        </w:tc>
        <w:tc>
          <w:tcPr>
            <w:tcW w:w="20" w:type="dxa"/>
            <w:vAlign w:val="bottom"/>
            <w:shd w:val="clear" w:color="auto" w:fill="D5EEEE"/>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1,341</w:t>
            </w: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44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1,360</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160" w:type="dxa"/>
            <w:vAlign w:val="bottom"/>
            <w:shd w:val="clear" w:color="auto" w:fill="D5EEEE"/>
          </w:tcPr>
          <w:p>
            <w:pPr>
              <w:ind w:left="200"/>
              <w:spacing w:after="0" w:line="225" w:lineRule="exact"/>
              <w:rPr>
                <w:sz w:val="20"/>
                <w:szCs w:val="20"/>
                <w:color w:val="auto"/>
              </w:rPr>
            </w:pPr>
            <w:r>
              <w:rPr>
                <w:rFonts w:ascii="Times New Roman" w:cs="Times New Roman" w:eastAsia="Times New Roman" w:hAnsi="Times New Roman"/>
                <w:sz w:val="20"/>
                <w:szCs w:val="20"/>
                <w:color w:val="auto"/>
              </w:rPr>
              <w:t>Series B non-voting convertible preferred stock, par value of $0.00001 per share;</w:t>
            </w:r>
          </w:p>
        </w:tc>
        <w:tc>
          <w:tcPr>
            <w:tcW w:w="20" w:type="dxa"/>
            <w:vAlign w:val="bottom"/>
            <w:shd w:val="clear" w:color="auto" w:fill="D5EEEE"/>
          </w:tcPr>
          <w:p>
            <w:pPr>
              <w:spacing w:after="0"/>
              <w:rPr>
                <w:sz w:val="19"/>
                <w:szCs w:val="19"/>
                <w:color w:val="auto"/>
              </w:rPr>
            </w:pPr>
          </w:p>
        </w:tc>
        <w:tc>
          <w:tcPr>
            <w:tcW w:w="320" w:type="dxa"/>
            <w:vAlign w:val="bottom"/>
            <w:shd w:val="clear" w:color="auto" w:fill="D5EEEE"/>
          </w:tcPr>
          <w:p>
            <w:pPr>
              <w:spacing w:after="0"/>
              <w:rPr>
                <w:sz w:val="19"/>
                <w:szCs w:val="19"/>
                <w:color w:val="auto"/>
              </w:rPr>
            </w:pPr>
          </w:p>
        </w:tc>
        <w:tc>
          <w:tcPr>
            <w:tcW w:w="116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106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5EEEE"/>
          </w:tcPr>
          <w:p>
            <w:pPr>
              <w:ind w:left="460"/>
              <w:spacing w:after="0"/>
              <w:rPr>
                <w:sz w:val="20"/>
                <w:szCs w:val="20"/>
                <w:color w:val="auto"/>
              </w:rPr>
            </w:pPr>
            <w:r>
              <w:rPr>
                <w:rFonts w:ascii="Times New Roman" w:cs="Times New Roman" w:eastAsia="Times New Roman" w:hAnsi="Times New Roman"/>
                <w:sz w:val="20"/>
                <w:szCs w:val="20"/>
                <w:color w:val="auto"/>
              </w:rPr>
              <w:t>16,366 shares authorized at December 31, 2025; 16,366 shares issued and</w:t>
            </w:r>
          </w:p>
        </w:tc>
        <w:tc>
          <w:tcPr>
            <w:tcW w:w="2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116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440" w:type="dxa"/>
            <w:vAlign w:val="bottom"/>
            <w:shd w:val="clear" w:color="auto" w:fill="D5EEEE"/>
          </w:tcPr>
          <w:p>
            <w:pPr>
              <w:spacing w:after="0"/>
              <w:rPr>
                <w:sz w:val="20"/>
                <w:szCs w:val="20"/>
                <w:color w:val="auto"/>
              </w:rPr>
            </w:pPr>
          </w:p>
        </w:tc>
        <w:tc>
          <w:tcPr>
            <w:tcW w:w="10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5EEEE"/>
          </w:tcPr>
          <w:p>
            <w:pPr>
              <w:ind w:left="460"/>
              <w:spacing w:after="0"/>
              <w:rPr>
                <w:sz w:val="20"/>
                <w:szCs w:val="20"/>
                <w:color w:val="auto"/>
              </w:rPr>
            </w:pPr>
            <w:r>
              <w:rPr>
                <w:rFonts w:ascii="Times New Roman" w:cs="Times New Roman" w:eastAsia="Times New Roman" w:hAnsi="Times New Roman"/>
                <w:sz w:val="20"/>
                <w:szCs w:val="20"/>
                <w:color w:val="auto"/>
              </w:rPr>
              <w:t>outstanding as of December 31, 2025 and no shares issued or outstanding as</w:t>
            </w:r>
          </w:p>
        </w:tc>
        <w:tc>
          <w:tcPr>
            <w:tcW w:w="2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116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440" w:type="dxa"/>
            <w:vAlign w:val="bottom"/>
            <w:shd w:val="clear" w:color="auto" w:fill="D5EEEE"/>
          </w:tcPr>
          <w:p>
            <w:pPr>
              <w:spacing w:after="0"/>
              <w:rPr>
                <w:sz w:val="20"/>
                <w:szCs w:val="20"/>
                <w:color w:val="auto"/>
              </w:rPr>
            </w:pPr>
          </w:p>
        </w:tc>
        <w:tc>
          <w:tcPr>
            <w:tcW w:w="10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60" w:type="dxa"/>
            <w:vAlign w:val="bottom"/>
            <w:shd w:val="clear" w:color="auto" w:fill="D5EEEE"/>
          </w:tcPr>
          <w:p>
            <w:pPr>
              <w:ind w:left="460"/>
              <w:spacing w:after="0"/>
              <w:rPr>
                <w:sz w:val="20"/>
                <w:szCs w:val="20"/>
                <w:color w:val="auto"/>
              </w:rPr>
            </w:pPr>
            <w:r>
              <w:rPr>
                <w:rFonts w:ascii="Times New Roman" w:cs="Times New Roman" w:eastAsia="Times New Roman" w:hAnsi="Times New Roman"/>
                <w:sz w:val="20"/>
                <w:szCs w:val="20"/>
                <w:color w:val="auto"/>
              </w:rPr>
              <w:t>of December 31, 2024</w:t>
            </w:r>
          </w:p>
        </w:tc>
        <w:tc>
          <w:tcPr>
            <w:tcW w:w="20" w:type="dxa"/>
            <w:vAlign w:val="bottom"/>
            <w:shd w:val="clear" w:color="auto" w:fill="D5EEEE"/>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117,621</w:t>
            </w: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440" w:type="dxa"/>
            <w:vAlign w:val="bottom"/>
            <w:shd w:val="clear" w:color="auto" w:fill="D5EEEE"/>
          </w:tcPr>
          <w:p>
            <w:pPr>
              <w:spacing w:after="0"/>
              <w:rPr>
                <w:sz w:val="21"/>
                <w:szCs w:val="21"/>
                <w:color w:val="auto"/>
              </w:rPr>
            </w:pPr>
          </w:p>
        </w:tc>
        <w:tc>
          <w:tcPr>
            <w:tcW w:w="114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716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Series C non-voting convertible preferred stock, par value of $0.00001 per share;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43,882 shares authorized at December 31, 2025; 43,882 shares issued and</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outstanding as of December 31, 2025 and no shares issued or outstanding as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of December 31, 2024</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297,291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7160" w:type="dxa"/>
            <w:vAlign w:val="bottom"/>
            <w:shd w:val="clear" w:color="auto" w:fill="D5EEEE"/>
          </w:tcPr>
          <w:p>
            <w:pPr>
              <w:ind w:left="200"/>
              <w:spacing w:after="0" w:line="225" w:lineRule="exact"/>
              <w:rPr>
                <w:sz w:val="20"/>
                <w:szCs w:val="20"/>
                <w:color w:val="auto"/>
              </w:rPr>
            </w:pPr>
            <w:r>
              <w:rPr>
                <w:rFonts w:ascii="Times New Roman" w:cs="Times New Roman" w:eastAsia="Times New Roman" w:hAnsi="Times New Roman"/>
                <w:sz w:val="20"/>
                <w:szCs w:val="20"/>
                <w:color w:val="auto"/>
              </w:rPr>
              <w:t>Common stock, par value of $0.00001 per share; 500,000,000 shares authorized</w:t>
            </w:r>
          </w:p>
        </w:tc>
        <w:tc>
          <w:tcPr>
            <w:tcW w:w="20" w:type="dxa"/>
            <w:vAlign w:val="bottom"/>
            <w:shd w:val="clear" w:color="auto" w:fill="D5EEEE"/>
          </w:tcPr>
          <w:p>
            <w:pPr>
              <w:spacing w:after="0"/>
              <w:rPr>
                <w:sz w:val="19"/>
                <w:szCs w:val="19"/>
                <w:color w:val="auto"/>
              </w:rPr>
            </w:pPr>
          </w:p>
        </w:tc>
        <w:tc>
          <w:tcPr>
            <w:tcW w:w="320" w:type="dxa"/>
            <w:vAlign w:val="bottom"/>
            <w:shd w:val="clear" w:color="auto" w:fill="D5EEEE"/>
          </w:tcPr>
          <w:p>
            <w:pPr>
              <w:spacing w:after="0"/>
              <w:rPr>
                <w:sz w:val="19"/>
                <w:szCs w:val="19"/>
                <w:color w:val="auto"/>
              </w:rPr>
            </w:pPr>
          </w:p>
        </w:tc>
        <w:tc>
          <w:tcPr>
            <w:tcW w:w="116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440" w:type="dxa"/>
            <w:vAlign w:val="bottom"/>
            <w:shd w:val="clear" w:color="auto" w:fill="D5EEEE"/>
          </w:tcPr>
          <w:p>
            <w:pPr>
              <w:spacing w:after="0"/>
              <w:rPr>
                <w:sz w:val="19"/>
                <w:szCs w:val="19"/>
                <w:color w:val="auto"/>
              </w:rPr>
            </w:pPr>
          </w:p>
        </w:tc>
        <w:tc>
          <w:tcPr>
            <w:tcW w:w="106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5EEEE"/>
          </w:tcPr>
          <w:p>
            <w:pPr>
              <w:ind w:left="460"/>
              <w:spacing w:after="0"/>
              <w:rPr>
                <w:sz w:val="20"/>
                <w:szCs w:val="20"/>
                <w:color w:val="auto"/>
              </w:rPr>
            </w:pPr>
            <w:r>
              <w:rPr>
                <w:rFonts w:ascii="Times New Roman" w:cs="Times New Roman" w:eastAsia="Times New Roman" w:hAnsi="Times New Roman"/>
                <w:sz w:val="20"/>
                <w:szCs w:val="20"/>
                <w:color w:val="auto"/>
              </w:rPr>
              <w:t>at December 31, 2025 and 2024; 1,597,321 and 1,316,989 shares issued and</w:t>
            </w:r>
          </w:p>
        </w:tc>
        <w:tc>
          <w:tcPr>
            <w:tcW w:w="2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116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440" w:type="dxa"/>
            <w:vAlign w:val="bottom"/>
            <w:shd w:val="clear" w:color="auto" w:fill="D5EEEE"/>
          </w:tcPr>
          <w:p>
            <w:pPr>
              <w:spacing w:after="0"/>
              <w:rPr>
                <w:sz w:val="20"/>
                <w:szCs w:val="20"/>
                <w:color w:val="auto"/>
              </w:rPr>
            </w:pPr>
          </w:p>
        </w:tc>
        <w:tc>
          <w:tcPr>
            <w:tcW w:w="10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60" w:type="dxa"/>
            <w:vAlign w:val="bottom"/>
            <w:shd w:val="clear" w:color="auto" w:fill="D5EEEE"/>
          </w:tcPr>
          <w:p>
            <w:pPr>
              <w:ind w:left="460"/>
              <w:spacing w:after="0"/>
              <w:rPr>
                <w:sz w:val="20"/>
                <w:szCs w:val="20"/>
                <w:color w:val="auto"/>
              </w:rPr>
            </w:pPr>
            <w:r>
              <w:rPr>
                <w:rFonts w:ascii="Times New Roman" w:cs="Times New Roman" w:eastAsia="Times New Roman" w:hAnsi="Times New Roman"/>
                <w:sz w:val="20"/>
                <w:szCs w:val="20"/>
                <w:color w:val="auto"/>
              </w:rPr>
              <w:t>outstanding at December 31, 2025 and 2024, respectively</w:t>
            </w:r>
          </w:p>
        </w:tc>
        <w:tc>
          <w:tcPr>
            <w:tcW w:w="20" w:type="dxa"/>
            <w:vAlign w:val="bottom"/>
            <w:shd w:val="clear" w:color="auto" w:fill="D5EEEE"/>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134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EEE"/>
          </w:tcPr>
          <w:p>
            <w:pPr>
              <w:spacing w:after="0"/>
              <w:rPr>
                <w:sz w:val="21"/>
                <w:szCs w:val="21"/>
                <w:color w:val="auto"/>
              </w:rPr>
            </w:pPr>
          </w:p>
        </w:tc>
        <w:tc>
          <w:tcPr>
            <w:tcW w:w="440" w:type="dxa"/>
            <w:vAlign w:val="bottom"/>
            <w:shd w:val="clear" w:color="auto" w:fill="D5EEEE"/>
          </w:tcPr>
          <w:p>
            <w:pPr>
              <w:spacing w:after="0"/>
              <w:rPr>
                <w:sz w:val="21"/>
                <w:szCs w:val="21"/>
                <w:color w:val="auto"/>
              </w:rPr>
            </w:pPr>
          </w:p>
        </w:tc>
        <w:tc>
          <w:tcPr>
            <w:tcW w:w="114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310,688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291,898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20" w:type="dxa"/>
            <w:vAlign w:val="bottom"/>
            <w:shd w:val="clear" w:color="auto" w:fill="D5EEEE"/>
          </w:tcPr>
          <w:p>
            <w:pPr>
              <w:spacing w:after="0"/>
              <w:rPr>
                <w:sz w:val="21"/>
                <w:szCs w:val="21"/>
                <w:color w:val="auto"/>
              </w:rPr>
            </w:pPr>
          </w:p>
        </w:tc>
        <w:tc>
          <w:tcPr>
            <w:tcW w:w="320" w:type="dxa"/>
            <w:vAlign w:val="bottom"/>
            <w:shd w:val="clear" w:color="auto" w:fill="D5EEEE"/>
          </w:tcPr>
          <w:p>
            <w:pPr>
              <w:spacing w:after="0"/>
              <w:rPr>
                <w:sz w:val="21"/>
                <w:szCs w:val="21"/>
                <w:color w:val="auto"/>
              </w:rPr>
            </w:pPr>
          </w:p>
        </w:tc>
        <w:tc>
          <w:tcPr>
            <w:tcW w:w="134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(487,363)</w:t>
            </w:r>
          </w:p>
        </w:tc>
        <w:tc>
          <w:tcPr>
            <w:tcW w:w="100" w:type="dxa"/>
            <w:vAlign w:val="bottom"/>
            <w:shd w:val="clear" w:color="auto" w:fill="D5EEEE"/>
          </w:tcPr>
          <w:p>
            <w:pPr>
              <w:spacing w:after="0"/>
              <w:rPr>
                <w:sz w:val="21"/>
                <w:szCs w:val="21"/>
                <w:color w:val="auto"/>
              </w:rPr>
            </w:pPr>
          </w:p>
        </w:tc>
        <w:tc>
          <w:tcPr>
            <w:tcW w:w="440" w:type="dxa"/>
            <w:vAlign w:val="bottom"/>
            <w:shd w:val="clear" w:color="auto" w:fill="D5EEEE"/>
          </w:tcPr>
          <w:p>
            <w:pPr>
              <w:spacing w:after="0"/>
              <w:rPr>
                <w:sz w:val="21"/>
                <w:szCs w:val="21"/>
                <w:color w:val="auto"/>
              </w:rPr>
            </w:pPr>
          </w:p>
        </w:tc>
        <w:tc>
          <w:tcPr>
            <w:tcW w:w="114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(277,524)</w:t>
            </w:r>
          </w:p>
        </w:tc>
        <w:tc>
          <w:tcPr>
            <w:tcW w:w="0" w:type="dxa"/>
            <w:vAlign w:val="bottom"/>
          </w:tcPr>
          <w:p>
            <w:pPr>
              <w:spacing w:after="0"/>
              <w:rPr>
                <w:sz w:val="1"/>
                <w:szCs w:val="1"/>
                <w:color w:val="auto"/>
              </w:rPr>
            </w:pPr>
          </w:p>
        </w:tc>
      </w:tr>
      <w:tr>
        <w:trPr>
          <w:trHeight w:val="244"/>
        </w:trPr>
        <w:tc>
          <w:tcPr>
            <w:tcW w:w="7160" w:type="dxa"/>
            <w:vAlign w:val="bottom"/>
            <w:tcBorders>
              <w:bottom w:val="single" w:sz="8" w:color="D5EEEE"/>
            </w:tcBorders>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20" w:type="dxa"/>
            <w:vAlign w:val="bottom"/>
            <w:tcBorders>
              <w:bottom w:val="single" w:sz="8" w:color="D5EEEE"/>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802</w:t>
            </w:r>
          </w:p>
        </w:tc>
        <w:tc>
          <w:tcPr>
            <w:tcW w:w="1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160" w:type="dxa"/>
            <w:vAlign w:val="bottom"/>
            <w:tcBorders>
              <w:bottom w:val="single" w:sz="8" w:color="D5EEEE"/>
            </w:tcBorders>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20" w:type="dxa"/>
            <w:vAlign w:val="bottom"/>
            <w:tcBorders>
              <w:bottom w:val="single" w:sz="8" w:color="D5EEEE"/>
            </w:tcBorders>
            <w:shd w:val="clear" w:color="auto" w:fill="D5EEEE"/>
          </w:tcPr>
          <w:p>
            <w:pPr>
              <w:spacing w:after="0"/>
              <w:rPr>
                <w:sz w:val="22"/>
                <w:szCs w:val="22"/>
                <w:color w:val="auto"/>
              </w:rPr>
            </w:pPr>
          </w:p>
        </w:tc>
        <w:tc>
          <w:tcPr>
            <w:tcW w:w="320" w:type="dxa"/>
            <w:vAlign w:val="bottom"/>
            <w:tcBorders>
              <w:bottom w:val="single" w:sz="8" w:color="auto"/>
            </w:tcBorders>
            <w:shd w:val="clear" w:color="auto" w:fill="D5EEEE"/>
          </w:tcPr>
          <w:p>
            <w:pPr>
              <w:spacing w:after="0"/>
              <w:rPr>
                <w:sz w:val="22"/>
                <w:szCs w:val="22"/>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240,380</w:t>
            </w:r>
          </w:p>
        </w:tc>
        <w:tc>
          <w:tcPr>
            <w:tcW w:w="180" w:type="dxa"/>
            <w:vAlign w:val="bottom"/>
            <w:tcBorders>
              <w:bottom w:val="single" w:sz="8" w:color="D5EEEE"/>
            </w:tcBorders>
            <w:shd w:val="clear" w:color="auto" w:fill="D5EEEE"/>
          </w:tcPr>
          <w:p>
            <w:pPr>
              <w:spacing w:after="0"/>
              <w:rPr>
                <w:sz w:val="22"/>
                <w:szCs w:val="22"/>
                <w:color w:val="auto"/>
              </w:rPr>
            </w:pPr>
          </w:p>
        </w:tc>
        <w:tc>
          <w:tcPr>
            <w:tcW w:w="100" w:type="dxa"/>
            <w:vAlign w:val="bottom"/>
            <w:tcBorders>
              <w:bottom w:val="single" w:sz="8" w:color="D5EEEE"/>
            </w:tcBorders>
            <w:shd w:val="clear" w:color="auto" w:fill="D5EEEE"/>
          </w:tcPr>
          <w:p>
            <w:pPr>
              <w:spacing w:after="0"/>
              <w:rPr>
                <w:sz w:val="22"/>
                <w:szCs w:val="22"/>
                <w:color w:val="auto"/>
              </w:rPr>
            </w:pPr>
          </w:p>
        </w:tc>
        <w:tc>
          <w:tcPr>
            <w:tcW w:w="440" w:type="dxa"/>
            <w:vAlign w:val="bottom"/>
            <w:tcBorders>
              <w:bottom w:val="single" w:sz="8" w:color="auto"/>
            </w:tcBorders>
            <w:shd w:val="clear" w:color="auto" w:fill="D5EEEE"/>
          </w:tcPr>
          <w:p>
            <w:pPr>
              <w:spacing w:after="0"/>
              <w:rPr>
                <w:sz w:val="22"/>
                <w:szCs w:val="22"/>
                <w:color w:val="auto"/>
              </w:rPr>
            </w:pP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15,831</w:t>
            </w:r>
          </w:p>
        </w:tc>
        <w:tc>
          <w:tcPr>
            <w:tcW w:w="8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16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260,527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17,132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See accompanying notes to the consolidated financial statements.</w:t>
      </w:r>
    </w:p>
    <w:p>
      <w:pPr>
        <w:sectPr>
          <w:pgSz w:w="12960" w:h="17280" w:orient="portrait"/>
          <w:cols w:equalWidth="0" w:num="1">
            <w:col w:w="10520"/>
          </w:cols>
          <w:pgMar w:left="136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960" w:h="17280" w:orient="portrait"/>
          <w:cols w:equalWidth="0" w:num="1">
            <w:col w:w="10520"/>
          </w:cols>
          <w:pgMar w:left="1360" w:top="1440" w:right="1080" w:bottom="895" w:gutter="0" w:footer="0" w:header="0"/>
          <w:type w:val="continuous"/>
        </w:sectPr>
      </w:pPr>
    </w:p>
    <w:bookmarkStart w:id="101" w:name="page102"/>
    <w:bookmarkEnd w:id="101"/>
    <w:p>
      <w:pPr>
        <w:spacing w:after="0" w:line="2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DAMORA THERAPEUTICS, INC.</w:t>
      </w:r>
    </w:p>
    <w:p>
      <w:pPr>
        <w:spacing w:after="0" w:line="13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20" w:type="dxa"/>
            <w:vAlign w:val="bottom"/>
            <w:gridSpan w:val="6"/>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93"/>
        </w:trPr>
        <w:tc>
          <w:tcPr>
            <w:tcW w:w="6760" w:type="dxa"/>
            <w:vAlign w:val="bottom"/>
            <w:tcBorders>
              <w:bottom w:val="single" w:sz="8" w:color="D5EEEE"/>
            </w:tcBorders>
          </w:tcPr>
          <w:p>
            <w:pPr>
              <w:spacing w:after="0"/>
              <w:rPr>
                <w:sz w:val="16"/>
                <w:szCs w:val="16"/>
                <w:color w:val="auto"/>
              </w:rPr>
            </w:pPr>
          </w:p>
        </w:tc>
        <w:tc>
          <w:tcPr>
            <w:tcW w:w="400" w:type="dxa"/>
            <w:vAlign w:val="bottom"/>
            <w:tcBorders>
              <w:bottom w:val="single" w:sz="8" w:color="D5EEEE"/>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bottom w:val="single" w:sz="8" w:color="D5EEEE"/>
            </w:tcBorders>
          </w:tcPr>
          <w:p>
            <w:pPr>
              <w:spacing w:after="0"/>
              <w:rPr>
                <w:sz w:val="16"/>
                <w:szCs w:val="16"/>
                <w:color w:val="auto"/>
              </w:rPr>
            </w:pPr>
          </w:p>
        </w:tc>
        <w:tc>
          <w:tcPr>
            <w:tcW w:w="100" w:type="dxa"/>
            <w:vAlign w:val="bottom"/>
            <w:tcBorders>
              <w:top w:val="single" w:sz="8" w:color="auto"/>
              <w:bottom w:val="single" w:sz="8" w:color="D5EEEE"/>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40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116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11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400" w:type="dxa"/>
            <w:vAlign w:val="bottom"/>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26,877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Acquired in-process research and development</w:t>
            </w:r>
          </w:p>
        </w:tc>
        <w:tc>
          <w:tcPr>
            <w:tcW w:w="4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174,310</w:t>
            </w: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4,395</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10,499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Restructuring costs</w:t>
            </w:r>
          </w:p>
        </w:tc>
        <w:tc>
          <w:tcPr>
            <w:tcW w:w="4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34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968</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Borders>
              <w:bottom w:val="single" w:sz="8" w:color="D5EEEE"/>
            </w:tcBorders>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400" w:type="dxa"/>
            <w:vAlign w:val="bottom"/>
            <w:tcBorders>
              <w:bottom w:val="single" w:sz="8" w:color="D5EEEE"/>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210,872</w:t>
            </w:r>
          </w:p>
        </w:tc>
        <w:tc>
          <w:tcPr>
            <w:tcW w:w="18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22,260</w:t>
            </w: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676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400" w:type="dxa"/>
            <w:vAlign w:val="bottom"/>
            <w:tcBorders>
              <w:bottom w:val="single" w:sz="8" w:color="D5EEEE"/>
            </w:tcBorders>
            <w:shd w:val="clear" w:color="auto" w:fill="D5EEEE"/>
          </w:tcPr>
          <w:p>
            <w:pPr>
              <w:spacing w:after="0"/>
              <w:rPr>
                <w:sz w:val="22"/>
                <w:szCs w:val="22"/>
                <w:color w:val="auto"/>
              </w:rPr>
            </w:pPr>
          </w:p>
        </w:tc>
        <w:tc>
          <w:tcPr>
            <w:tcW w:w="340" w:type="dxa"/>
            <w:vAlign w:val="bottom"/>
            <w:tcBorders>
              <w:bottom w:val="single" w:sz="8" w:color="auto"/>
            </w:tcBorders>
            <w:shd w:val="clear" w:color="auto" w:fill="D5EEEE"/>
          </w:tcPr>
          <w:p>
            <w:pPr>
              <w:spacing w:after="0"/>
              <w:rPr>
                <w:sz w:val="22"/>
                <w:szCs w:val="22"/>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(210,872)</w:t>
            </w:r>
          </w:p>
        </w:tc>
        <w:tc>
          <w:tcPr>
            <w:tcW w:w="180" w:type="dxa"/>
            <w:vAlign w:val="bottom"/>
            <w:tcBorders>
              <w:bottom w:val="single" w:sz="8" w:color="D5EEEE"/>
            </w:tcBorders>
            <w:shd w:val="clear" w:color="auto" w:fill="D5EEEE"/>
          </w:tcPr>
          <w:p>
            <w:pPr>
              <w:spacing w:after="0"/>
              <w:rPr>
                <w:sz w:val="22"/>
                <w:szCs w:val="22"/>
                <w:color w:val="auto"/>
              </w:rPr>
            </w:pPr>
          </w:p>
        </w:tc>
        <w:tc>
          <w:tcPr>
            <w:tcW w:w="100" w:type="dxa"/>
            <w:vAlign w:val="bottom"/>
            <w:tcBorders>
              <w:bottom w:val="single" w:sz="8" w:color="D5EEEE"/>
            </w:tcBorders>
            <w:shd w:val="clear" w:color="auto" w:fill="D5EEEE"/>
          </w:tcPr>
          <w:p>
            <w:pPr>
              <w:spacing w:after="0"/>
              <w:rPr>
                <w:sz w:val="22"/>
                <w:szCs w:val="22"/>
                <w:color w:val="auto"/>
              </w:rPr>
            </w:pPr>
          </w:p>
        </w:tc>
        <w:tc>
          <w:tcPr>
            <w:tcW w:w="340" w:type="dxa"/>
            <w:vAlign w:val="bottom"/>
            <w:tcBorders>
              <w:bottom w:val="single" w:sz="8" w:color="auto"/>
            </w:tcBorders>
            <w:shd w:val="clear" w:color="auto" w:fill="D5EEEE"/>
          </w:tcPr>
          <w:p>
            <w:pPr>
              <w:spacing w:after="0"/>
              <w:rPr>
                <w:sz w:val="22"/>
                <w:szCs w:val="22"/>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(22,260)</w:t>
            </w:r>
          </w:p>
        </w:tc>
        <w:tc>
          <w:tcPr>
            <w:tcW w:w="8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7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Other income (expense), net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7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Interest income, net</w:t>
            </w:r>
          </w:p>
        </w:tc>
        <w:tc>
          <w:tcPr>
            <w:tcW w:w="4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1,167</w:t>
            </w: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844</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 exchange transaction gain (loss), net</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760" w:type="dxa"/>
            <w:vAlign w:val="bottom"/>
            <w:tcBorders>
              <w:top w:val="single" w:sz="8" w:color="D5EEEE"/>
              <w:bottom w:val="single" w:sz="8" w:color="D5EEEE"/>
            </w:tcBorders>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Total other income, net</w:t>
            </w:r>
          </w:p>
        </w:tc>
        <w:tc>
          <w:tcPr>
            <w:tcW w:w="400" w:type="dxa"/>
            <w:vAlign w:val="bottom"/>
            <w:tcBorders>
              <w:top w:val="single" w:sz="8" w:color="D5EEEE"/>
              <w:bottom w:val="single" w:sz="8" w:color="D5EEEE"/>
            </w:tcBorders>
            <w:shd w:val="clear" w:color="auto" w:fill="D5EEEE"/>
          </w:tcPr>
          <w:p>
            <w:pPr>
              <w:spacing w:after="0"/>
              <w:rPr>
                <w:sz w:val="22"/>
                <w:szCs w:val="22"/>
                <w:color w:val="auto"/>
              </w:rPr>
            </w:pPr>
          </w:p>
        </w:tc>
        <w:tc>
          <w:tcPr>
            <w:tcW w:w="340" w:type="dxa"/>
            <w:vAlign w:val="bottom"/>
            <w:tcBorders>
              <w:top w:val="single" w:sz="8" w:color="auto"/>
              <w:bottom w:val="single" w:sz="8" w:color="auto"/>
            </w:tcBorders>
            <w:shd w:val="clear" w:color="auto" w:fill="D5EEEE"/>
          </w:tcPr>
          <w:p>
            <w:pPr>
              <w:spacing w:after="0"/>
              <w:rPr>
                <w:sz w:val="22"/>
                <w:szCs w:val="22"/>
                <w:color w:val="auto"/>
              </w:rPr>
            </w:pPr>
          </w:p>
        </w:tc>
        <w:tc>
          <w:tcPr>
            <w:tcW w:w="11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1,083</w:t>
            </w:r>
          </w:p>
        </w:tc>
        <w:tc>
          <w:tcPr>
            <w:tcW w:w="180" w:type="dxa"/>
            <w:vAlign w:val="bottom"/>
            <w:tcBorders>
              <w:top w:val="single" w:sz="8" w:color="D5EEEE"/>
              <w:bottom w:val="single" w:sz="8" w:color="D5EEEE"/>
            </w:tcBorders>
            <w:shd w:val="clear" w:color="auto" w:fill="D5EEEE"/>
          </w:tcPr>
          <w:p>
            <w:pPr>
              <w:spacing w:after="0"/>
              <w:rPr>
                <w:sz w:val="22"/>
                <w:szCs w:val="22"/>
                <w:color w:val="auto"/>
              </w:rPr>
            </w:pPr>
          </w:p>
        </w:tc>
        <w:tc>
          <w:tcPr>
            <w:tcW w:w="100" w:type="dxa"/>
            <w:vAlign w:val="bottom"/>
            <w:tcBorders>
              <w:top w:val="single" w:sz="8" w:color="D5EEEE"/>
              <w:bottom w:val="single" w:sz="8" w:color="D5EEEE"/>
            </w:tcBorders>
            <w:shd w:val="clear" w:color="auto" w:fill="D5EEEE"/>
          </w:tcPr>
          <w:p>
            <w:pPr>
              <w:spacing w:after="0"/>
              <w:rPr>
                <w:sz w:val="22"/>
                <w:szCs w:val="22"/>
                <w:color w:val="auto"/>
              </w:rPr>
            </w:pPr>
          </w:p>
        </w:tc>
        <w:tc>
          <w:tcPr>
            <w:tcW w:w="340" w:type="dxa"/>
            <w:vAlign w:val="bottom"/>
            <w:tcBorders>
              <w:top w:val="single" w:sz="8" w:color="auto"/>
              <w:bottom w:val="single" w:sz="8" w:color="auto"/>
            </w:tcBorders>
            <w:shd w:val="clear" w:color="auto" w:fill="D5EEEE"/>
          </w:tcPr>
          <w:p>
            <w:pPr>
              <w:spacing w:after="0"/>
              <w:rPr>
                <w:sz w:val="22"/>
                <w:szCs w:val="22"/>
                <w:color w:val="auto"/>
              </w:rPr>
            </w:pPr>
          </w:p>
        </w:tc>
        <w:tc>
          <w:tcPr>
            <w:tcW w:w="11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862</w:t>
            </w:r>
          </w:p>
        </w:tc>
        <w:tc>
          <w:tcPr>
            <w:tcW w:w="80" w:type="dxa"/>
            <w:vAlign w:val="bottom"/>
            <w:tcBorders>
              <w:top w:val="single" w:sz="8" w:color="D5EEEE"/>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760" w:type="dxa"/>
            <w:vAlign w:val="bottom"/>
            <w:tcBorders>
              <w:bottom w:val="single" w:sz="8" w:color="D5EEEE"/>
            </w:tcBorders>
          </w:tcPr>
          <w:p>
            <w:pPr>
              <w:spacing w:after="0" w:line="219" w:lineRule="exact"/>
              <w:rPr>
                <w:sz w:val="20"/>
                <w:szCs w:val="20"/>
                <w:color w:val="auto"/>
              </w:rPr>
            </w:pPr>
            <w:r>
              <w:rPr>
                <w:rFonts w:ascii="Times New Roman" w:cs="Times New Roman" w:eastAsia="Times New Roman" w:hAnsi="Times New Roman"/>
                <w:sz w:val="20"/>
                <w:szCs w:val="20"/>
                <w:color w:val="auto"/>
              </w:rPr>
              <w:t>Loss before income tax expense</w:t>
            </w:r>
          </w:p>
        </w:tc>
        <w:tc>
          <w:tcPr>
            <w:tcW w:w="400" w:type="dxa"/>
            <w:vAlign w:val="bottom"/>
            <w:tcBorders>
              <w:bottom w:val="single" w:sz="8" w:color="D5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(209,789)</w:t>
            </w:r>
          </w:p>
        </w:tc>
        <w:tc>
          <w:tcPr>
            <w:tcW w:w="18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(21,398)</w:t>
            </w: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760" w:type="dxa"/>
            <w:vAlign w:val="bottom"/>
            <w:tcBorders>
              <w:bottom w:val="single" w:sz="8" w:color="D5EEEE"/>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Income tax expense</w:t>
            </w:r>
          </w:p>
        </w:tc>
        <w:tc>
          <w:tcPr>
            <w:tcW w:w="400" w:type="dxa"/>
            <w:vAlign w:val="bottom"/>
            <w:tcBorders>
              <w:bottom w:val="single" w:sz="8" w:color="D5EEEE"/>
            </w:tcBorders>
            <w:shd w:val="clear" w:color="auto" w:fill="D5EEEE"/>
          </w:tcPr>
          <w:p>
            <w:pPr>
              <w:spacing w:after="0"/>
              <w:rPr>
                <w:sz w:val="22"/>
                <w:szCs w:val="22"/>
                <w:color w:val="auto"/>
              </w:rPr>
            </w:pPr>
          </w:p>
        </w:tc>
        <w:tc>
          <w:tcPr>
            <w:tcW w:w="340" w:type="dxa"/>
            <w:vAlign w:val="bottom"/>
            <w:tcBorders>
              <w:bottom w:val="single" w:sz="8" w:color="auto"/>
            </w:tcBorders>
            <w:shd w:val="clear" w:color="auto" w:fill="D5EEEE"/>
          </w:tcPr>
          <w:p>
            <w:pPr>
              <w:spacing w:after="0"/>
              <w:rPr>
                <w:sz w:val="22"/>
                <w:szCs w:val="22"/>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80" w:type="dxa"/>
            <w:vAlign w:val="bottom"/>
            <w:tcBorders>
              <w:bottom w:val="single" w:sz="8" w:color="D5EEEE"/>
            </w:tcBorders>
            <w:shd w:val="clear" w:color="auto" w:fill="D5EEEE"/>
          </w:tcPr>
          <w:p>
            <w:pPr>
              <w:spacing w:after="0"/>
              <w:rPr>
                <w:sz w:val="22"/>
                <w:szCs w:val="22"/>
                <w:color w:val="auto"/>
              </w:rPr>
            </w:pPr>
          </w:p>
        </w:tc>
        <w:tc>
          <w:tcPr>
            <w:tcW w:w="100" w:type="dxa"/>
            <w:vAlign w:val="bottom"/>
            <w:tcBorders>
              <w:bottom w:val="single" w:sz="8" w:color="D5EEEE"/>
            </w:tcBorders>
            <w:shd w:val="clear" w:color="auto" w:fill="D5EEEE"/>
          </w:tcPr>
          <w:p>
            <w:pPr>
              <w:spacing w:after="0"/>
              <w:rPr>
                <w:sz w:val="22"/>
                <w:szCs w:val="22"/>
                <w:color w:val="auto"/>
              </w:rPr>
            </w:pPr>
          </w:p>
        </w:tc>
        <w:tc>
          <w:tcPr>
            <w:tcW w:w="340" w:type="dxa"/>
            <w:vAlign w:val="bottom"/>
            <w:tcBorders>
              <w:bottom w:val="single" w:sz="8" w:color="auto"/>
            </w:tcBorders>
            <w:shd w:val="clear" w:color="auto" w:fill="D5EEEE"/>
          </w:tcPr>
          <w:p>
            <w:pPr>
              <w:spacing w:after="0"/>
              <w:rPr>
                <w:sz w:val="22"/>
                <w:szCs w:val="22"/>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760" w:type="dxa"/>
            <w:vAlign w:val="bottom"/>
            <w:tcBorders>
              <w:bottom w:val="single" w:sz="8" w:color="D5EEEE"/>
            </w:tcBorders>
          </w:tcPr>
          <w:p>
            <w:pPr>
              <w:spacing w:after="0" w:line="219" w:lineRule="exact"/>
              <w:rPr>
                <w:sz w:val="20"/>
                <w:szCs w:val="20"/>
                <w:color w:val="auto"/>
              </w:rPr>
            </w:pPr>
            <w:r>
              <w:rPr>
                <w:rFonts w:ascii="Times New Roman" w:cs="Times New Roman" w:eastAsia="Times New Roman" w:hAnsi="Times New Roman"/>
                <w:sz w:val="20"/>
                <w:szCs w:val="20"/>
                <w:color w:val="auto"/>
              </w:rPr>
              <w:t>Net loss</w:t>
            </w:r>
          </w:p>
        </w:tc>
        <w:tc>
          <w:tcPr>
            <w:tcW w:w="400" w:type="dxa"/>
            <w:vAlign w:val="bottom"/>
            <w:tcBorders>
              <w:bottom w:val="single" w:sz="8" w:color="D5EEEE"/>
            </w:tcBorders>
          </w:tcPr>
          <w:p>
            <w:pPr>
              <w:spacing w:after="0"/>
              <w:rPr>
                <w:sz w:val="22"/>
                <w:szCs w:val="22"/>
                <w:color w:val="auto"/>
              </w:rPr>
            </w:pPr>
          </w:p>
        </w:tc>
        <w:tc>
          <w:tcPr>
            <w:tcW w:w="340" w:type="dxa"/>
            <w:vAlign w:val="bottom"/>
            <w:tcBorders>
              <w:bottom w:val="single" w:sz="8" w:color="auto"/>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(209,839)</w:t>
            </w:r>
          </w:p>
        </w:tc>
        <w:tc>
          <w:tcPr>
            <w:tcW w:w="180" w:type="dxa"/>
            <w:vAlign w:val="bottom"/>
            <w:tcBorders>
              <w:bottom w:val="single" w:sz="8" w:color="D5EEEE"/>
            </w:tcBorders>
          </w:tcPr>
          <w:p>
            <w:pPr>
              <w:spacing w:after="0"/>
              <w:rPr>
                <w:sz w:val="22"/>
                <w:szCs w:val="22"/>
                <w:color w:val="auto"/>
              </w:rPr>
            </w:pPr>
          </w:p>
        </w:tc>
        <w:tc>
          <w:tcPr>
            <w:tcW w:w="100" w:type="dxa"/>
            <w:vAlign w:val="bottom"/>
            <w:tcBorders>
              <w:bottom w:val="single" w:sz="8" w:color="D5EEEE"/>
            </w:tcBorders>
          </w:tcPr>
          <w:p>
            <w:pPr>
              <w:spacing w:after="0"/>
              <w:rPr>
                <w:sz w:val="22"/>
                <w:szCs w:val="22"/>
                <w:color w:val="auto"/>
              </w:rPr>
            </w:pPr>
          </w:p>
        </w:tc>
        <w:tc>
          <w:tcPr>
            <w:tcW w:w="340" w:type="dxa"/>
            <w:vAlign w:val="bottom"/>
            <w:tcBorders>
              <w:bottom w:val="single" w:sz="8" w:color="auto"/>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(21,439)</w:t>
            </w:r>
          </w:p>
        </w:tc>
        <w:tc>
          <w:tcPr>
            <w:tcW w:w="80" w:type="dxa"/>
            <w:vAlign w:val="bottom"/>
            <w:tcBorders>
              <w:bottom w:val="single" w:sz="8" w:color="D5EEEE"/>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D5EEEE"/>
          </w:tcPr>
          <w:p>
            <w:pPr>
              <w:spacing w:after="0"/>
              <w:rPr>
                <w:sz w:val="19"/>
                <w:szCs w:val="19"/>
                <w:color w:val="auto"/>
              </w:rPr>
            </w:pPr>
          </w:p>
        </w:tc>
        <w:tc>
          <w:tcPr>
            <w:tcW w:w="40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116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116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7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Net loss per share, basic and diluted, Series B Preferred Stock</w:t>
            </w:r>
          </w:p>
        </w:tc>
        <w:tc>
          <w:tcPr>
            <w:tcW w:w="400" w:type="dxa"/>
            <w:vAlign w:val="bottom"/>
            <w:tcBorders>
              <w:bottom w:val="single" w:sz="8" w:color="D5EEEE"/>
            </w:tcBorders>
          </w:tcPr>
          <w:p>
            <w:pPr>
              <w:spacing w:after="0"/>
              <w:rPr>
                <w:sz w:val="24"/>
                <w:szCs w:val="24"/>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(23,816.00)</w:t>
            </w:r>
          </w:p>
        </w:tc>
        <w:tc>
          <w:tcPr>
            <w:tcW w:w="180" w:type="dxa"/>
            <w:vAlign w:val="bottom"/>
            <w:tcBorders>
              <w:bottom w:val="single" w:sz="8" w:color="D5EEEE"/>
            </w:tcBorders>
          </w:tcPr>
          <w:p>
            <w:pPr>
              <w:spacing w:after="0"/>
              <w:rPr>
                <w:sz w:val="24"/>
                <w:szCs w:val="24"/>
                <w:color w:val="auto"/>
              </w:rPr>
            </w:pPr>
          </w:p>
        </w:tc>
        <w:tc>
          <w:tcPr>
            <w:tcW w:w="100" w:type="dxa"/>
            <w:vAlign w:val="bottom"/>
            <w:tcBorders>
              <w:bottom w:val="single" w:sz="8" w:color="D5EEEE"/>
            </w:tcBorders>
          </w:tcPr>
          <w:p>
            <w:pPr>
              <w:spacing w:after="0"/>
              <w:rPr>
                <w:sz w:val="24"/>
                <w:szCs w:val="24"/>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5EEEE"/>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D5EEEE"/>
          </w:tcPr>
          <w:p>
            <w:pPr>
              <w:spacing w:after="0" w:line="209" w:lineRule="exact"/>
              <w:rPr>
                <w:sz w:val="20"/>
                <w:szCs w:val="20"/>
                <w:color w:val="auto"/>
              </w:rPr>
            </w:pPr>
            <w:r>
              <w:rPr>
                <w:rFonts w:ascii="Times New Roman" w:cs="Times New Roman" w:eastAsia="Times New Roman" w:hAnsi="Times New Roman"/>
                <w:sz w:val="20"/>
                <w:szCs w:val="20"/>
                <w:color w:val="auto"/>
              </w:rPr>
              <w:t>Weighted-average Series B non-voting convertible preferred stock outstanding,</w:t>
            </w:r>
          </w:p>
        </w:tc>
        <w:tc>
          <w:tcPr>
            <w:tcW w:w="40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1160" w:type="dxa"/>
            <w:vAlign w:val="bottom"/>
            <w:shd w:val="clear" w:color="auto" w:fill="D5EEEE"/>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116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D5EEEE"/>
            </w:tcBorders>
            <w:shd w:val="clear" w:color="auto" w:fill="D5EEEE"/>
          </w:tcPr>
          <w:p>
            <w:pPr>
              <w:ind w:left="160"/>
              <w:spacing w:after="0"/>
              <w:rPr>
                <w:sz w:val="20"/>
                <w:szCs w:val="20"/>
                <w:color w:val="auto"/>
              </w:rPr>
            </w:pPr>
            <w:r>
              <w:rPr>
                <w:rFonts w:ascii="Times New Roman" w:cs="Times New Roman" w:eastAsia="Times New Roman" w:hAnsi="Times New Roman"/>
                <w:sz w:val="20"/>
                <w:szCs w:val="20"/>
                <w:color w:val="auto"/>
              </w:rPr>
              <w:t>basic and diluted</w:t>
            </w:r>
          </w:p>
        </w:tc>
        <w:tc>
          <w:tcPr>
            <w:tcW w:w="400" w:type="dxa"/>
            <w:vAlign w:val="bottom"/>
            <w:tcBorders>
              <w:bottom w:val="single" w:sz="8" w:color="D5EEEE"/>
            </w:tcBorders>
            <w:shd w:val="clear" w:color="auto" w:fill="D5EEEE"/>
          </w:tcPr>
          <w:p>
            <w:pPr>
              <w:spacing w:after="0"/>
              <w:rPr>
                <w:sz w:val="23"/>
                <w:szCs w:val="23"/>
                <w:color w:val="auto"/>
              </w:rPr>
            </w:pPr>
          </w:p>
        </w:tc>
        <w:tc>
          <w:tcPr>
            <w:tcW w:w="340" w:type="dxa"/>
            <w:vAlign w:val="bottom"/>
            <w:tcBorders>
              <w:bottom w:val="single" w:sz="8" w:color="auto"/>
            </w:tcBorders>
            <w:shd w:val="clear" w:color="auto" w:fill="D5EEEE"/>
          </w:tcPr>
          <w:p>
            <w:pPr>
              <w:spacing w:after="0"/>
              <w:rPr>
                <w:sz w:val="23"/>
                <w:szCs w:val="23"/>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2,332</w:t>
            </w:r>
          </w:p>
        </w:tc>
        <w:tc>
          <w:tcPr>
            <w:tcW w:w="180" w:type="dxa"/>
            <w:vAlign w:val="bottom"/>
            <w:tcBorders>
              <w:bottom w:val="single" w:sz="8" w:color="D5EEEE"/>
            </w:tcBorders>
            <w:shd w:val="clear" w:color="auto" w:fill="D5EEEE"/>
          </w:tcPr>
          <w:p>
            <w:pPr>
              <w:spacing w:after="0"/>
              <w:rPr>
                <w:sz w:val="23"/>
                <w:szCs w:val="23"/>
                <w:color w:val="auto"/>
              </w:rPr>
            </w:pPr>
          </w:p>
        </w:tc>
        <w:tc>
          <w:tcPr>
            <w:tcW w:w="100" w:type="dxa"/>
            <w:vAlign w:val="bottom"/>
            <w:tcBorders>
              <w:bottom w:val="single" w:sz="8" w:color="D5EEEE"/>
            </w:tcBorders>
            <w:shd w:val="clear" w:color="auto" w:fill="D5EEEE"/>
          </w:tcPr>
          <w:p>
            <w:pPr>
              <w:spacing w:after="0"/>
              <w:rPr>
                <w:sz w:val="23"/>
                <w:szCs w:val="23"/>
                <w:color w:val="auto"/>
              </w:rPr>
            </w:pPr>
          </w:p>
        </w:tc>
        <w:tc>
          <w:tcPr>
            <w:tcW w:w="340" w:type="dxa"/>
            <w:vAlign w:val="bottom"/>
            <w:tcBorders>
              <w:bottom w:val="single" w:sz="8" w:color="auto"/>
            </w:tcBorders>
            <w:shd w:val="clear" w:color="auto" w:fill="D5EEEE"/>
          </w:tcPr>
          <w:p>
            <w:pPr>
              <w:spacing w:after="0"/>
              <w:rPr>
                <w:sz w:val="23"/>
                <w:szCs w:val="23"/>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5EEEE"/>
            </w:tcBorders>
            <w:shd w:val="clear" w:color="auto" w:fill="D5EEE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7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Net loss per share, basic and diluted, Series C Preferred Stock</w:t>
            </w:r>
          </w:p>
        </w:tc>
        <w:tc>
          <w:tcPr>
            <w:tcW w:w="74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(23,816.00)</w:t>
            </w:r>
          </w:p>
        </w:tc>
        <w:tc>
          <w:tcPr>
            <w:tcW w:w="44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760" w:type="dxa"/>
            <w:vAlign w:val="bottom"/>
            <w:tcBorders>
              <w:top w:val="single" w:sz="8" w:color="D5EEEE"/>
              <w:bottom w:val="single" w:sz="8" w:color="D5EEEE"/>
            </w:tcBorders>
            <w:vMerge w:val="restart"/>
          </w:tcPr>
          <w:p>
            <w:pPr>
              <w:spacing w:after="0"/>
              <w:rPr>
                <w:sz w:val="20"/>
                <w:szCs w:val="20"/>
                <w:color w:val="auto"/>
              </w:rPr>
            </w:pPr>
            <w:r>
              <w:rPr>
                <w:rFonts w:ascii="Times New Roman" w:cs="Times New Roman" w:eastAsia="Times New Roman" w:hAnsi="Times New Roman"/>
                <w:sz w:val="20"/>
                <w:szCs w:val="20"/>
                <w:color w:val="auto"/>
              </w:rPr>
              <w:t>Weighted-average Series C non-voting convertible preferred stock outstanding,</w:t>
            </w:r>
          </w:p>
        </w:tc>
        <w:tc>
          <w:tcPr>
            <w:tcW w:w="400" w:type="dxa"/>
            <w:vAlign w:val="bottom"/>
            <w:tcBorders>
              <w:top w:val="single" w:sz="8" w:color="D5EEE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EEEE"/>
            </w:tcBorders>
          </w:tcPr>
          <w:p>
            <w:pPr>
              <w:spacing w:after="0" w:line="20" w:lineRule="exact"/>
              <w:rPr>
                <w:sz w:val="1"/>
                <w:szCs w:val="1"/>
                <w:color w:val="auto"/>
              </w:rPr>
            </w:pPr>
          </w:p>
        </w:tc>
        <w:tc>
          <w:tcPr>
            <w:tcW w:w="100" w:type="dxa"/>
            <w:vAlign w:val="bottom"/>
            <w:tcBorders>
              <w:top w:val="single" w:sz="8" w:color="D5EEE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67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basic and diluted</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6760" w:type="dxa"/>
            <w:vAlign w:val="bottom"/>
            <w:tcBorders>
              <w:top w:val="single" w:sz="8" w:color="D5EEEE"/>
            </w:tcBorders>
            <w:shd w:val="clear" w:color="auto" w:fill="D5EEEE"/>
          </w:tcPr>
          <w:p>
            <w:pPr>
              <w:spacing w:after="0"/>
              <w:rPr>
                <w:sz w:val="19"/>
                <w:szCs w:val="19"/>
                <w:color w:val="auto"/>
              </w:rPr>
            </w:pPr>
          </w:p>
        </w:tc>
        <w:tc>
          <w:tcPr>
            <w:tcW w:w="400" w:type="dxa"/>
            <w:vAlign w:val="bottom"/>
            <w:tcBorders>
              <w:top w:val="single" w:sz="8" w:color="D5EEEE"/>
            </w:tcBorders>
            <w:shd w:val="clear" w:color="auto" w:fill="D5EEEE"/>
          </w:tcPr>
          <w:p>
            <w:pPr>
              <w:spacing w:after="0"/>
              <w:rPr>
                <w:sz w:val="19"/>
                <w:szCs w:val="19"/>
                <w:color w:val="auto"/>
              </w:rPr>
            </w:pPr>
          </w:p>
        </w:tc>
        <w:tc>
          <w:tcPr>
            <w:tcW w:w="340" w:type="dxa"/>
            <w:vAlign w:val="bottom"/>
            <w:tcBorders>
              <w:top w:val="single" w:sz="8" w:color="auto"/>
            </w:tcBorders>
            <w:shd w:val="clear" w:color="auto" w:fill="D5EEEE"/>
          </w:tcPr>
          <w:p>
            <w:pPr>
              <w:spacing w:after="0"/>
              <w:rPr>
                <w:sz w:val="19"/>
                <w:szCs w:val="19"/>
                <w:color w:val="auto"/>
              </w:rPr>
            </w:pPr>
          </w:p>
        </w:tc>
        <w:tc>
          <w:tcPr>
            <w:tcW w:w="1160" w:type="dxa"/>
            <w:vAlign w:val="bottom"/>
            <w:tcBorders>
              <w:top w:val="single" w:sz="8" w:color="auto"/>
            </w:tcBorders>
            <w:shd w:val="clear" w:color="auto" w:fill="D5EEEE"/>
          </w:tcPr>
          <w:p>
            <w:pPr>
              <w:spacing w:after="0"/>
              <w:rPr>
                <w:sz w:val="19"/>
                <w:szCs w:val="19"/>
                <w:color w:val="auto"/>
              </w:rPr>
            </w:pPr>
          </w:p>
        </w:tc>
        <w:tc>
          <w:tcPr>
            <w:tcW w:w="180" w:type="dxa"/>
            <w:vAlign w:val="bottom"/>
            <w:tcBorders>
              <w:top w:val="single" w:sz="8" w:color="D5EEEE"/>
            </w:tcBorders>
            <w:shd w:val="clear" w:color="auto" w:fill="D5EEEE"/>
          </w:tcPr>
          <w:p>
            <w:pPr>
              <w:spacing w:after="0"/>
              <w:rPr>
                <w:sz w:val="19"/>
                <w:szCs w:val="19"/>
                <w:color w:val="auto"/>
              </w:rPr>
            </w:pPr>
          </w:p>
        </w:tc>
        <w:tc>
          <w:tcPr>
            <w:tcW w:w="100" w:type="dxa"/>
            <w:vAlign w:val="bottom"/>
            <w:tcBorders>
              <w:top w:val="single" w:sz="8" w:color="D5EEEE"/>
            </w:tcBorders>
            <w:shd w:val="clear" w:color="auto" w:fill="D5EEEE"/>
          </w:tcPr>
          <w:p>
            <w:pPr>
              <w:spacing w:after="0"/>
              <w:rPr>
                <w:sz w:val="19"/>
                <w:szCs w:val="19"/>
                <w:color w:val="auto"/>
              </w:rPr>
            </w:pPr>
          </w:p>
        </w:tc>
        <w:tc>
          <w:tcPr>
            <w:tcW w:w="340" w:type="dxa"/>
            <w:vAlign w:val="bottom"/>
            <w:tcBorders>
              <w:top w:val="single" w:sz="8" w:color="auto"/>
            </w:tcBorders>
            <w:shd w:val="clear" w:color="auto" w:fill="D5EEEE"/>
          </w:tcPr>
          <w:p>
            <w:pPr>
              <w:spacing w:after="0"/>
              <w:rPr>
                <w:sz w:val="19"/>
                <w:szCs w:val="19"/>
                <w:color w:val="auto"/>
              </w:rPr>
            </w:pPr>
          </w:p>
        </w:tc>
        <w:tc>
          <w:tcPr>
            <w:tcW w:w="1160" w:type="dxa"/>
            <w:vAlign w:val="bottom"/>
            <w:tcBorders>
              <w:top w:val="single" w:sz="8" w:color="auto"/>
            </w:tcBorders>
            <w:shd w:val="clear" w:color="auto" w:fill="D5EEEE"/>
          </w:tcPr>
          <w:p>
            <w:pPr>
              <w:spacing w:after="0"/>
              <w:rPr>
                <w:sz w:val="19"/>
                <w:szCs w:val="19"/>
                <w:color w:val="auto"/>
              </w:rPr>
            </w:pPr>
          </w:p>
        </w:tc>
        <w:tc>
          <w:tcPr>
            <w:tcW w:w="80" w:type="dxa"/>
            <w:vAlign w:val="bottom"/>
            <w:tcBorders>
              <w:top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7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Net loss per share, basic and diluted, common stock</w:t>
            </w:r>
          </w:p>
        </w:tc>
        <w:tc>
          <w:tcPr>
            <w:tcW w:w="400" w:type="dxa"/>
            <w:vAlign w:val="bottom"/>
            <w:tcBorders>
              <w:bottom w:val="single" w:sz="8" w:color="D5EEEE"/>
            </w:tcBorders>
          </w:tcPr>
          <w:p>
            <w:pPr>
              <w:spacing w:after="0"/>
              <w:rPr>
                <w:sz w:val="24"/>
                <w:szCs w:val="24"/>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180" w:type="dxa"/>
            <w:vAlign w:val="bottom"/>
            <w:tcBorders>
              <w:bottom w:val="single" w:sz="8" w:color="D5EEEE"/>
            </w:tcBorders>
          </w:tcPr>
          <w:p>
            <w:pPr>
              <w:spacing w:after="0"/>
              <w:rPr>
                <w:sz w:val="24"/>
                <w:szCs w:val="24"/>
                <w:color w:val="auto"/>
              </w:rPr>
            </w:pPr>
          </w:p>
        </w:tc>
        <w:tc>
          <w:tcPr>
            <w:tcW w:w="100" w:type="dxa"/>
            <w:vAlign w:val="bottom"/>
            <w:tcBorders>
              <w:bottom w:val="single" w:sz="8" w:color="D5EEEE"/>
            </w:tcBorders>
          </w:tcPr>
          <w:p>
            <w:pPr>
              <w:spacing w:after="0"/>
              <w:rPr>
                <w:sz w:val="24"/>
                <w:szCs w:val="24"/>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(18.53)</w:t>
            </w:r>
          </w:p>
        </w:tc>
        <w:tc>
          <w:tcPr>
            <w:tcW w:w="80" w:type="dxa"/>
            <w:vAlign w:val="bottom"/>
            <w:tcBorders>
              <w:bottom w:val="single" w:sz="8" w:color="D5EEEE"/>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D5EEEE"/>
          </w:tcPr>
          <w:p>
            <w:pPr>
              <w:spacing w:after="0" w:line="209" w:lineRule="exact"/>
              <w:rPr>
                <w:sz w:val="20"/>
                <w:szCs w:val="20"/>
                <w:color w:val="auto"/>
              </w:rPr>
            </w:pPr>
            <w:r>
              <w:rPr>
                <w:rFonts w:ascii="Times New Roman" w:cs="Times New Roman" w:eastAsia="Times New Roman" w:hAnsi="Times New Roman"/>
                <w:sz w:val="20"/>
                <w:szCs w:val="20"/>
                <w:color w:val="auto"/>
              </w:rPr>
              <w:t>Weighted-average number of shares used in computing net loss</w:t>
            </w:r>
          </w:p>
        </w:tc>
        <w:tc>
          <w:tcPr>
            <w:tcW w:w="40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1160" w:type="dxa"/>
            <w:vAlign w:val="bottom"/>
            <w:shd w:val="clear" w:color="auto" w:fill="D5EEEE"/>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116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D5EEEE"/>
            </w:tcBorders>
            <w:shd w:val="clear" w:color="auto" w:fill="D5EEEE"/>
          </w:tcPr>
          <w:p>
            <w:pPr>
              <w:ind w:left="160"/>
              <w:spacing w:after="0"/>
              <w:rPr>
                <w:sz w:val="20"/>
                <w:szCs w:val="20"/>
                <w:color w:val="auto"/>
              </w:rPr>
            </w:pPr>
            <w:r>
              <w:rPr>
                <w:rFonts w:ascii="Times New Roman" w:cs="Times New Roman" w:eastAsia="Times New Roman" w:hAnsi="Times New Roman"/>
                <w:sz w:val="20"/>
                <w:szCs w:val="20"/>
                <w:color w:val="auto"/>
              </w:rPr>
              <w:t>per common share, basic and diluted</w:t>
            </w:r>
          </w:p>
        </w:tc>
        <w:tc>
          <w:tcPr>
            <w:tcW w:w="400" w:type="dxa"/>
            <w:vAlign w:val="bottom"/>
            <w:tcBorders>
              <w:bottom w:val="single" w:sz="8" w:color="D5EEEE"/>
            </w:tcBorders>
            <w:shd w:val="clear" w:color="auto" w:fill="D5EEEE"/>
          </w:tcPr>
          <w:p>
            <w:pPr>
              <w:spacing w:after="0"/>
              <w:rPr>
                <w:sz w:val="23"/>
                <w:szCs w:val="23"/>
                <w:color w:val="auto"/>
              </w:rPr>
            </w:pPr>
          </w:p>
        </w:tc>
        <w:tc>
          <w:tcPr>
            <w:tcW w:w="340" w:type="dxa"/>
            <w:vAlign w:val="bottom"/>
            <w:tcBorders>
              <w:bottom w:val="single" w:sz="8" w:color="auto"/>
            </w:tcBorders>
            <w:shd w:val="clear" w:color="auto" w:fill="D5EEEE"/>
          </w:tcPr>
          <w:p>
            <w:pPr>
              <w:spacing w:after="0"/>
              <w:rPr>
                <w:sz w:val="23"/>
                <w:szCs w:val="23"/>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1,363,005</w:t>
            </w:r>
          </w:p>
        </w:tc>
        <w:tc>
          <w:tcPr>
            <w:tcW w:w="180" w:type="dxa"/>
            <w:vAlign w:val="bottom"/>
            <w:tcBorders>
              <w:bottom w:val="single" w:sz="8" w:color="D5EEEE"/>
            </w:tcBorders>
            <w:shd w:val="clear" w:color="auto" w:fill="D5EEEE"/>
          </w:tcPr>
          <w:p>
            <w:pPr>
              <w:spacing w:after="0"/>
              <w:rPr>
                <w:sz w:val="23"/>
                <w:szCs w:val="23"/>
                <w:color w:val="auto"/>
              </w:rPr>
            </w:pPr>
          </w:p>
        </w:tc>
        <w:tc>
          <w:tcPr>
            <w:tcW w:w="100" w:type="dxa"/>
            <w:vAlign w:val="bottom"/>
            <w:tcBorders>
              <w:bottom w:val="single" w:sz="8" w:color="D5EEEE"/>
            </w:tcBorders>
            <w:shd w:val="clear" w:color="auto" w:fill="D5EEEE"/>
          </w:tcPr>
          <w:p>
            <w:pPr>
              <w:spacing w:after="0"/>
              <w:rPr>
                <w:sz w:val="23"/>
                <w:szCs w:val="23"/>
                <w:color w:val="auto"/>
              </w:rPr>
            </w:pPr>
          </w:p>
        </w:tc>
        <w:tc>
          <w:tcPr>
            <w:tcW w:w="340" w:type="dxa"/>
            <w:vAlign w:val="bottom"/>
            <w:tcBorders>
              <w:bottom w:val="single" w:sz="8" w:color="auto"/>
            </w:tcBorders>
            <w:shd w:val="clear" w:color="auto" w:fill="D5EEEE"/>
          </w:tcPr>
          <w:p>
            <w:pPr>
              <w:spacing w:after="0"/>
              <w:rPr>
                <w:sz w:val="23"/>
                <w:szCs w:val="23"/>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1,157,149</w:t>
            </w:r>
          </w:p>
        </w:tc>
        <w:tc>
          <w:tcPr>
            <w:tcW w:w="80" w:type="dxa"/>
            <w:vAlign w:val="bottom"/>
            <w:tcBorders>
              <w:bottom w:val="single" w:sz="8" w:color="D5EEEE"/>
            </w:tcBorders>
            <w:shd w:val="clear" w:color="auto" w:fill="D5EEE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comprehensive income (loss), net of tax</w:t>
            </w: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7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Currency translation gain (loss)</w:t>
            </w:r>
          </w:p>
        </w:tc>
        <w:tc>
          <w:tcPr>
            <w:tcW w:w="74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705</w:t>
            </w:r>
          </w:p>
        </w:tc>
        <w:tc>
          <w:tcPr>
            <w:tcW w:w="180" w:type="dxa"/>
            <w:vAlign w:val="bottom"/>
            <w:shd w:val="clear" w:color="auto" w:fill="D5EEEE"/>
          </w:tcPr>
          <w:p>
            <w:pPr>
              <w:spacing w:after="0"/>
              <w:rPr>
                <w:sz w:val="22"/>
                <w:szCs w:val="22"/>
                <w:color w:val="auto"/>
              </w:rPr>
            </w:pPr>
          </w:p>
        </w:tc>
        <w:tc>
          <w:tcPr>
            <w:tcW w:w="44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(283)</w:t>
            </w:r>
          </w:p>
        </w:tc>
        <w:tc>
          <w:tcPr>
            <w:tcW w:w="0" w:type="dxa"/>
            <w:vAlign w:val="bottom"/>
          </w:tcPr>
          <w:p>
            <w:pPr>
              <w:spacing w:after="0"/>
              <w:rPr>
                <w:sz w:val="1"/>
                <w:szCs w:val="1"/>
                <w:color w:val="auto"/>
              </w:rPr>
            </w:pPr>
          </w:p>
        </w:tc>
      </w:tr>
      <w:tr>
        <w:trPr>
          <w:trHeight w:val="219"/>
        </w:trPr>
        <w:tc>
          <w:tcPr>
            <w:tcW w:w="6760" w:type="dxa"/>
            <w:vAlign w:val="bottom"/>
            <w:tcBorders>
              <w:top w:val="single" w:sz="8" w:color="D5EEEE"/>
              <w:bottom w:val="single" w:sz="8" w:color="D5EEEE"/>
            </w:tcBorders>
          </w:tcPr>
          <w:p>
            <w:pPr>
              <w:ind w:left="400"/>
              <w:spacing w:after="0" w:line="219" w:lineRule="exact"/>
              <w:rPr>
                <w:sz w:val="20"/>
                <w:szCs w:val="20"/>
                <w:color w:val="auto"/>
              </w:rPr>
            </w:pPr>
            <w:r>
              <w:rPr>
                <w:rFonts w:ascii="Times New Roman" w:cs="Times New Roman" w:eastAsia="Times New Roman" w:hAnsi="Times New Roman"/>
                <w:sz w:val="20"/>
                <w:szCs w:val="20"/>
                <w:color w:val="auto"/>
              </w:rPr>
              <w:t>Other comprehensive income (loss), net of tax</w:t>
            </w:r>
          </w:p>
        </w:tc>
        <w:tc>
          <w:tcPr>
            <w:tcW w:w="400" w:type="dxa"/>
            <w:vAlign w:val="bottom"/>
            <w:tcBorders>
              <w:top w:val="single" w:sz="8" w:color="D5EEEE"/>
              <w:bottom w:val="single" w:sz="8" w:color="D5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705</w:t>
            </w:r>
          </w:p>
        </w:tc>
        <w:tc>
          <w:tcPr>
            <w:tcW w:w="180" w:type="dxa"/>
            <w:vAlign w:val="bottom"/>
            <w:tcBorders>
              <w:top w:val="single" w:sz="8" w:color="D5EEEE"/>
              <w:bottom w:val="single" w:sz="8" w:color="D5EEEE"/>
            </w:tcBorders>
          </w:tcPr>
          <w:p>
            <w:pPr>
              <w:spacing w:after="0"/>
              <w:rPr>
                <w:sz w:val="19"/>
                <w:szCs w:val="19"/>
                <w:color w:val="auto"/>
              </w:rPr>
            </w:pPr>
          </w:p>
        </w:tc>
        <w:tc>
          <w:tcPr>
            <w:tcW w:w="100" w:type="dxa"/>
            <w:vAlign w:val="bottom"/>
            <w:tcBorders>
              <w:top w:val="single" w:sz="8" w:color="D5EEEE"/>
              <w:bottom w:val="single" w:sz="8" w:color="D5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(283)</w:t>
            </w:r>
          </w:p>
        </w:tc>
        <w:tc>
          <w:tcPr>
            <w:tcW w:w="80" w:type="dxa"/>
            <w:vAlign w:val="bottom"/>
            <w:tcBorders>
              <w:top w:val="single" w:sz="8" w:color="D5EEEE"/>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76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comprehensive loss</w:t>
            </w:r>
          </w:p>
        </w:tc>
        <w:tc>
          <w:tcPr>
            <w:tcW w:w="400" w:type="dxa"/>
            <w:vAlign w:val="bottom"/>
            <w:tcBorders>
              <w:bottom w:val="single" w:sz="8" w:color="D5EEEE"/>
            </w:tcBorders>
            <w:shd w:val="clear" w:color="auto" w:fill="D5EEEE"/>
          </w:tcPr>
          <w:p>
            <w:pPr>
              <w:spacing w:after="0"/>
              <w:rPr>
                <w:sz w:val="22"/>
                <w:szCs w:val="22"/>
                <w:color w:val="auto"/>
              </w:rPr>
            </w:pPr>
          </w:p>
        </w:tc>
        <w:tc>
          <w:tcPr>
            <w:tcW w:w="340" w:type="dxa"/>
            <w:vAlign w:val="bottom"/>
            <w:tcBorders>
              <w:bottom w:val="single" w:sz="8" w:color="auto"/>
            </w:tcBorders>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(209,134)</w:t>
            </w:r>
          </w:p>
        </w:tc>
        <w:tc>
          <w:tcPr>
            <w:tcW w:w="180" w:type="dxa"/>
            <w:vAlign w:val="bottom"/>
            <w:tcBorders>
              <w:bottom w:val="single" w:sz="8" w:color="D5EEEE"/>
            </w:tcBorders>
            <w:shd w:val="clear" w:color="auto" w:fill="D5EEEE"/>
          </w:tcPr>
          <w:p>
            <w:pPr>
              <w:spacing w:after="0"/>
              <w:rPr>
                <w:sz w:val="22"/>
                <w:szCs w:val="22"/>
                <w:color w:val="auto"/>
              </w:rPr>
            </w:pPr>
          </w:p>
        </w:tc>
        <w:tc>
          <w:tcPr>
            <w:tcW w:w="100" w:type="dxa"/>
            <w:vAlign w:val="bottom"/>
            <w:tcBorders>
              <w:bottom w:val="single" w:sz="8" w:color="D5EEEE"/>
            </w:tcBorders>
            <w:shd w:val="clear" w:color="auto" w:fill="D5EEEE"/>
          </w:tcPr>
          <w:p>
            <w:pPr>
              <w:spacing w:after="0"/>
              <w:rPr>
                <w:sz w:val="22"/>
                <w:szCs w:val="22"/>
                <w:color w:val="auto"/>
              </w:rPr>
            </w:pPr>
          </w:p>
        </w:tc>
        <w:tc>
          <w:tcPr>
            <w:tcW w:w="340" w:type="dxa"/>
            <w:vAlign w:val="bottom"/>
            <w:tcBorders>
              <w:bottom w:val="single" w:sz="8" w:color="auto"/>
            </w:tcBorders>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(21,722)</w:t>
            </w:r>
          </w:p>
        </w:tc>
        <w:tc>
          <w:tcPr>
            <w:tcW w:w="8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See accompanying notes to the consolidated financial statements.</w:t>
      </w:r>
    </w:p>
    <w:p>
      <w:pPr>
        <w:sectPr>
          <w:pgSz w:w="12960" w:h="17280" w:orient="portrait"/>
          <w:cols w:equalWidth="0" w:num="1">
            <w:col w:w="10520"/>
          </w:cols>
          <w:pgMar w:left="136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960" w:h="17280" w:orient="portrait"/>
          <w:cols w:equalWidth="0" w:num="1">
            <w:col w:w="10520"/>
          </w:cols>
          <w:pgMar w:left="1360" w:top="1440" w:right="1080" w:bottom="895" w:gutter="0" w:footer="0" w:header="0"/>
          <w:type w:val="continuous"/>
        </w:sectPr>
      </w:pPr>
    </w:p>
    <w:bookmarkStart w:id="102" w:name="page103"/>
    <w:bookmarkEnd w:id="102"/>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DAMORA THERAPEUTICS, INC.</w:t>
      </w:r>
    </w:p>
    <w:p>
      <w:pPr>
        <w:spacing w:after="0" w:line="13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52070</wp:posOffset>
            </wp:positionV>
            <wp:extent cx="38100" cy="4025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extLst>
                    </a:blip>
                    <a:srcRect/>
                    <a:stretch>
                      <a:fillRect/>
                    </a:stretch>
                  </pic:blipFill>
                  <pic:spPr bwMode="auto">
                    <a:xfrm>
                      <a:off x="0" y="0"/>
                      <a:ext cx="38100" cy="4025265"/>
                    </a:xfrm>
                    <a:prstGeom prst="rect">
                      <a:avLst/>
                    </a:prstGeom>
                    <a:noFill/>
                  </pic:spPr>
                </pic:pic>
              </a:graphicData>
            </a:graphic>
          </wp:anchor>
        </w:drawing>
      </w:r>
    </w:p>
    <w:p>
      <w:pPr>
        <w:spacing w:after="0" w:line="105" w:lineRule="exact"/>
        <w:rPr>
          <w:sz w:val="20"/>
          <w:szCs w:val="20"/>
          <w:color w:val="auto"/>
        </w:rPr>
      </w:pPr>
    </w:p>
    <w:tbl>
      <w:tblPr>
        <w:tblLayout w:type="fixed"/>
        <w:tblInd w:w="280" w:type="dxa"/>
        <w:tblCellMar>
          <w:top w:w="0" w:type="dxa"/>
          <w:left w:w="0" w:type="dxa"/>
          <w:bottom w:w="0" w:type="dxa"/>
          <w:right w:w="0" w:type="dxa"/>
        </w:tblCellMar>
      </w:tblPr>
      <w:tr>
        <w:trPr>
          <w:trHeight w:val="151"/>
        </w:trPr>
        <w:tc>
          <w:tcPr>
            <w:tcW w:w="3360" w:type="dxa"/>
            <w:vAlign w:val="bottom"/>
          </w:tcPr>
          <w:p>
            <w:pPr>
              <w:spacing w:after="0"/>
              <w:rPr>
                <w:sz w:val="13"/>
                <w:szCs w:val="13"/>
                <w:color w:val="auto"/>
              </w:rPr>
            </w:pPr>
          </w:p>
        </w:tc>
        <w:tc>
          <w:tcPr>
            <w:tcW w:w="1540" w:type="dxa"/>
            <w:vAlign w:val="bottom"/>
            <w:gridSpan w:val="5"/>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Mezzanine Equity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5"/>
          </w:tcPr>
          <w:p>
            <w:pPr>
              <w:ind w:left="48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4"/>
        </w:trPr>
        <w:tc>
          <w:tcPr>
            <w:tcW w:w="33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left="484"/>
              <w:spacing w:after="0" w:line="134" w:lineRule="exact"/>
              <w:rPr>
                <w:sz w:val="20"/>
                <w:szCs w:val="20"/>
                <w:color w:val="auto"/>
              </w:rPr>
            </w:pPr>
            <w:r>
              <w:rPr>
                <w:rFonts w:ascii="Times New Roman" w:cs="Times New Roman" w:eastAsia="Times New Roman" w:hAnsi="Times New Roman"/>
                <w:sz w:val="12"/>
                <w:szCs w:val="12"/>
                <w:b w:val="1"/>
                <w:bCs w:val="1"/>
                <w:color w:val="auto"/>
              </w:rPr>
              <w:t>Series B</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4"/>
          </w:tcPr>
          <w:p>
            <w:pPr>
              <w:jc w:val="center"/>
              <w:ind w:left="484"/>
              <w:spacing w:after="0" w:line="134" w:lineRule="exact"/>
              <w:rPr>
                <w:sz w:val="20"/>
                <w:szCs w:val="20"/>
                <w:color w:val="auto"/>
              </w:rPr>
            </w:pPr>
            <w:r>
              <w:rPr>
                <w:rFonts w:ascii="Times New Roman" w:cs="Times New Roman" w:eastAsia="Times New Roman" w:hAnsi="Times New Roman"/>
                <w:sz w:val="12"/>
                <w:szCs w:val="12"/>
                <w:b w:val="1"/>
                <w:bCs w:val="1"/>
                <w:color w:val="auto"/>
                <w:w w:val="99"/>
              </w:rPr>
              <w:t>Series C</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8"/>
        </w:trPr>
        <w:tc>
          <w:tcPr>
            <w:tcW w:w="3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Non-Voting</w:t>
            </w:r>
          </w:p>
        </w:tc>
        <w:tc>
          <w:tcPr>
            <w:tcW w:w="180" w:type="dxa"/>
            <w:vAlign w:val="bottom"/>
          </w:tcPr>
          <w:p>
            <w:pPr>
              <w:spacing w:after="0"/>
              <w:rPr>
                <w:sz w:val="12"/>
                <w:szCs w:val="12"/>
                <w:color w:val="auto"/>
              </w:rPr>
            </w:pP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Non-Voting</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51"/>
        </w:trPr>
        <w:tc>
          <w:tcPr>
            <w:tcW w:w="3360" w:type="dxa"/>
            <w:vAlign w:val="bottom"/>
          </w:tcPr>
          <w:p>
            <w:pPr>
              <w:spacing w:after="0"/>
              <w:rPr>
                <w:sz w:val="13"/>
                <w:szCs w:val="13"/>
                <w:color w:val="auto"/>
              </w:rPr>
            </w:pPr>
          </w:p>
        </w:tc>
        <w:tc>
          <w:tcPr>
            <w:tcW w:w="1340" w:type="dxa"/>
            <w:vAlign w:val="bottom"/>
            <w:tcBorders>
              <w:bottom w:val="single" w:sz="8" w:color="auto"/>
            </w:tcBorders>
            <w:gridSpan w:val="4"/>
          </w:tcPr>
          <w:p>
            <w:pPr>
              <w:jc w:val="right"/>
              <w:ind w:right="181"/>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Convertible Preferred Stock</w:t>
            </w:r>
          </w:p>
        </w:tc>
        <w:tc>
          <w:tcPr>
            <w:tcW w:w="180" w:type="dxa"/>
            <w:vAlign w:val="bottom"/>
          </w:tcPr>
          <w:p>
            <w:pPr>
              <w:spacing w:after="0"/>
              <w:rPr>
                <w:sz w:val="13"/>
                <w:szCs w:val="13"/>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rPr>
              <w:t>Convertible Preferred Stock</w:t>
            </w:r>
          </w:p>
        </w:tc>
        <w:tc>
          <w:tcPr>
            <w:tcW w:w="200" w:type="dxa"/>
            <w:vAlign w:val="bottom"/>
          </w:tcPr>
          <w:p>
            <w:pPr>
              <w:spacing w:after="0"/>
              <w:rPr>
                <w:sz w:val="13"/>
                <w:szCs w:val="13"/>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23"/>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200" w:type="dxa"/>
            <w:vAlign w:val="bottom"/>
          </w:tcPr>
          <w:p>
            <w:pPr>
              <w:spacing w:after="0"/>
              <w:rPr>
                <w:sz w:val="13"/>
                <w:szCs w:val="13"/>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3"/>
                <w:szCs w:val="13"/>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Stockholders’</w:t>
            </w:r>
          </w:p>
        </w:tc>
      </w:tr>
      <w:tr>
        <w:trPr>
          <w:trHeight w:val="158"/>
        </w:trPr>
        <w:tc>
          <w:tcPr>
            <w:tcW w:w="3360" w:type="dxa"/>
            <w:vAlign w:val="bottom"/>
            <w:tcBorders>
              <w:bottom w:val="single" w:sz="8" w:color="D5EEEE"/>
            </w:tcBorders>
          </w:tcPr>
          <w:p>
            <w:pPr>
              <w:spacing w:after="0"/>
              <w:rPr>
                <w:sz w:val="13"/>
                <w:szCs w:val="13"/>
                <w:color w:val="auto"/>
              </w:rPr>
            </w:pPr>
          </w:p>
        </w:tc>
        <w:tc>
          <w:tcPr>
            <w:tcW w:w="5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Borders>
              <w:bottom w:val="single" w:sz="8" w:color="D5EEEE"/>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200" w:type="dxa"/>
            <w:vAlign w:val="bottom"/>
            <w:tcBorders>
              <w:bottom w:val="single" w:sz="8" w:color="D5EEEE"/>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D5EEEE"/>
            </w:tcBorders>
          </w:tcPr>
          <w:p>
            <w:pPr>
              <w:spacing w:after="0"/>
              <w:rPr>
                <w:sz w:val="13"/>
                <w:szCs w:val="13"/>
                <w:color w:val="auto"/>
              </w:rPr>
            </w:pPr>
          </w:p>
        </w:tc>
        <w:tc>
          <w:tcPr>
            <w:tcW w:w="6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Borders>
              <w:bottom w:val="single" w:sz="8" w:color="D5EEEE"/>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80" w:type="dxa"/>
            <w:vAlign w:val="bottom"/>
            <w:tcBorders>
              <w:bottom w:val="single" w:sz="8" w:color="D5EEEE"/>
            </w:tcBorders>
          </w:tcPr>
          <w:p>
            <w:pPr>
              <w:spacing w:after="0"/>
              <w:rPr>
                <w:sz w:val="13"/>
                <w:szCs w:val="13"/>
                <w:color w:val="auto"/>
              </w:rPr>
            </w:pPr>
          </w:p>
        </w:tc>
        <w:tc>
          <w:tcPr>
            <w:tcW w:w="6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Borders>
              <w:bottom w:val="single" w:sz="8" w:color="D5EEEE"/>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200" w:type="dxa"/>
            <w:vAlign w:val="bottom"/>
            <w:tcBorders>
              <w:bottom w:val="single" w:sz="8" w:color="D5EEEE"/>
            </w:tcBorders>
          </w:tcPr>
          <w:p>
            <w:pPr>
              <w:spacing w:after="0"/>
              <w:rPr>
                <w:sz w:val="13"/>
                <w:szCs w:val="13"/>
                <w:color w:val="auto"/>
              </w:rPr>
            </w:pPr>
          </w:p>
        </w:tc>
        <w:tc>
          <w:tcPr>
            <w:tcW w:w="7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Borders>
              <w:bottom w:val="single" w:sz="8" w:color="D5EEEE"/>
            </w:tcBorders>
          </w:tcPr>
          <w:p>
            <w:pPr>
              <w:spacing w:after="0"/>
              <w:rPr>
                <w:sz w:val="13"/>
                <w:szCs w:val="13"/>
                <w:color w:val="auto"/>
              </w:rPr>
            </w:pPr>
          </w:p>
        </w:tc>
        <w:tc>
          <w:tcPr>
            <w:tcW w:w="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80" w:type="dxa"/>
            <w:vAlign w:val="bottom"/>
            <w:tcBorders>
              <w:bottom w:val="single" w:sz="8" w:color="D5EEEE"/>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00" w:type="dxa"/>
            <w:vAlign w:val="bottom"/>
            <w:tcBorders>
              <w:bottom w:val="single" w:sz="8" w:color="D5EEEE"/>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Borders>
              <w:bottom w:val="single" w:sz="8" w:color="D5EEEE"/>
            </w:tcBorders>
          </w:tcPr>
          <w:p>
            <w:pPr>
              <w:spacing w:after="0"/>
              <w:rPr>
                <w:sz w:val="13"/>
                <w:szCs w:val="13"/>
                <w:color w:val="auto"/>
              </w:rPr>
            </w:pPr>
          </w:p>
        </w:tc>
        <w:tc>
          <w:tcPr>
            <w:tcW w:w="80" w:type="dxa"/>
            <w:vAlign w:val="bottom"/>
            <w:tcBorders>
              <w:bottom w:val="single" w:sz="8" w:color="D5EEEE"/>
            </w:tcBorders>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220" w:type="dxa"/>
            <w:vAlign w:val="bottom"/>
            <w:tcBorders>
              <w:bottom w:val="single" w:sz="8" w:color="D5EEEE"/>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tcBorders>
              <w:bottom w:val="single" w:sz="8" w:color="D5EEEE"/>
            </w:tcBorders>
          </w:tcPr>
          <w:p>
            <w:pPr>
              <w:spacing w:after="0"/>
              <w:rPr>
                <w:sz w:val="13"/>
                <w:szCs w:val="13"/>
                <w:color w:val="auto"/>
              </w:rPr>
            </w:pPr>
          </w:p>
        </w:tc>
      </w:tr>
      <w:tr>
        <w:trPr>
          <w:trHeight w:val="193"/>
        </w:trPr>
        <w:tc>
          <w:tcPr>
            <w:tcW w:w="336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5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5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D5EEEE"/>
          </w:tcPr>
          <w:p>
            <w:pPr>
              <w:spacing w:after="0"/>
              <w:rPr>
                <w:sz w:val="16"/>
                <w:szCs w:val="16"/>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6"/>
                <w:szCs w:val="16"/>
                <w:color w:val="auto"/>
              </w:rPr>
            </w:pPr>
          </w:p>
        </w:tc>
        <w:tc>
          <w:tcPr>
            <w:tcW w:w="140" w:type="dxa"/>
            <w:vAlign w:val="bottom"/>
            <w:shd w:val="clear" w:color="auto" w:fill="D5EEEE"/>
          </w:tcPr>
          <w:p>
            <w:pPr>
              <w:spacing w:after="0"/>
              <w:rPr>
                <w:sz w:val="16"/>
                <w:szCs w:val="16"/>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6"/>
                <w:szCs w:val="16"/>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1,084,509</w:t>
            </w:r>
          </w:p>
        </w:tc>
        <w:tc>
          <w:tcPr>
            <w:tcW w:w="180" w:type="dxa"/>
            <w:vAlign w:val="bottom"/>
            <w:shd w:val="clear" w:color="auto" w:fill="D5EEEE"/>
          </w:tcPr>
          <w:p>
            <w:pPr>
              <w:spacing w:after="0"/>
              <w:rPr>
                <w:sz w:val="16"/>
                <w:szCs w:val="16"/>
                <w:color w:val="auto"/>
              </w:rPr>
            </w:pPr>
          </w:p>
        </w:tc>
        <w:tc>
          <w:tcPr>
            <w:tcW w:w="280" w:type="dxa"/>
            <w:vAlign w:val="bottom"/>
            <w:shd w:val="clear" w:color="auto" w:fill="D5EEEE"/>
          </w:tcPr>
          <w:p>
            <w:pPr>
              <w:spacing w:after="0"/>
              <w:rPr>
                <w:sz w:val="16"/>
                <w:szCs w:val="16"/>
                <w:color w:val="auto"/>
              </w:rPr>
            </w:pPr>
          </w:p>
        </w:tc>
        <w:tc>
          <w:tcPr>
            <w:tcW w:w="260" w:type="dxa"/>
            <w:vAlign w:val="bottom"/>
            <w:shd w:val="clear" w:color="auto" w:fill="D5EEEE"/>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288,036</w:t>
            </w:r>
          </w:p>
        </w:tc>
        <w:tc>
          <w:tcPr>
            <w:tcW w:w="200" w:type="dxa"/>
            <w:vAlign w:val="bottom"/>
            <w:shd w:val="clear" w:color="auto" w:fill="D5EEEE"/>
          </w:tcPr>
          <w:p>
            <w:pPr>
              <w:spacing w:after="0"/>
              <w:rPr>
                <w:sz w:val="16"/>
                <w:szCs w:val="16"/>
                <w:color w:val="auto"/>
              </w:rPr>
            </w:pPr>
          </w:p>
        </w:tc>
        <w:tc>
          <w:tcPr>
            <w:tcW w:w="160" w:type="dxa"/>
            <w:vAlign w:val="bottom"/>
            <w:shd w:val="clear" w:color="auto" w:fill="D5EEEE"/>
          </w:tcPr>
          <w:p>
            <w:pPr>
              <w:spacing w:after="0"/>
              <w:rPr>
                <w:sz w:val="16"/>
                <w:szCs w:val="16"/>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(256,085)</w:t>
            </w:r>
          </w:p>
        </w:tc>
        <w:tc>
          <w:tcPr>
            <w:tcW w:w="120" w:type="dxa"/>
            <w:vAlign w:val="bottom"/>
            <w:shd w:val="clear" w:color="auto" w:fill="D5EEEE"/>
          </w:tcPr>
          <w:p>
            <w:pPr>
              <w:spacing w:after="0"/>
              <w:rPr>
                <w:sz w:val="16"/>
                <w:szCs w:val="16"/>
                <w:color w:val="auto"/>
              </w:rPr>
            </w:pPr>
          </w:p>
        </w:tc>
        <w:tc>
          <w:tcPr>
            <w:tcW w:w="8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20" w:type="dxa"/>
            <w:vAlign w:val="bottom"/>
            <w:shd w:val="clear" w:color="auto" w:fill="D5EEEE"/>
          </w:tcPr>
          <w:p>
            <w:pPr>
              <w:spacing w:after="0"/>
              <w:rPr>
                <w:sz w:val="16"/>
                <w:szCs w:val="16"/>
                <w:color w:val="auto"/>
              </w:rPr>
            </w:pPr>
          </w:p>
        </w:tc>
        <w:tc>
          <w:tcPr>
            <w:tcW w:w="140" w:type="dxa"/>
            <w:vAlign w:val="bottom"/>
            <w:shd w:val="clear" w:color="auto" w:fill="D5EEEE"/>
          </w:tcPr>
          <w:p>
            <w:pPr>
              <w:spacing w:after="0"/>
              <w:rPr>
                <w:sz w:val="16"/>
                <w:szCs w:val="16"/>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32,331</w:t>
            </w:r>
          </w:p>
        </w:tc>
        <w:tc>
          <w:tcPr>
            <w:tcW w:w="80" w:type="dxa"/>
            <w:vAlign w:val="bottom"/>
            <w:shd w:val="clear" w:color="auto" w:fill="D5EEEE"/>
          </w:tcPr>
          <w:p>
            <w:pPr>
              <w:spacing w:after="0"/>
              <w:rPr>
                <w:sz w:val="16"/>
                <w:szCs w:val="16"/>
                <w:color w:val="auto"/>
              </w:rPr>
            </w:pPr>
          </w:p>
        </w:tc>
      </w:tr>
      <w:tr>
        <w:trPr>
          <w:trHeight w:val="198"/>
        </w:trPr>
        <w:tc>
          <w:tcPr>
            <w:tcW w:w="3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80" w:type="dxa"/>
            <w:vAlign w:val="bottom"/>
          </w:tcPr>
          <w:p>
            <w:pPr>
              <w:spacing w:after="0"/>
              <w:rPr>
                <w:sz w:val="17"/>
                <w:szCs w:val="17"/>
                <w:color w:val="auto"/>
              </w:rPr>
            </w:pPr>
          </w:p>
        </w:tc>
      </w:tr>
      <w:tr>
        <w:trPr>
          <w:trHeight w:val="183"/>
        </w:trPr>
        <w:tc>
          <w:tcPr>
            <w:tcW w:w="3360" w:type="dxa"/>
            <w:vAlign w:val="bottom"/>
            <w:shd w:val="clear" w:color="auto" w:fill="D5EEEE"/>
          </w:tcPr>
          <w:p>
            <w:pPr>
              <w:ind w:left="200"/>
              <w:spacing w:after="0" w:line="183"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52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52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5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58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74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280" w:type="dxa"/>
            <w:vAlign w:val="bottom"/>
            <w:shd w:val="clear" w:color="auto" w:fill="D5EEEE"/>
          </w:tcPr>
          <w:p>
            <w:pPr>
              <w:spacing w:after="0"/>
              <w:rPr>
                <w:sz w:val="15"/>
                <w:szCs w:val="15"/>
                <w:color w:val="auto"/>
              </w:rPr>
            </w:pPr>
          </w:p>
        </w:tc>
        <w:tc>
          <w:tcPr>
            <w:tcW w:w="2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16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22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r>
      <w:tr>
        <w:trPr>
          <w:trHeight w:val="199"/>
        </w:trPr>
        <w:tc>
          <w:tcPr>
            <w:tcW w:w="3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720" w:type="dxa"/>
            <w:vAlign w:val="bottom"/>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5EEEE"/>
          </w:tcPr>
          <w:p>
            <w:pPr>
              <w:spacing w:after="0"/>
              <w:rPr>
                <w:sz w:val="17"/>
                <w:szCs w:val="17"/>
                <w:color w:val="auto"/>
              </w:rPr>
            </w:pPr>
          </w:p>
        </w:tc>
        <w:tc>
          <w:tcPr>
            <w:tcW w:w="720" w:type="dxa"/>
            <w:vAlign w:val="bottom"/>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6,828</w:t>
            </w:r>
          </w:p>
        </w:tc>
        <w:tc>
          <w:tcPr>
            <w:tcW w:w="18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440" w:type="dxa"/>
            <w:vAlign w:val="bottom"/>
            <w:gridSpan w:val="2"/>
            <w:shd w:val="clear" w:color="auto" w:fill="D5EEEE"/>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8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880" w:type="dxa"/>
            <w:vAlign w:val="bottom"/>
            <w:gridSpan w:val="2"/>
            <w:shd w:val="clear" w:color="auto" w:fill="D5EEEE"/>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D5EEEE"/>
          </w:tcPr>
          <w:p>
            <w:pPr>
              <w:spacing w:after="0"/>
              <w:rPr>
                <w:sz w:val="17"/>
                <w:szCs w:val="17"/>
                <w:color w:val="auto"/>
              </w:rPr>
            </w:pPr>
          </w:p>
        </w:tc>
      </w:tr>
      <w:tr>
        <w:trPr>
          <w:trHeight w:val="183"/>
        </w:trPr>
        <w:tc>
          <w:tcPr>
            <w:tcW w:w="3360" w:type="dxa"/>
            <w:vAlign w:val="bottom"/>
          </w:tcPr>
          <w:p>
            <w:pPr>
              <w:ind w:left="200"/>
              <w:spacing w:after="0" w:line="183" w:lineRule="exact"/>
              <w:rPr>
                <w:sz w:val="20"/>
                <w:szCs w:val="20"/>
                <w:color w:val="auto"/>
              </w:rPr>
            </w:pPr>
            <w:r>
              <w:rPr>
                <w:rFonts w:ascii="Times New Roman" w:cs="Times New Roman" w:eastAsia="Times New Roman" w:hAnsi="Times New Roman"/>
                <w:sz w:val="16"/>
                <w:szCs w:val="16"/>
                <w:color w:val="auto"/>
              </w:rPr>
              <w:t>Issuance of preferred and common stock in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9"/>
        </w:trPr>
        <w:tc>
          <w:tcPr>
            <w:tcW w:w="3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connection with an Asset Purchase Agreement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62,594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80" w:type="dxa"/>
            <w:vAlign w:val="bottom"/>
          </w:tcPr>
          <w:p>
            <w:pPr>
              <w:spacing w:after="0"/>
              <w:rPr>
                <w:sz w:val="17"/>
                <w:szCs w:val="17"/>
                <w:color w:val="auto"/>
              </w:rPr>
            </w:pPr>
          </w:p>
        </w:tc>
      </w:tr>
      <w:tr>
        <w:trPr>
          <w:trHeight w:val="183"/>
        </w:trPr>
        <w:tc>
          <w:tcPr>
            <w:tcW w:w="3360" w:type="dxa"/>
            <w:vAlign w:val="bottom"/>
            <w:shd w:val="clear" w:color="auto" w:fill="D5EEEE"/>
          </w:tcPr>
          <w:p>
            <w:pPr>
              <w:ind w:left="200"/>
              <w:spacing w:after="0" w:line="183" w:lineRule="exact"/>
              <w:rPr>
                <w:sz w:val="20"/>
                <w:szCs w:val="20"/>
                <w:color w:val="auto"/>
              </w:rPr>
            </w:pPr>
            <w:r>
              <w:rPr>
                <w:rFonts w:ascii="Times New Roman" w:cs="Times New Roman" w:eastAsia="Times New Roman" w:hAnsi="Times New Roman"/>
                <w:sz w:val="16"/>
                <w:szCs w:val="16"/>
                <w:color w:val="auto"/>
              </w:rPr>
              <w:t>Round-up shares from the 1-for-25 reverse</w:t>
            </w:r>
          </w:p>
        </w:tc>
        <w:tc>
          <w:tcPr>
            <w:tcW w:w="52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52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5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58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74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280" w:type="dxa"/>
            <w:vAlign w:val="bottom"/>
            <w:shd w:val="clear" w:color="auto" w:fill="D5EEEE"/>
          </w:tcPr>
          <w:p>
            <w:pPr>
              <w:spacing w:after="0"/>
              <w:rPr>
                <w:sz w:val="15"/>
                <w:szCs w:val="15"/>
                <w:color w:val="auto"/>
              </w:rPr>
            </w:pPr>
          </w:p>
        </w:tc>
        <w:tc>
          <w:tcPr>
            <w:tcW w:w="2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16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22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r>
      <w:tr>
        <w:trPr>
          <w:trHeight w:val="199"/>
        </w:trPr>
        <w:tc>
          <w:tcPr>
            <w:tcW w:w="3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split effective August 29, 2024</w:t>
            </w:r>
          </w:p>
        </w:tc>
        <w:tc>
          <w:tcPr>
            <w:tcW w:w="720" w:type="dxa"/>
            <w:vAlign w:val="bottom"/>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5EEEE"/>
          </w:tcPr>
          <w:p>
            <w:pPr>
              <w:spacing w:after="0"/>
              <w:rPr>
                <w:sz w:val="17"/>
                <w:szCs w:val="17"/>
                <w:color w:val="auto"/>
              </w:rPr>
            </w:pPr>
          </w:p>
        </w:tc>
        <w:tc>
          <w:tcPr>
            <w:tcW w:w="720" w:type="dxa"/>
            <w:vAlign w:val="bottom"/>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163,058</w:t>
            </w:r>
          </w:p>
        </w:tc>
        <w:tc>
          <w:tcPr>
            <w:tcW w:w="18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440" w:type="dxa"/>
            <w:vAlign w:val="bottom"/>
            <w:gridSpan w:val="2"/>
            <w:shd w:val="clear" w:color="auto" w:fill="D5EEEE"/>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8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880" w:type="dxa"/>
            <w:vAlign w:val="bottom"/>
            <w:gridSpan w:val="2"/>
            <w:shd w:val="clear" w:color="auto" w:fill="D5EEEE"/>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76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3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(283)</w:t>
            </w:r>
          </w:p>
        </w:tc>
        <w:tc>
          <w:tcPr>
            <w:tcW w:w="1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(283)</w:t>
            </w:r>
          </w:p>
        </w:tc>
      </w:tr>
      <w:tr>
        <w:trPr>
          <w:trHeight w:val="198"/>
        </w:trPr>
        <w:tc>
          <w:tcPr>
            <w:tcW w:w="3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5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5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260" w:type="dxa"/>
            <w:vAlign w:val="bottom"/>
            <w:shd w:val="clear" w:color="auto" w:fill="D5EEEE"/>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8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(21,439)</w:t>
            </w:r>
          </w:p>
        </w:tc>
        <w:tc>
          <w:tcPr>
            <w:tcW w:w="8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880" w:type="dxa"/>
            <w:vAlign w:val="bottom"/>
            <w:gridSpan w:val="2"/>
            <w:shd w:val="clear" w:color="auto" w:fill="D5EEEE"/>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76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(21,439)</w:t>
            </w:r>
          </w:p>
        </w:tc>
      </w:tr>
      <w:tr>
        <w:trPr>
          <w:trHeight w:val="233"/>
        </w:trPr>
        <w:tc>
          <w:tcPr>
            <w:tcW w:w="33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00" w:type="dxa"/>
            <w:vAlign w:val="bottom"/>
            <w:tcBorders>
              <w:bottom w:val="single" w:sz="8" w:color="D5EEEE"/>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200" w:type="dxa"/>
            <w:vAlign w:val="bottom"/>
            <w:tcBorders>
              <w:bottom w:val="single" w:sz="8" w:color="D5EEEE"/>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D5EEEE"/>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D5EEEE"/>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D5EEEE"/>
            </w:tcBorders>
          </w:tcPr>
          <w:p>
            <w:pPr>
              <w:spacing w:after="0"/>
              <w:rPr>
                <w:sz w:val="20"/>
                <w:szCs w:val="20"/>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D5EEEE"/>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1,316,989</w:t>
            </w:r>
          </w:p>
        </w:tc>
        <w:tc>
          <w:tcPr>
            <w:tcW w:w="180" w:type="dxa"/>
            <w:vAlign w:val="bottom"/>
            <w:tcBorders>
              <w:bottom w:val="single" w:sz="8" w:color="D5EEEE"/>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D5EEEE"/>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291,898</w:t>
            </w:r>
          </w:p>
        </w:tc>
        <w:tc>
          <w:tcPr>
            <w:tcW w:w="200" w:type="dxa"/>
            <w:vAlign w:val="bottom"/>
            <w:tcBorders>
              <w:bottom w:val="single" w:sz="8" w:color="D5EEEE"/>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(277,524</w:t>
            </w:r>
          </w:p>
        </w:tc>
        <w:tc>
          <w:tcPr>
            <w:tcW w:w="120" w:type="dxa"/>
            <w:vAlign w:val="bottom"/>
            <w:tcBorders>
              <w:bottom w:val="single" w:sz="8" w:color="D5EEEE"/>
            </w:tcBorders>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D5EEEE"/>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tcBorders>
              <w:bottom w:val="single" w:sz="8" w:color="D5EEEE"/>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15,831</w:t>
            </w:r>
          </w:p>
        </w:tc>
        <w:tc>
          <w:tcPr>
            <w:tcW w:w="80" w:type="dxa"/>
            <w:vAlign w:val="bottom"/>
            <w:tcBorders>
              <w:bottom w:val="single" w:sz="8" w:color="D5EEEE"/>
            </w:tcBorders>
          </w:tcPr>
          <w:p>
            <w:pPr>
              <w:spacing w:after="0"/>
              <w:rPr>
                <w:sz w:val="20"/>
                <w:szCs w:val="20"/>
                <w:color w:val="auto"/>
              </w:rPr>
            </w:pPr>
          </w:p>
        </w:tc>
      </w:tr>
      <w:tr>
        <w:trPr>
          <w:trHeight w:val="183"/>
        </w:trPr>
        <w:tc>
          <w:tcPr>
            <w:tcW w:w="3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2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52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5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58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74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280" w:type="dxa"/>
            <w:vAlign w:val="bottom"/>
            <w:shd w:val="clear" w:color="auto" w:fill="D5EEEE"/>
          </w:tcPr>
          <w:p>
            <w:pPr>
              <w:spacing w:after="0"/>
              <w:rPr>
                <w:sz w:val="15"/>
                <w:szCs w:val="15"/>
                <w:color w:val="auto"/>
              </w:rPr>
            </w:pPr>
          </w:p>
        </w:tc>
        <w:tc>
          <w:tcPr>
            <w:tcW w:w="2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200" w:type="dxa"/>
            <w:vAlign w:val="bottom"/>
            <w:shd w:val="clear" w:color="auto" w:fill="D5EEEE"/>
          </w:tcPr>
          <w:p>
            <w:pPr>
              <w:spacing w:after="0"/>
              <w:rPr>
                <w:sz w:val="15"/>
                <w:szCs w:val="15"/>
                <w:color w:val="auto"/>
              </w:rPr>
            </w:pPr>
          </w:p>
        </w:tc>
        <w:tc>
          <w:tcPr>
            <w:tcW w:w="16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22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80" w:type="dxa"/>
            <w:vAlign w:val="bottom"/>
            <w:shd w:val="clear" w:color="auto" w:fill="D5EEEE"/>
          </w:tcPr>
          <w:p>
            <w:pPr>
              <w:spacing w:after="0"/>
              <w:rPr>
                <w:sz w:val="15"/>
                <w:szCs w:val="15"/>
                <w:color w:val="auto"/>
              </w:rPr>
            </w:pPr>
          </w:p>
        </w:tc>
      </w:tr>
      <w:tr>
        <w:trPr>
          <w:trHeight w:val="183"/>
        </w:trPr>
        <w:tc>
          <w:tcPr>
            <w:tcW w:w="3360" w:type="dxa"/>
            <w:vAlign w:val="bottom"/>
          </w:tcPr>
          <w:p>
            <w:pPr>
              <w:ind w:left="200"/>
              <w:spacing w:after="0" w:line="183" w:lineRule="exact"/>
              <w:rPr>
                <w:sz w:val="20"/>
                <w:szCs w:val="20"/>
                <w:color w:val="auto"/>
              </w:rPr>
            </w:pPr>
            <w:r>
              <w:rPr>
                <w:rFonts w:ascii="Times New Roman" w:cs="Times New Roman" w:eastAsia="Times New Roman" w:hAnsi="Times New Roman"/>
                <w:sz w:val="16"/>
                <w:szCs w:val="16"/>
                <w:color w:val="auto"/>
              </w:rPr>
              <w:t>Issuance of Series B and C non-voting</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3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convertible preferred and common stock in</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3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connection with the asset acquisition of</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3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Damora Therapeutics, Inc.</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16,366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117,621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265,309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152,677</w:t>
            </w:r>
          </w:p>
        </w:tc>
        <w:tc>
          <w:tcPr>
            <w:tcW w:w="80" w:type="dxa"/>
            <w:vAlign w:val="bottom"/>
          </w:tcPr>
          <w:p>
            <w:pPr>
              <w:spacing w:after="0"/>
              <w:rPr>
                <w:sz w:val="17"/>
                <w:szCs w:val="17"/>
                <w:color w:val="auto"/>
              </w:rPr>
            </w:pPr>
          </w:p>
        </w:tc>
      </w:tr>
      <w:tr>
        <w:trPr>
          <w:trHeight w:val="183"/>
        </w:trPr>
        <w:tc>
          <w:tcPr>
            <w:tcW w:w="3360" w:type="dxa"/>
            <w:vAlign w:val="bottom"/>
            <w:shd w:val="clear" w:color="auto" w:fill="D5EEEE"/>
          </w:tcPr>
          <w:p>
            <w:pPr>
              <w:ind w:left="200"/>
              <w:spacing w:after="0" w:line="183" w:lineRule="exact"/>
              <w:rPr>
                <w:sz w:val="20"/>
                <w:szCs w:val="20"/>
                <w:color w:val="auto"/>
              </w:rPr>
            </w:pPr>
            <w:r>
              <w:rPr>
                <w:rFonts w:ascii="Times New Roman" w:cs="Times New Roman" w:eastAsia="Times New Roman" w:hAnsi="Times New Roman"/>
                <w:sz w:val="16"/>
                <w:szCs w:val="16"/>
                <w:color w:val="auto"/>
              </w:rPr>
              <w:t>Issuance of Series C non-voting convertible</w:t>
            </w:r>
          </w:p>
        </w:tc>
        <w:tc>
          <w:tcPr>
            <w:tcW w:w="52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52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5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58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74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280" w:type="dxa"/>
            <w:vAlign w:val="bottom"/>
            <w:shd w:val="clear" w:color="auto" w:fill="D5EEEE"/>
          </w:tcPr>
          <w:p>
            <w:pPr>
              <w:spacing w:after="0"/>
              <w:rPr>
                <w:sz w:val="15"/>
                <w:szCs w:val="15"/>
                <w:color w:val="auto"/>
              </w:rPr>
            </w:pPr>
          </w:p>
        </w:tc>
        <w:tc>
          <w:tcPr>
            <w:tcW w:w="2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16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22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r>
      <w:tr>
        <w:trPr>
          <w:trHeight w:val="184"/>
        </w:trPr>
        <w:tc>
          <w:tcPr>
            <w:tcW w:w="3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preferred stock in connection with private</w:t>
            </w:r>
          </w:p>
        </w:tc>
        <w:tc>
          <w:tcPr>
            <w:tcW w:w="52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52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140" w:type="dxa"/>
            <w:vAlign w:val="bottom"/>
            <w:shd w:val="clear" w:color="auto" w:fill="D5EEEE"/>
          </w:tcPr>
          <w:p>
            <w:pPr>
              <w:spacing w:after="0"/>
              <w:rPr>
                <w:sz w:val="16"/>
                <w:szCs w:val="16"/>
                <w:color w:val="auto"/>
              </w:rPr>
            </w:pPr>
          </w:p>
        </w:tc>
        <w:tc>
          <w:tcPr>
            <w:tcW w:w="56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2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58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74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280" w:type="dxa"/>
            <w:vAlign w:val="bottom"/>
            <w:shd w:val="clear" w:color="auto" w:fill="D5EEEE"/>
          </w:tcPr>
          <w:p>
            <w:pPr>
              <w:spacing w:after="0"/>
              <w:rPr>
                <w:sz w:val="16"/>
                <w:szCs w:val="16"/>
                <w:color w:val="auto"/>
              </w:rPr>
            </w:pPr>
          </w:p>
        </w:tc>
        <w:tc>
          <w:tcPr>
            <w:tcW w:w="26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680" w:type="dxa"/>
            <w:vAlign w:val="bottom"/>
            <w:shd w:val="clear" w:color="auto" w:fill="D5EEEE"/>
          </w:tcPr>
          <w:p>
            <w:pPr>
              <w:spacing w:after="0"/>
              <w:rPr>
                <w:sz w:val="16"/>
                <w:szCs w:val="16"/>
                <w:color w:val="auto"/>
              </w:rPr>
            </w:pPr>
          </w:p>
        </w:tc>
        <w:tc>
          <w:tcPr>
            <w:tcW w:w="200" w:type="dxa"/>
            <w:vAlign w:val="bottom"/>
            <w:shd w:val="clear" w:color="auto" w:fill="D5EEEE"/>
          </w:tcPr>
          <w:p>
            <w:pPr>
              <w:spacing w:after="0"/>
              <w:rPr>
                <w:sz w:val="16"/>
                <w:szCs w:val="16"/>
                <w:color w:val="auto"/>
              </w:rPr>
            </w:pPr>
          </w:p>
        </w:tc>
        <w:tc>
          <w:tcPr>
            <w:tcW w:w="16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c>
          <w:tcPr>
            <w:tcW w:w="120" w:type="dxa"/>
            <w:vAlign w:val="bottom"/>
            <w:shd w:val="clear" w:color="auto" w:fill="D5EEEE"/>
          </w:tcPr>
          <w:p>
            <w:pPr>
              <w:spacing w:after="0"/>
              <w:rPr>
                <w:sz w:val="16"/>
                <w:szCs w:val="16"/>
                <w:color w:val="auto"/>
              </w:rPr>
            </w:pPr>
          </w:p>
        </w:tc>
        <w:tc>
          <w:tcPr>
            <w:tcW w:w="80" w:type="dxa"/>
            <w:vAlign w:val="bottom"/>
            <w:shd w:val="clear" w:color="auto" w:fill="D5EEEE"/>
          </w:tcPr>
          <w:p>
            <w:pPr>
              <w:spacing w:after="0"/>
              <w:rPr>
                <w:sz w:val="16"/>
                <w:szCs w:val="16"/>
                <w:color w:val="auto"/>
              </w:rPr>
            </w:pPr>
          </w:p>
        </w:tc>
        <w:tc>
          <w:tcPr>
            <w:tcW w:w="180" w:type="dxa"/>
            <w:vAlign w:val="bottom"/>
            <w:shd w:val="clear" w:color="auto" w:fill="D5EEEE"/>
          </w:tcPr>
          <w:p>
            <w:pPr>
              <w:spacing w:after="0"/>
              <w:rPr>
                <w:sz w:val="16"/>
                <w:szCs w:val="16"/>
                <w:color w:val="auto"/>
              </w:rPr>
            </w:pPr>
          </w:p>
        </w:tc>
        <w:tc>
          <w:tcPr>
            <w:tcW w:w="660" w:type="dxa"/>
            <w:vAlign w:val="bottom"/>
            <w:shd w:val="clear" w:color="auto" w:fill="D5EEEE"/>
          </w:tcPr>
          <w:p>
            <w:pPr>
              <w:spacing w:after="0"/>
              <w:rPr>
                <w:sz w:val="16"/>
                <w:szCs w:val="16"/>
                <w:color w:val="auto"/>
              </w:rPr>
            </w:pPr>
          </w:p>
        </w:tc>
        <w:tc>
          <w:tcPr>
            <w:tcW w:w="220" w:type="dxa"/>
            <w:vAlign w:val="bottom"/>
            <w:shd w:val="clear" w:color="auto" w:fill="D5EEEE"/>
          </w:tcPr>
          <w:p>
            <w:pPr>
              <w:spacing w:after="0"/>
              <w:rPr>
                <w:sz w:val="16"/>
                <w:szCs w:val="16"/>
                <w:color w:val="auto"/>
              </w:rPr>
            </w:pPr>
          </w:p>
        </w:tc>
        <w:tc>
          <w:tcPr>
            <w:tcW w:w="140" w:type="dxa"/>
            <w:vAlign w:val="bottom"/>
            <w:shd w:val="clear" w:color="auto" w:fill="D5EEEE"/>
          </w:tcPr>
          <w:p>
            <w:pPr>
              <w:spacing w:after="0"/>
              <w:rPr>
                <w:sz w:val="16"/>
                <w:szCs w:val="16"/>
                <w:color w:val="auto"/>
              </w:rPr>
            </w:pPr>
          </w:p>
        </w:tc>
        <w:tc>
          <w:tcPr>
            <w:tcW w:w="680" w:type="dxa"/>
            <w:vAlign w:val="bottom"/>
            <w:shd w:val="clear" w:color="auto" w:fill="D5EEEE"/>
          </w:tcPr>
          <w:p>
            <w:pPr>
              <w:spacing w:after="0"/>
              <w:rPr>
                <w:sz w:val="16"/>
                <w:szCs w:val="16"/>
                <w:color w:val="auto"/>
              </w:rPr>
            </w:pPr>
          </w:p>
        </w:tc>
        <w:tc>
          <w:tcPr>
            <w:tcW w:w="80" w:type="dxa"/>
            <w:vAlign w:val="bottom"/>
            <w:shd w:val="clear" w:color="auto" w:fill="D5EEEE"/>
          </w:tcPr>
          <w:p>
            <w:pPr>
              <w:spacing w:after="0"/>
              <w:rPr>
                <w:sz w:val="16"/>
                <w:szCs w:val="16"/>
                <w:color w:val="auto"/>
              </w:rPr>
            </w:pPr>
          </w:p>
        </w:tc>
      </w:tr>
      <w:tr>
        <w:trPr>
          <w:trHeight w:val="199"/>
        </w:trPr>
        <w:tc>
          <w:tcPr>
            <w:tcW w:w="3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placement, net of issuance costs</w:t>
            </w:r>
          </w:p>
        </w:tc>
        <w:tc>
          <w:tcPr>
            <w:tcW w:w="720" w:type="dxa"/>
            <w:vAlign w:val="bottom"/>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5EEEE"/>
          </w:tcPr>
          <w:p>
            <w:pPr>
              <w:spacing w:after="0"/>
              <w:rPr>
                <w:sz w:val="17"/>
                <w:szCs w:val="17"/>
                <w:color w:val="auto"/>
              </w:rPr>
            </w:pPr>
          </w:p>
        </w:tc>
        <w:tc>
          <w:tcPr>
            <w:tcW w:w="720" w:type="dxa"/>
            <w:vAlign w:val="bottom"/>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39,641</w:t>
            </w:r>
          </w:p>
        </w:tc>
        <w:tc>
          <w:tcPr>
            <w:tcW w:w="20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266,811</w:t>
            </w:r>
          </w:p>
        </w:tc>
        <w:tc>
          <w:tcPr>
            <w:tcW w:w="200" w:type="dxa"/>
            <w:vAlign w:val="bottom"/>
            <w:shd w:val="clear" w:color="auto" w:fill="D5EEEE"/>
          </w:tcPr>
          <w:p>
            <w:pPr>
              <w:spacing w:after="0"/>
              <w:rPr>
                <w:sz w:val="17"/>
                <w:szCs w:val="17"/>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440" w:type="dxa"/>
            <w:vAlign w:val="bottom"/>
            <w:gridSpan w:val="2"/>
            <w:shd w:val="clear" w:color="auto" w:fill="D5EEEE"/>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8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880" w:type="dxa"/>
            <w:vAlign w:val="bottom"/>
            <w:gridSpan w:val="2"/>
            <w:shd w:val="clear" w:color="auto" w:fill="D5EEEE"/>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266,811</w:t>
            </w:r>
          </w:p>
        </w:tc>
        <w:tc>
          <w:tcPr>
            <w:tcW w:w="80" w:type="dxa"/>
            <w:vAlign w:val="bottom"/>
            <w:shd w:val="clear" w:color="auto" w:fill="D5EEEE"/>
          </w:tcPr>
          <w:p>
            <w:pPr>
              <w:spacing w:after="0"/>
              <w:rPr>
                <w:sz w:val="17"/>
                <w:szCs w:val="17"/>
                <w:color w:val="auto"/>
              </w:rPr>
            </w:pPr>
          </w:p>
        </w:tc>
      </w:tr>
      <w:tr>
        <w:trPr>
          <w:trHeight w:val="198"/>
        </w:trPr>
        <w:tc>
          <w:tcPr>
            <w:tcW w:w="3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Paramora Warrant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13,125</w:t>
            </w:r>
          </w:p>
        </w:tc>
        <w:tc>
          <w:tcPr>
            <w:tcW w:w="80" w:type="dxa"/>
            <w:vAlign w:val="bottom"/>
          </w:tcPr>
          <w:p>
            <w:pPr>
              <w:spacing w:after="0"/>
              <w:rPr>
                <w:sz w:val="17"/>
                <w:szCs w:val="17"/>
                <w:color w:val="auto"/>
              </w:rPr>
            </w:pPr>
          </w:p>
        </w:tc>
      </w:tr>
      <w:tr>
        <w:trPr>
          <w:trHeight w:val="183"/>
        </w:trPr>
        <w:tc>
          <w:tcPr>
            <w:tcW w:w="3360" w:type="dxa"/>
            <w:vAlign w:val="bottom"/>
            <w:shd w:val="clear" w:color="auto" w:fill="D5EEEE"/>
          </w:tcPr>
          <w:p>
            <w:pPr>
              <w:ind w:left="200"/>
              <w:spacing w:after="0" w:line="183" w:lineRule="exact"/>
              <w:rPr>
                <w:sz w:val="20"/>
                <w:szCs w:val="20"/>
                <w:color w:val="auto"/>
              </w:rPr>
            </w:pPr>
            <w:r>
              <w:rPr>
                <w:rFonts w:ascii="Times New Roman" w:cs="Times New Roman" w:eastAsia="Times New Roman" w:hAnsi="Times New Roman"/>
                <w:sz w:val="16"/>
                <w:szCs w:val="16"/>
                <w:color w:val="auto"/>
              </w:rPr>
              <w:t>Issuance of preferred and common stock in</w:t>
            </w:r>
          </w:p>
        </w:tc>
        <w:tc>
          <w:tcPr>
            <w:tcW w:w="52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52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5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2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58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74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280" w:type="dxa"/>
            <w:vAlign w:val="bottom"/>
            <w:shd w:val="clear" w:color="auto" w:fill="D5EEEE"/>
          </w:tcPr>
          <w:p>
            <w:pPr>
              <w:spacing w:after="0"/>
              <w:rPr>
                <w:sz w:val="15"/>
                <w:szCs w:val="15"/>
                <w:color w:val="auto"/>
              </w:rPr>
            </w:pPr>
          </w:p>
        </w:tc>
        <w:tc>
          <w:tcPr>
            <w:tcW w:w="26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16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22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80" w:type="dxa"/>
            <w:vAlign w:val="bottom"/>
            <w:shd w:val="clear" w:color="auto" w:fill="D5EEEE"/>
          </w:tcPr>
          <w:p>
            <w:pPr>
              <w:spacing w:after="0"/>
              <w:rPr>
                <w:sz w:val="15"/>
                <w:szCs w:val="15"/>
                <w:color w:val="auto"/>
              </w:rPr>
            </w:pPr>
          </w:p>
        </w:tc>
      </w:tr>
      <w:tr>
        <w:trPr>
          <w:trHeight w:val="199"/>
        </w:trPr>
        <w:tc>
          <w:tcPr>
            <w:tcW w:w="3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connection with an Asset Purchase Agreement</w:t>
            </w:r>
          </w:p>
        </w:tc>
        <w:tc>
          <w:tcPr>
            <w:tcW w:w="72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D5EEEE"/>
          </w:tcPr>
          <w:p>
            <w:pPr>
              <w:spacing w:after="0"/>
              <w:rPr>
                <w:sz w:val="17"/>
                <w:szCs w:val="17"/>
                <w:color w:val="auto"/>
              </w:rPr>
            </w:pPr>
          </w:p>
        </w:tc>
        <w:tc>
          <w:tcPr>
            <w:tcW w:w="72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2,201</w:t>
            </w:r>
          </w:p>
        </w:tc>
        <w:tc>
          <w:tcPr>
            <w:tcW w:w="18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440" w:type="dxa"/>
            <w:vAlign w:val="bottom"/>
            <w:gridSpan w:val="2"/>
            <w:shd w:val="clear" w:color="auto" w:fill="D5EEEE"/>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8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880" w:type="dxa"/>
            <w:vAlign w:val="bottom"/>
            <w:gridSpan w:val="2"/>
            <w:shd w:val="clear" w:color="auto" w:fill="D5EEEE"/>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76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3360" w:type="dxa"/>
            <w:vAlign w:val="bottom"/>
          </w:tcPr>
          <w:p>
            <w:pPr>
              <w:ind w:left="200"/>
              <w:spacing w:after="0" w:line="183"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9"/>
        </w:trPr>
        <w:tc>
          <w:tcPr>
            <w:tcW w:w="3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8,022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7"/>
                <w:szCs w:val="17"/>
                <w:color w:val="auto"/>
              </w:rPr>
            </w:pPr>
          </w:p>
        </w:tc>
      </w:tr>
      <w:tr>
        <w:trPr>
          <w:trHeight w:val="198"/>
        </w:trPr>
        <w:tc>
          <w:tcPr>
            <w:tcW w:w="3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20" w:type="dxa"/>
            <w:vAlign w:val="bottom"/>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5EEEE"/>
          </w:tcPr>
          <w:p>
            <w:pPr>
              <w:spacing w:after="0"/>
              <w:rPr>
                <w:sz w:val="17"/>
                <w:szCs w:val="17"/>
                <w:color w:val="auto"/>
              </w:rPr>
            </w:pPr>
          </w:p>
        </w:tc>
        <w:tc>
          <w:tcPr>
            <w:tcW w:w="720" w:type="dxa"/>
            <w:vAlign w:val="bottom"/>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rPr>
              <w:t>4,800</w:t>
            </w:r>
          </w:p>
        </w:tc>
        <w:tc>
          <w:tcPr>
            <w:tcW w:w="18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440" w:type="dxa"/>
            <w:vAlign w:val="bottom"/>
            <w:gridSpan w:val="2"/>
            <w:shd w:val="clear" w:color="auto" w:fill="D5EEEE"/>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8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880" w:type="dxa"/>
            <w:vAlign w:val="bottom"/>
            <w:gridSpan w:val="2"/>
            <w:shd w:val="clear" w:color="auto" w:fill="D5EEEE"/>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D5EEEE"/>
          </w:tcPr>
          <w:p>
            <w:pPr>
              <w:spacing w:after="0"/>
              <w:rPr>
                <w:sz w:val="17"/>
                <w:szCs w:val="17"/>
                <w:color w:val="auto"/>
              </w:rPr>
            </w:pPr>
          </w:p>
        </w:tc>
      </w:tr>
      <w:tr>
        <w:trPr>
          <w:trHeight w:val="198"/>
        </w:trPr>
        <w:tc>
          <w:tcPr>
            <w:tcW w:w="3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80" w:type="dxa"/>
            <w:vAlign w:val="bottom"/>
          </w:tcPr>
          <w:p>
            <w:pPr>
              <w:spacing w:after="0"/>
              <w:rPr>
                <w:sz w:val="17"/>
                <w:szCs w:val="17"/>
                <w:color w:val="auto"/>
              </w:rPr>
            </w:pPr>
          </w:p>
        </w:tc>
      </w:tr>
      <w:tr>
        <w:trPr>
          <w:trHeight w:val="198"/>
        </w:trPr>
        <w:tc>
          <w:tcPr>
            <w:tcW w:w="3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5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5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280" w:type="dxa"/>
            <w:vAlign w:val="bottom"/>
            <w:shd w:val="clear" w:color="auto" w:fill="D5EEEE"/>
          </w:tcPr>
          <w:p>
            <w:pPr>
              <w:spacing w:after="0"/>
              <w:rPr>
                <w:sz w:val="17"/>
                <w:szCs w:val="17"/>
                <w:color w:val="auto"/>
              </w:rPr>
            </w:pPr>
          </w:p>
        </w:tc>
        <w:tc>
          <w:tcPr>
            <w:tcW w:w="260" w:type="dxa"/>
            <w:vAlign w:val="bottom"/>
            <w:shd w:val="clear" w:color="auto" w:fill="D5EEEE"/>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78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16"/>
                <w:szCs w:val="16"/>
                <w:color w:val="auto"/>
              </w:rPr>
              <w:t>(209,839)</w:t>
            </w:r>
          </w:p>
        </w:tc>
        <w:tc>
          <w:tcPr>
            <w:tcW w:w="8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880" w:type="dxa"/>
            <w:vAlign w:val="bottom"/>
            <w:gridSpan w:val="2"/>
            <w:shd w:val="clear" w:color="auto" w:fill="D5EEEE"/>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76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6"/>
                <w:szCs w:val="16"/>
                <w:color w:val="auto"/>
              </w:rPr>
              <w:t>(209,839)</w:t>
            </w:r>
          </w:p>
        </w:tc>
      </w:tr>
      <w:tr>
        <w:trPr>
          <w:trHeight w:val="19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20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16,366</w:t>
            </w:r>
          </w:p>
        </w:tc>
        <w:tc>
          <w:tcPr>
            <w:tcW w:w="1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117,621</w:t>
            </w:r>
          </w:p>
        </w:tc>
        <w:tc>
          <w:tcPr>
            <w:tcW w:w="1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43,882</w:t>
            </w:r>
          </w:p>
        </w:tc>
        <w:tc>
          <w:tcPr>
            <w:tcW w:w="20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297,291</w:t>
            </w:r>
          </w:p>
        </w:tc>
        <w:tc>
          <w:tcPr>
            <w:tcW w:w="2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1,597,321</w:t>
            </w:r>
          </w:p>
        </w:tc>
        <w:tc>
          <w:tcPr>
            <w:tcW w:w="1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310,688</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(487,363</w:t>
            </w: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240,380</w:t>
            </w:r>
          </w:p>
        </w:tc>
        <w:tc>
          <w:tcPr>
            <w:tcW w:w="80" w:type="dxa"/>
            <w:vAlign w:val="bottom"/>
          </w:tcPr>
          <w:p>
            <w:pPr>
              <w:spacing w:after="0"/>
              <w:rPr>
                <w:sz w:val="16"/>
                <w:szCs w:val="16"/>
                <w:color w:val="auto"/>
              </w:rPr>
            </w:pPr>
          </w:p>
        </w:tc>
      </w:tr>
      <w:tr>
        <w:trPr>
          <w:trHeight w:val="20"/>
        </w:trPr>
        <w:tc>
          <w:tcPr>
            <w:tcW w:w="3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3361690</wp:posOffset>
            </wp:positionH>
            <wp:positionV relativeFrom="paragraph">
              <wp:posOffset>-3925570</wp:posOffset>
            </wp:positionV>
            <wp:extent cx="57524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extLst>
                    </a:blip>
                    <a:srcRect/>
                    <a:stretch>
                      <a:fillRect/>
                    </a:stretch>
                  </pic:blipFill>
                  <pic:spPr bwMode="auto">
                    <a:xfrm>
                      <a:off x="0" y="0"/>
                      <a:ext cx="5752465" cy="38100"/>
                    </a:xfrm>
                    <a:prstGeom prst="rect">
                      <a:avLst/>
                    </a:prstGeom>
                    <a:noFill/>
                  </pic:spPr>
                </pic:pic>
              </a:graphicData>
            </a:graphic>
          </wp:anchor>
        </w:drawing>
      </w:r>
    </w:p>
    <w:p>
      <w:pPr>
        <w:spacing w:after="0" w:line="23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i w:val="1"/>
          <w:iCs w:val="1"/>
          <w:color w:val="auto"/>
        </w:rPr>
        <w:t>See accompanying notes to the consolidated financial statements.</w:t>
      </w:r>
    </w:p>
    <w:p>
      <w:pPr>
        <w:sectPr>
          <w:pgSz w:w="17280" w:h="12960" w:orient="landscape"/>
          <w:cols w:equalWidth="0" w:num="1">
            <w:col w:w="14400"/>
          </w:cols>
          <w:pgMar w:left="1440" w:top="1286"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F-6</w:t>
      </w:r>
    </w:p>
    <w:p>
      <w:pPr>
        <w:sectPr>
          <w:pgSz w:w="17280" w:h="12960" w:orient="landscape"/>
          <w:cols w:equalWidth="0" w:num="1">
            <w:col w:w="14400"/>
          </w:cols>
          <w:pgMar w:left="1440" w:top="1286" w:right="1440" w:bottom="535" w:gutter="0" w:footer="0" w:header="0"/>
          <w:type w:val="continuous"/>
        </w:sectPr>
      </w:pPr>
    </w:p>
    <w:bookmarkStart w:id="103" w:name="page104"/>
    <w:bookmarkEnd w:id="103"/>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DAMORA THERAPEUTICS,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94"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4673600</wp:posOffset>
                </wp:positionH>
                <wp:positionV relativeFrom="paragraph">
                  <wp:posOffset>0</wp:posOffset>
                </wp:positionV>
                <wp:extent cx="212979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297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pt,0pt" to="535.7pt,0pt" o:allowincell="f" strokecolor="#000000" strokeweight="0.75pt"/>
            </w:pict>
          </mc:Fallback>
        </mc:AlternateContent>
      </w:r>
    </w:p>
    <w:tbl>
      <w:tblPr>
        <w:tblLayout w:type="fixed"/>
        <w:tblInd w:w="0" w:type="dxa"/>
        <w:tblCellMar>
          <w:top w:w="0" w:type="dxa"/>
          <w:left w:w="0" w:type="dxa"/>
          <w:bottom w:w="0" w:type="dxa"/>
          <w:right w:w="0" w:type="dxa"/>
        </w:tblCellMar>
      </w:tblPr>
      <w:tr>
        <w:trPr>
          <w:trHeight w:val="196"/>
        </w:trPr>
        <w:tc>
          <w:tcPr>
            <w:tcW w:w="724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5EEEE"/>
            </w:tcBorders>
          </w:tcPr>
          <w:p>
            <w:pPr>
              <w:spacing w:after="0"/>
              <w:rPr>
                <w:sz w:val="17"/>
                <w:szCs w:val="17"/>
                <w:color w:val="auto"/>
              </w:rPr>
            </w:pPr>
          </w:p>
        </w:tc>
      </w:tr>
      <w:tr>
        <w:trPr>
          <w:trHeight w:val="239"/>
        </w:trPr>
        <w:tc>
          <w:tcPr>
            <w:tcW w:w="72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Cash flows from operating activities</w:t>
            </w:r>
          </w:p>
        </w:tc>
        <w:tc>
          <w:tcPr>
            <w:tcW w:w="120" w:type="dxa"/>
            <w:vAlign w:val="bottom"/>
            <w:shd w:val="clear" w:color="auto" w:fill="D5EEEE"/>
          </w:tcPr>
          <w:p>
            <w:pPr>
              <w:spacing w:after="0"/>
              <w:rPr>
                <w:sz w:val="20"/>
                <w:szCs w:val="20"/>
                <w:color w:val="auto"/>
              </w:rPr>
            </w:pPr>
          </w:p>
        </w:tc>
        <w:tc>
          <w:tcPr>
            <w:tcW w:w="360" w:type="dxa"/>
            <w:vAlign w:val="bottom"/>
            <w:shd w:val="clear" w:color="auto" w:fill="D5EEEE"/>
          </w:tcPr>
          <w:p>
            <w:pPr>
              <w:spacing w:after="0"/>
              <w:rPr>
                <w:sz w:val="20"/>
                <w:szCs w:val="20"/>
                <w:color w:val="auto"/>
              </w:rPr>
            </w:pPr>
          </w:p>
        </w:tc>
        <w:tc>
          <w:tcPr>
            <w:tcW w:w="118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120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r>
      <w:tr>
        <w:trPr>
          <w:trHeight w:val="244"/>
        </w:trPr>
        <w:tc>
          <w:tcPr>
            <w:tcW w:w="7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120" w:type="dxa"/>
            <w:vAlign w:val="bottom"/>
          </w:tcPr>
          <w:p>
            <w:pPr>
              <w:spacing w:after="0"/>
              <w:rPr>
                <w:sz w:val="21"/>
                <w:szCs w:val="21"/>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(209,839)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(21,439)</w:t>
            </w:r>
          </w:p>
        </w:tc>
        <w:tc>
          <w:tcPr>
            <w:tcW w:w="80" w:type="dxa"/>
            <w:vAlign w:val="bottom"/>
          </w:tcPr>
          <w:p>
            <w:pPr>
              <w:spacing w:after="0"/>
              <w:rPr>
                <w:sz w:val="21"/>
                <w:szCs w:val="21"/>
                <w:color w:val="auto"/>
              </w:rPr>
            </w:pPr>
          </w:p>
        </w:tc>
      </w:tr>
      <w:tr>
        <w:trPr>
          <w:trHeight w:val="244"/>
        </w:trPr>
        <w:tc>
          <w:tcPr>
            <w:tcW w:w="72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Adjustment to reconcile net loss to net cash used in operating activities:</w:t>
            </w:r>
          </w:p>
        </w:tc>
        <w:tc>
          <w:tcPr>
            <w:tcW w:w="1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8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20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r>
      <w:tr>
        <w:trPr>
          <w:trHeight w:val="244"/>
        </w:trPr>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Depreciation of equipment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tcPr>
          <w:p>
            <w:pPr>
              <w:spacing w:after="0"/>
              <w:rPr>
                <w:sz w:val="21"/>
                <w:szCs w:val="21"/>
                <w:color w:val="auto"/>
              </w:rPr>
            </w:pPr>
          </w:p>
        </w:tc>
      </w:tr>
      <w:tr>
        <w:trPr>
          <w:trHeight w:val="244"/>
        </w:trPr>
        <w:tc>
          <w:tcPr>
            <w:tcW w:w="724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998</w:t>
            </w: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3,239</w:t>
            </w:r>
          </w:p>
        </w:tc>
        <w:tc>
          <w:tcPr>
            <w:tcW w:w="80" w:type="dxa"/>
            <w:vAlign w:val="bottom"/>
            <w:shd w:val="clear" w:color="auto" w:fill="D5EEEE"/>
          </w:tcPr>
          <w:p>
            <w:pPr>
              <w:spacing w:after="0"/>
              <w:rPr>
                <w:sz w:val="21"/>
                <w:szCs w:val="21"/>
                <w:color w:val="auto"/>
              </w:rPr>
            </w:pPr>
          </w:p>
        </w:tc>
      </w:tr>
      <w:tr>
        <w:trPr>
          <w:trHeight w:val="244"/>
        </w:trPr>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Issuance of common stock in connection with vesting of restricted stock units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80" w:type="dxa"/>
            <w:vAlign w:val="bottom"/>
          </w:tcPr>
          <w:p>
            <w:pPr>
              <w:spacing w:after="0"/>
              <w:rPr>
                <w:sz w:val="21"/>
                <w:szCs w:val="21"/>
                <w:color w:val="auto"/>
              </w:rPr>
            </w:pPr>
          </w:p>
        </w:tc>
      </w:tr>
      <w:tr>
        <w:trPr>
          <w:trHeight w:val="225"/>
        </w:trPr>
        <w:tc>
          <w:tcPr>
            <w:tcW w:w="7240" w:type="dxa"/>
            <w:vAlign w:val="bottom"/>
            <w:shd w:val="clear" w:color="auto" w:fill="D5EEEE"/>
          </w:tcPr>
          <w:p>
            <w:pPr>
              <w:ind w:left="400"/>
              <w:spacing w:after="0" w:line="225" w:lineRule="exact"/>
              <w:rPr>
                <w:sz w:val="20"/>
                <w:szCs w:val="20"/>
                <w:color w:val="auto"/>
              </w:rPr>
            </w:pPr>
            <w:r>
              <w:rPr>
                <w:rFonts w:ascii="Times New Roman" w:cs="Times New Roman" w:eastAsia="Times New Roman" w:hAnsi="Times New Roman"/>
                <w:sz w:val="20"/>
                <w:szCs w:val="20"/>
                <w:color w:val="auto"/>
              </w:rPr>
              <w:t>Issuance of preferred and common stock in connection with an Asset Purchase</w:t>
            </w:r>
          </w:p>
        </w:tc>
        <w:tc>
          <w:tcPr>
            <w:tcW w:w="120" w:type="dxa"/>
            <w:vAlign w:val="bottom"/>
            <w:shd w:val="clear" w:color="auto" w:fill="D5EEEE"/>
          </w:tcPr>
          <w:p>
            <w:pPr>
              <w:spacing w:after="0"/>
              <w:rPr>
                <w:sz w:val="19"/>
                <w:szCs w:val="19"/>
                <w:color w:val="auto"/>
              </w:rPr>
            </w:pPr>
          </w:p>
        </w:tc>
        <w:tc>
          <w:tcPr>
            <w:tcW w:w="360" w:type="dxa"/>
            <w:vAlign w:val="bottom"/>
            <w:shd w:val="clear" w:color="auto" w:fill="D5EEEE"/>
          </w:tcPr>
          <w:p>
            <w:pPr>
              <w:spacing w:after="0"/>
              <w:rPr>
                <w:sz w:val="19"/>
                <w:szCs w:val="19"/>
                <w:color w:val="auto"/>
              </w:rPr>
            </w:pPr>
          </w:p>
        </w:tc>
        <w:tc>
          <w:tcPr>
            <w:tcW w:w="118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120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50"/>
        </w:trPr>
        <w:tc>
          <w:tcPr>
            <w:tcW w:w="7240" w:type="dxa"/>
            <w:vAlign w:val="bottom"/>
            <w:shd w:val="clear" w:color="auto" w:fill="D5EEEE"/>
          </w:tcPr>
          <w:p>
            <w:pPr>
              <w:ind w:left="660"/>
              <w:spacing w:after="0"/>
              <w:rPr>
                <w:sz w:val="20"/>
                <w:szCs w:val="20"/>
                <w:color w:val="auto"/>
              </w:rPr>
            </w:pPr>
            <w:r>
              <w:rPr>
                <w:rFonts w:ascii="Times New Roman" w:cs="Times New Roman" w:eastAsia="Times New Roman" w:hAnsi="Times New Roman"/>
                <w:sz w:val="20"/>
                <w:szCs w:val="20"/>
                <w:color w:val="auto"/>
              </w:rPr>
              <w:t>Agreement</w:t>
            </w:r>
          </w:p>
        </w:tc>
        <w:tc>
          <w:tcPr>
            <w:tcW w:w="1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36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1,890</w:t>
            </w:r>
          </w:p>
        </w:tc>
        <w:tc>
          <w:tcPr>
            <w:tcW w:w="80" w:type="dxa"/>
            <w:vAlign w:val="bottom"/>
            <w:shd w:val="clear" w:color="auto" w:fill="D5EEEE"/>
          </w:tcPr>
          <w:p>
            <w:pPr>
              <w:spacing w:after="0"/>
              <w:rPr>
                <w:sz w:val="21"/>
                <w:szCs w:val="21"/>
                <w:color w:val="auto"/>
              </w:rPr>
            </w:pPr>
          </w:p>
        </w:tc>
      </w:tr>
      <w:tr>
        <w:trPr>
          <w:trHeight w:val="224"/>
        </w:trPr>
        <w:tc>
          <w:tcPr>
            <w:tcW w:w="7240" w:type="dxa"/>
            <w:vAlign w:val="bottom"/>
          </w:tcPr>
          <w:p>
            <w:pPr>
              <w:ind w:left="400"/>
              <w:spacing w:after="0" w:line="225" w:lineRule="exact"/>
              <w:rPr>
                <w:sz w:val="20"/>
                <w:szCs w:val="20"/>
                <w:color w:val="auto"/>
              </w:rPr>
            </w:pPr>
            <w:r>
              <w:rPr>
                <w:rFonts w:ascii="Times New Roman" w:cs="Times New Roman" w:eastAsia="Times New Roman" w:hAnsi="Times New Roman"/>
                <w:sz w:val="20"/>
                <w:szCs w:val="20"/>
                <w:color w:val="auto"/>
              </w:rPr>
              <w:t>In-process research and development costs in connection with Damora Asset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Acquisition</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174,310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24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Issuance of Paramora Warrant, net of cost assumed in Damora Asset Acquisition</w:t>
            </w:r>
          </w:p>
        </w:tc>
        <w:tc>
          <w:tcPr>
            <w:tcW w:w="1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9,362</w:t>
            </w: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28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Amortization of premiums and discounts on marketable securities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80" w:type="dxa"/>
            <w:vAlign w:val="bottom"/>
          </w:tcPr>
          <w:p>
            <w:pPr>
              <w:spacing w:after="0"/>
              <w:rPr>
                <w:sz w:val="21"/>
                <w:szCs w:val="21"/>
                <w:color w:val="auto"/>
              </w:rPr>
            </w:pPr>
          </w:p>
        </w:tc>
      </w:tr>
      <w:tr>
        <w:trPr>
          <w:trHeight w:val="244"/>
        </w:trPr>
        <w:tc>
          <w:tcPr>
            <w:tcW w:w="724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Amortization of right of use lease asset</w:t>
            </w:r>
          </w:p>
        </w:tc>
        <w:tc>
          <w:tcPr>
            <w:tcW w:w="1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80" w:type="dxa"/>
            <w:vAlign w:val="bottom"/>
            <w:shd w:val="clear" w:color="auto" w:fill="D5EEEE"/>
          </w:tcPr>
          <w:p>
            <w:pPr>
              <w:spacing w:after="0"/>
              <w:rPr>
                <w:sz w:val="21"/>
                <w:szCs w:val="21"/>
                <w:color w:val="auto"/>
              </w:rPr>
            </w:pPr>
          </w:p>
        </w:tc>
      </w:tr>
      <w:tr>
        <w:trPr>
          <w:trHeight w:val="244"/>
        </w:trPr>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Accretion of lease liability</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1"/>
                <w:szCs w:val="21"/>
                <w:color w:val="auto"/>
              </w:rPr>
            </w:pPr>
          </w:p>
        </w:tc>
      </w:tr>
      <w:tr>
        <w:trPr>
          <w:trHeight w:val="244"/>
        </w:trPr>
        <w:tc>
          <w:tcPr>
            <w:tcW w:w="724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8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20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r>
      <w:tr>
        <w:trPr>
          <w:trHeight w:val="244"/>
        </w:trPr>
        <w:tc>
          <w:tcPr>
            <w:tcW w:w="72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80" w:type="dxa"/>
            <w:vAlign w:val="bottom"/>
          </w:tcPr>
          <w:p>
            <w:pPr>
              <w:spacing w:after="0"/>
              <w:rPr>
                <w:sz w:val="21"/>
                <w:szCs w:val="21"/>
                <w:color w:val="auto"/>
              </w:rPr>
            </w:pPr>
          </w:p>
        </w:tc>
      </w:tr>
      <w:tr>
        <w:trPr>
          <w:trHeight w:val="244"/>
        </w:trPr>
        <w:tc>
          <w:tcPr>
            <w:tcW w:w="7240" w:type="dxa"/>
            <w:vAlign w:val="bottom"/>
            <w:shd w:val="clear" w:color="auto" w:fill="D5EEEE"/>
          </w:tcPr>
          <w:p>
            <w:pPr>
              <w:ind w:left="600"/>
              <w:spacing w:after="0"/>
              <w:rPr>
                <w:sz w:val="20"/>
                <w:szCs w:val="20"/>
                <w:color w:val="auto"/>
              </w:rPr>
            </w:pPr>
            <w:r>
              <w:rPr>
                <w:rFonts w:ascii="Times New Roman" w:cs="Times New Roman" w:eastAsia="Times New Roman" w:hAnsi="Times New Roman"/>
                <w:sz w:val="20"/>
                <w:szCs w:val="20"/>
                <w:color w:val="auto"/>
              </w:rPr>
              <w:t>Other assets, noncurrent</w:t>
            </w:r>
          </w:p>
        </w:tc>
        <w:tc>
          <w:tcPr>
            <w:tcW w:w="1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80" w:type="dxa"/>
            <w:vAlign w:val="bottom"/>
            <w:shd w:val="clear" w:color="auto" w:fill="D5EEEE"/>
          </w:tcPr>
          <w:p>
            <w:pPr>
              <w:spacing w:after="0"/>
              <w:rPr>
                <w:sz w:val="21"/>
                <w:szCs w:val="21"/>
                <w:color w:val="auto"/>
              </w:rPr>
            </w:pPr>
          </w:p>
        </w:tc>
      </w:tr>
      <w:tr>
        <w:trPr>
          <w:trHeight w:val="244"/>
        </w:trPr>
        <w:tc>
          <w:tcPr>
            <w:tcW w:w="72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Accounts payable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(1,325)</w:t>
            </w:r>
          </w:p>
        </w:tc>
      </w:tr>
      <w:tr>
        <w:trPr>
          <w:trHeight w:val="244"/>
        </w:trPr>
        <w:tc>
          <w:tcPr>
            <w:tcW w:w="7240" w:type="dxa"/>
            <w:vAlign w:val="bottom"/>
            <w:shd w:val="clear" w:color="auto" w:fill="D5EEEE"/>
          </w:tcPr>
          <w:p>
            <w:pPr>
              <w:ind w:left="6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1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1,099</w:t>
            </w: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28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(3,139)</w:t>
            </w:r>
          </w:p>
        </w:tc>
      </w:tr>
      <w:tr>
        <w:trPr>
          <w:trHeight w:val="244"/>
        </w:trPr>
        <w:tc>
          <w:tcPr>
            <w:tcW w:w="72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Related party accounts payable and other current liabilities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240" w:type="dxa"/>
            <w:vAlign w:val="bottom"/>
            <w:shd w:val="clear" w:color="auto" w:fill="D5EEEE"/>
          </w:tcPr>
          <w:p>
            <w:pPr>
              <w:ind w:left="6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360" w:type="dxa"/>
            <w:vAlign w:val="bottom"/>
            <w:gridSpan w:val="2"/>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(20)</w:t>
            </w:r>
          </w:p>
        </w:tc>
        <w:tc>
          <w:tcPr>
            <w:tcW w:w="1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28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(170)</w:t>
            </w:r>
          </w:p>
        </w:tc>
      </w:tr>
      <w:tr>
        <w:trPr>
          <w:trHeight w:val="244"/>
        </w:trPr>
        <w:tc>
          <w:tcPr>
            <w:tcW w:w="72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Other liabilities, noncurrent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1"/>
                <w:szCs w:val="21"/>
                <w:color w:val="auto"/>
              </w:rPr>
            </w:pPr>
          </w:p>
        </w:tc>
      </w:tr>
      <w:tr>
        <w:trPr>
          <w:trHeight w:val="239"/>
        </w:trPr>
        <w:tc>
          <w:tcPr>
            <w:tcW w:w="7240" w:type="dxa"/>
            <w:vAlign w:val="bottom"/>
            <w:tcBorders>
              <w:top w:val="single" w:sz="8" w:color="D5EEEE"/>
            </w:tcBorders>
            <w:shd w:val="clear" w:color="auto" w:fill="D5EEEE"/>
          </w:tcPr>
          <w:p>
            <w:pPr>
              <w:ind w:left="800"/>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120" w:type="dxa"/>
            <w:vAlign w:val="bottom"/>
            <w:tcBorders>
              <w:top w:val="single" w:sz="8" w:color="D5EEEE"/>
            </w:tcBorders>
            <w:shd w:val="clear" w:color="auto" w:fill="D5EEEE"/>
          </w:tcPr>
          <w:p>
            <w:pPr>
              <w:spacing w:after="0"/>
              <w:rPr>
                <w:sz w:val="20"/>
                <w:szCs w:val="20"/>
                <w:color w:val="auto"/>
              </w:rPr>
            </w:pPr>
          </w:p>
        </w:tc>
        <w:tc>
          <w:tcPr>
            <w:tcW w:w="360" w:type="dxa"/>
            <w:vAlign w:val="bottom"/>
            <w:tcBorders>
              <w:top w:val="single" w:sz="8" w:color="auto"/>
              <w:bottom w:val="single" w:sz="8" w:color="auto"/>
            </w:tcBorders>
            <w:shd w:val="clear" w:color="auto" w:fill="D5EEEE"/>
          </w:tcPr>
          <w:p>
            <w:pPr>
              <w:spacing w:after="0"/>
              <w:rPr>
                <w:sz w:val="20"/>
                <w:szCs w:val="20"/>
                <w:color w:val="auto"/>
              </w:rPr>
            </w:pPr>
          </w:p>
        </w:tc>
        <w:tc>
          <w:tcPr>
            <w:tcW w:w="11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(6,726)</w:t>
            </w:r>
          </w:p>
        </w:tc>
        <w:tc>
          <w:tcPr>
            <w:tcW w:w="18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D5EEEE"/>
            </w:tcBorders>
            <w:shd w:val="clear" w:color="auto" w:fill="D5EEEE"/>
          </w:tcPr>
          <w:p>
            <w:pPr>
              <w:spacing w:after="0"/>
              <w:rPr>
                <w:sz w:val="20"/>
                <w:szCs w:val="20"/>
                <w:color w:val="auto"/>
              </w:rPr>
            </w:pPr>
          </w:p>
        </w:tc>
        <w:tc>
          <w:tcPr>
            <w:tcW w:w="340" w:type="dxa"/>
            <w:vAlign w:val="bottom"/>
            <w:tcBorders>
              <w:top w:val="single" w:sz="8" w:color="auto"/>
              <w:bottom w:val="single" w:sz="8" w:color="auto"/>
            </w:tcBorders>
            <w:shd w:val="clear" w:color="auto" w:fill="D5EEEE"/>
          </w:tcPr>
          <w:p>
            <w:pPr>
              <w:spacing w:after="0"/>
              <w:rPr>
                <w:sz w:val="20"/>
                <w:szCs w:val="20"/>
                <w:color w:val="auto"/>
              </w:rPr>
            </w:pPr>
          </w:p>
        </w:tc>
        <w:tc>
          <w:tcPr>
            <w:tcW w:w="12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(18,623)</w:t>
            </w:r>
          </w:p>
        </w:tc>
        <w:tc>
          <w:tcPr>
            <w:tcW w:w="80" w:type="dxa"/>
            <w:vAlign w:val="bottom"/>
            <w:tcBorders>
              <w:top w:val="single" w:sz="8" w:color="D5EEEE"/>
            </w:tcBorders>
            <w:shd w:val="clear" w:color="auto" w:fill="D5EEEE"/>
          </w:tcPr>
          <w:p>
            <w:pPr>
              <w:spacing w:after="0"/>
              <w:rPr>
                <w:sz w:val="20"/>
                <w:szCs w:val="20"/>
                <w:color w:val="auto"/>
              </w:rPr>
            </w:pPr>
          </w:p>
        </w:tc>
      </w:tr>
      <w:tr>
        <w:trPr>
          <w:trHeight w:val="239"/>
        </w:trPr>
        <w:tc>
          <w:tcPr>
            <w:tcW w:w="724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 investing activities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4"/>
        </w:trPr>
        <w:tc>
          <w:tcPr>
            <w:tcW w:w="72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Damora Asset Acquisition costs, net of cash assumed</w:t>
            </w:r>
          </w:p>
        </w:tc>
        <w:tc>
          <w:tcPr>
            <w:tcW w:w="1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360" w:type="dxa"/>
            <w:vAlign w:val="bottom"/>
            <w:gridSpan w:val="2"/>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(17,374)</w:t>
            </w:r>
          </w:p>
        </w:tc>
        <w:tc>
          <w:tcPr>
            <w:tcW w:w="1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28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sale of marketable securities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11,650</w:t>
            </w:r>
          </w:p>
        </w:tc>
        <w:tc>
          <w:tcPr>
            <w:tcW w:w="80" w:type="dxa"/>
            <w:vAlign w:val="bottom"/>
          </w:tcPr>
          <w:p>
            <w:pPr>
              <w:spacing w:after="0"/>
              <w:rPr>
                <w:sz w:val="21"/>
                <w:szCs w:val="21"/>
                <w:color w:val="auto"/>
              </w:rPr>
            </w:pPr>
          </w:p>
        </w:tc>
      </w:tr>
      <w:tr>
        <w:trPr>
          <w:trHeight w:val="239"/>
        </w:trPr>
        <w:tc>
          <w:tcPr>
            <w:tcW w:w="7240" w:type="dxa"/>
            <w:vAlign w:val="bottom"/>
            <w:tcBorders>
              <w:top w:val="single" w:sz="8" w:color="D5EEEE"/>
            </w:tcBorders>
            <w:shd w:val="clear" w:color="auto" w:fill="D5EEEE"/>
          </w:tcPr>
          <w:p>
            <w:pPr>
              <w:ind w:left="800"/>
              <w:spacing w:after="0"/>
              <w:rPr>
                <w:sz w:val="20"/>
                <w:szCs w:val="20"/>
                <w:color w:val="auto"/>
              </w:rPr>
            </w:pPr>
            <w:r>
              <w:rPr>
                <w:rFonts w:ascii="Times New Roman" w:cs="Times New Roman" w:eastAsia="Times New Roman" w:hAnsi="Times New Roman"/>
                <w:sz w:val="20"/>
                <w:szCs w:val="20"/>
                <w:color w:val="auto"/>
              </w:rPr>
              <w:t>Net cash (used in) provided by investing activities</w:t>
            </w:r>
          </w:p>
        </w:tc>
        <w:tc>
          <w:tcPr>
            <w:tcW w:w="120" w:type="dxa"/>
            <w:vAlign w:val="bottom"/>
            <w:tcBorders>
              <w:top w:val="single" w:sz="8" w:color="D5EEEE"/>
            </w:tcBorders>
            <w:shd w:val="clear" w:color="auto" w:fill="D5EEEE"/>
          </w:tcPr>
          <w:p>
            <w:pPr>
              <w:spacing w:after="0"/>
              <w:rPr>
                <w:sz w:val="20"/>
                <w:szCs w:val="20"/>
                <w:color w:val="auto"/>
              </w:rPr>
            </w:pPr>
          </w:p>
        </w:tc>
        <w:tc>
          <w:tcPr>
            <w:tcW w:w="360" w:type="dxa"/>
            <w:vAlign w:val="bottom"/>
            <w:tcBorders>
              <w:top w:val="single" w:sz="8" w:color="auto"/>
              <w:bottom w:val="single" w:sz="8" w:color="auto"/>
            </w:tcBorders>
            <w:shd w:val="clear" w:color="auto" w:fill="D5EEEE"/>
          </w:tcPr>
          <w:p>
            <w:pPr>
              <w:spacing w:after="0"/>
              <w:rPr>
                <w:sz w:val="20"/>
                <w:szCs w:val="20"/>
                <w:color w:val="auto"/>
              </w:rPr>
            </w:pPr>
          </w:p>
        </w:tc>
        <w:tc>
          <w:tcPr>
            <w:tcW w:w="11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(17,374)</w:t>
            </w:r>
          </w:p>
        </w:tc>
        <w:tc>
          <w:tcPr>
            <w:tcW w:w="18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D5EEEE"/>
            </w:tcBorders>
            <w:shd w:val="clear" w:color="auto" w:fill="D5EEEE"/>
          </w:tcPr>
          <w:p>
            <w:pPr>
              <w:spacing w:after="0"/>
              <w:rPr>
                <w:sz w:val="20"/>
                <w:szCs w:val="20"/>
                <w:color w:val="auto"/>
              </w:rPr>
            </w:pPr>
          </w:p>
        </w:tc>
        <w:tc>
          <w:tcPr>
            <w:tcW w:w="340" w:type="dxa"/>
            <w:vAlign w:val="bottom"/>
            <w:tcBorders>
              <w:top w:val="single" w:sz="8" w:color="auto"/>
              <w:bottom w:val="single" w:sz="8" w:color="auto"/>
            </w:tcBorders>
            <w:shd w:val="clear" w:color="auto" w:fill="D5EEEE"/>
          </w:tcPr>
          <w:p>
            <w:pPr>
              <w:spacing w:after="0"/>
              <w:rPr>
                <w:sz w:val="20"/>
                <w:szCs w:val="20"/>
                <w:color w:val="auto"/>
              </w:rPr>
            </w:pPr>
          </w:p>
        </w:tc>
        <w:tc>
          <w:tcPr>
            <w:tcW w:w="12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11,650</w:t>
            </w:r>
          </w:p>
        </w:tc>
        <w:tc>
          <w:tcPr>
            <w:tcW w:w="80" w:type="dxa"/>
            <w:vAlign w:val="bottom"/>
            <w:tcBorders>
              <w:top w:val="single" w:sz="8" w:color="D5EEEE"/>
            </w:tcBorders>
            <w:shd w:val="clear" w:color="auto" w:fill="D5EEEE"/>
          </w:tcPr>
          <w:p>
            <w:pPr>
              <w:spacing w:after="0"/>
              <w:rPr>
                <w:sz w:val="20"/>
                <w:szCs w:val="20"/>
                <w:color w:val="auto"/>
              </w:rPr>
            </w:pPr>
          </w:p>
        </w:tc>
      </w:tr>
      <w:tr>
        <w:trPr>
          <w:trHeight w:val="239"/>
        </w:trPr>
        <w:tc>
          <w:tcPr>
            <w:tcW w:w="724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 financing activities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5"/>
        </w:trPr>
        <w:tc>
          <w:tcPr>
            <w:tcW w:w="7240" w:type="dxa"/>
            <w:vAlign w:val="bottom"/>
            <w:shd w:val="clear" w:color="auto" w:fill="D5EEEE"/>
          </w:tcPr>
          <w:p>
            <w:pPr>
              <w:ind w:left="200"/>
              <w:spacing w:after="0" w:line="225" w:lineRule="exact"/>
              <w:rPr>
                <w:sz w:val="20"/>
                <w:szCs w:val="20"/>
                <w:color w:val="auto"/>
              </w:rPr>
            </w:pPr>
            <w:r>
              <w:rPr>
                <w:rFonts w:ascii="Times New Roman" w:cs="Times New Roman" w:eastAsia="Times New Roman" w:hAnsi="Times New Roman"/>
                <w:sz w:val="20"/>
                <w:szCs w:val="20"/>
                <w:color w:val="auto"/>
              </w:rPr>
              <w:t>Proceeds from issuance of preferred stock in connection with private placement,</w:t>
            </w:r>
          </w:p>
        </w:tc>
        <w:tc>
          <w:tcPr>
            <w:tcW w:w="120" w:type="dxa"/>
            <w:vAlign w:val="bottom"/>
            <w:shd w:val="clear" w:color="auto" w:fill="D5EEEE"/>
          </w:tcPr>
          <w:p>
            <w:pPr>
              <w:spacing w:after="0"/>
              <w:rPr>
                <w:sz w:val="19"/>
                <w:szCs w:val="19"/>
                <w:color w:val="auto"/>
              </w:rPr>
            </w:pPr>
          </w:p>
        </w:tc>
        <w:tc>
          <w:tcPr>
            <w:tcW w:w="360" w:type="dxa"/>
            <w:vAlign w:val="bottom"/>
            <w:shd w:val="clear" w:color="auto" w:fill="D5EEEE"/>
          </w:tcPr>
          <w:p>
            <w:pPr>
              <w:spacing w:after="0"/>
              <w:rPr>
                <w:sz w:val="19"/>
                <w:szCs w:val="19"/>
                <w:color w:val="auto"/>
              </w:rPr>
            </w:pPr>
          </w:p>
        </w:tc>
        <w:tc>
          <w:tcPr>
            <w:tcW w:w="118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120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49"/>
        </w:trPr>
        <w:tc>
          <w:tcPr>
            <w:tcW w:w="7240" w:type="dxa"/>
            <w:vAlign w:val="bottom"/>
            <w:shd w:val="clear" w:color="auto" w:fill="D5EEEE"/>
          </w:tcPr>
          <w:p>
            <w:pPr>
              <w:ind w:left="460"/>
              <w:spacing w:after="0"/>
              <w:rPr>
                <w:sz w:val="20"/>
                <w:szCs w:val="20"/>
                <w:color w:val="auto"/>
              </w:rPr>
            </w:pPr>
            <w:r>
              <w:rPr>
                <w:rFonts w:ascii="Times New Roman" w:cs="Times New Roman" w:eastAsia="Times New Roman" w:hAnsi="Times New Roman"/>
                <w:sz w:val="20"/>
                <w:szCs w:val="20"/>
                <w:color w:val="auto"/>
              </w:rPr>
              <w:t>net of issuance costs</w:t>
            </w:r>
          </w:p>
        </w:tc>
        <w:tc>
          <w:tcPr>
            <w:tcW w:w="12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266,811</w:t>
            </w:r>
          </w:p>
        </w:tc>
        <w:tc>
          <w:tcPr>
            <w:tcW w:w="18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340" w:type="dxa"/>
            <w:vAlign w:val="bottom"/>
            <w:shd w:val="clear" w:color="auto" w:fill="D5EEEE"/>
          </w:tcPr>
          <w:p>
            <w:pPr>
              <w:spacing w:after="0"/>
              <w:rPr>
                <w:sz w:val="21"/>
                <w:szCs w:val="21"/>
                <w:color w:val="auto"/>
              </w:rPr>
            </w:pPr>
          </w:p>
        </w:tc>
        <w:tc>
          <w:tcPr>
            <w:tcW w:w="128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issuance of common stock in connection with stock option exercise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7240" w:type="dxa"/>
            <w:vAlign w:val="bottom"/>
            <w:tcBorders>
              <w:top w:val="single" w:sz="8" w:color="D5EEEE"/>
            </w:tcBorders>
            <w:shd w:val="clear" w:color="auto" w:fill="D5EEEE"/>
          </w:tcPr>
          <w:p>
            <w:pPr>
              <w:ind w:left="800"/>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120" w:type="dxa"/>
            <w:vAlign w:val="bottom"/>
            <w:tcBorders>
              <w:top w:val="single" w:sz="8" w:color="D5EEEE"/>
            </w:tcBorders>
            <w:shd w:val="clear" w:color="auto" w:fill="D5EEEE"/>
          </w:tcPr>
          <w:p>
            <w:pPr>
              <w:spacing w:after="0"/>
              <w:rPr>
                <w:sz w:val="20"/>
                <w:szCs w:val="20"/>
                <w:color w:val="auto"/>
              </w:rPr>
            </w:pPr>
          </w:p>
        </w:tc>
        <w:tc>
          <w:tcPr>
            <w:tcW w:w="360" w:type="dxa"/>
            <w:vAlign w:val="bottom"/>
            <w:tcBorders>
              <w:top w:val="single" w:sz="8" w:color="auto"/>
              <w:bottom w:val="single" w:sz="8" w:color="auto"/>
            </w:tcBorders>
            <w:shd w:val="clear" w:color="auto" w:fill="D5EEEE"/>
          </w:tcPr>
          <w:p>
            <w:pPr>
              <w:spacing w:after="0"/>
              <w:rPr>
                <w:sz w:val="20"/>
                <w:szCs w:val="20"/>
                <w:color w:val="auto"/>
              </w:rPr>
            </w:pPr>
          </w:p>
        </w:tc>
        <w:tc>
          <w:tcPr>
            <w:tcW w:w="11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266,844</w:t>
            </w:r>
          </w:p>
        </w:tc>
        <w:tc>
          <w:tcPr>
            <w:tcW w:w="18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D5EEEE"/>
            </w:tcBorders>
            <w:shd w:val="clear" w:color="auto" w:fill="D5EEEE"/>
          </w:tcPr>
          <w:p>
            <w:pPr>
              <w:spacing w:after="0"/>
              <w:rPr>
                <w:sz w:val="20"/>
                <w:szCs w:val="20"/>
                <w:color w:val="auto"/>
              </w:rPr>
            </w:pPr>
          </w:p>
        </w:tc>
        <w:tc>
          <w:tcPr>
            <w:tcW w:w="340" w:type="dxa"/>
            <w:vAlign w:val="bottom"/>
            <w:tcBorders>
              <w:top w:val="single" w:sz="8" w:color="auto"/>
              <w:bottom w:val="single" w:sz="8" w:color="auto"/>
            </w:tcBorders>
            <w:shd w:val="clear" w:color="auto" w:fill="D5EEEE"/>
          </w:tcPr>
          <w:p>
            <w:pPr>
              <w:spacing w:after="0"/>
              <w:rPr>
                <w:sz w:val="20"/>
                <w:szCs w:val="20"/>
                <w:color w:val="auto"/>
              </w:rPr>
            </w:pPr>
          </w:p>
        </w:tc>
        <w:tc>
          <w:tcPr>
            <w:tcW w:w="12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D5EEEE"/>
            </w:tcBorders>
            <w:shd w:val="clear" w:color="auto" w:fill="D5EEEE"/>
          </w:tcPr>
          <w:p>
            <w:pPr>
              <w:spacing w:after="0"/>
              <w:rPr>
                <w:sz w:val="20"/>
                <w:szCs w:val="20"/>
                <w:color w:val="auto"/>
              </w:rPr>
            </w:pPr>
          </w:p>
        </w:tc>
      </w:tr>
      <w:tr>
        <w:trPr>
          <w:trHeight w:val="239"/>
        </w:trPr>
        <w:tc>
          <w:tcPr>
            <w:tcW w:w="72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120" w:type="dxa"/>
            <w:vAlign w:val="bottom"/>
            <w:tcBorders>
              <w:bottom w:val="single" w:sz="8" w:color="D5EEE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242,744</w:t>
            </w:r>
          </w:p>
        </w:tc>
        <w:tc>
          <w:tcPr>
            <w:tcW w:w="18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(6,973)</w:t>
            </w:r>
          </w:p>
        </w:tc>
        <w:tc>
          <w:tcPr>
            <w:tcW w:w="80" w:type="dxa"/>
            <w:vAlign w:val="bottom"/>
            <w:tcBorders>
              <w:bottom w:val="single" w:sz="8" w:color="D5EEEE"/>
            </w:tcBorders>
          </w:tcPr>
          <w:p>
            <w:pPr>
              <w:spacing w:after="0"/>
              <w:rPr>
                <w:sz w:val="20"/>
                <w:szCs w:val="20"/>
                <w:color w:val="auto"/>
              </w:rPr>
            </w:pPr>
          </w:p>
        </w:tc>
      </w:tr>
      <w:tr>
        <w:trPr>
          <w:trHeight w:val="239"/>
        </w:trPr>
        <w:tc>
          <w:tcPr>
            <w:tcW w:w="72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Effect of exchange rate changes on cash and cash equivalents</w:t>
            </w:r>
          </w:p>
        </w:tc>
        <w:tc>
          <w:tcPr>
            <w:tcW w:w="120" w:type="dxa"/>
            <w:vAlign w:val="bottom"/>
            <w:shd w:val="clear" w:color="auto" w:fill="D5EEEE"/>
          </w:tcPr>
          <w:p>
            <w:pPr>
              <w:spacing w:after="0"/>
              <w:rPr>
                <w:sz w:val="20"/>
                <w:szCs w:val="20"/>
                <w:color w:val="auto"/>
              </w:rPr>
            </w:pPr>
          </w:p>
        </w:tc>
        <w:tc>
          <w:tcPr>
            <w:tcW w:w="360" w:type="dxa"/>
            <w:vAlign w:val="bottom"/>
            <w:shd w:val="clear" w:color="auto" w:fill="D5EEEE"/>
          </w:tcPr>
          <w:p>
            <w:pPr>
              <w:spacing w:after="0"/>
              <w:rPr>
                <w:sz w:val="20"/>
                <w:szCs w:val="20"/>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705</w:t>
            </w:r>
          </w:p>
        </w:tc>
        <w:tc>
          <w:tcPr>
            <w:tcW w:w="1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1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(317)</w:t>
            </w:r>
          </w:p>
        </w:tc>
        <w:tc>
          <w:tcPr>
            <w:tcW w:w="80" w:type="dxa"/>
            <w:vAlign w:val="bottom"/>
            <w:shd w:val="clear" w:color="auto" w:fill="D5EEEE"/>
          </w:tcPr>
          <w:p>
            <w:pPr>
              <w:spacing w:after="0"/>
              <w:rPr>
                <w:sz w:val="20"/>
                <w:szCs w:val="20"/>
                <w:color w:val="auto"/>
              </w:rPr>
            </w:pPr>
          </w:p>
        </w:tc>
      </w:tr>
      <w:tr>
        <w:trPr>
          <w:trHeight w:val="244"/>
        </w:trPr>
        <w:tc>
          <w:tcPr>
            <w:tcW w:w="72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Cash and cash equivalents, beginning of year</w:t>
            </w:r>
          </w:p>
        </w:tc>
        <w:tc>
          <w:tcPr>
            <w:tcW w:w="120" w:type="dxa"/>
            <w:vAlign w:val="bottom"/>
            <w:tcBorders>
              <w:bottom w:val="single" w:sz="8" w:color="D5EEEE"/>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14,175</w:t>
            </w:r>
          </w:p>
        </w:tc>
        <w:tc>
          <w:tcPr>
            <w:tcW w:w="1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21,465</w:t>
            </w:r>
          </w:p>
        </w:tc>
        <w:tc>
          <w:tcPr>
            <w:tcW w:w="80" w:type="dxa"/>
            <w:vAlign w:val="bottom"/>
            <w:tcBorders>
              <w:bottom w:val="single" w:sz="8" w:color="D5EEEE"/>
            </w:tcBorders>
          </w:tcPr>
          <w:p>
            <w:pPr>
              <w:spacing w:after="0"/>
              <w:rPr>
                <w:sz w:val="21"/>
                <w:szCs w:val="21"/>
                <w:color w:val="auto"/>
              </w:rPr>
            </w:pPr>
          </w:p>
        </w:tc>
      </w:tr>
      <w:tr>
        <w:trPr>
          <w:trHeight w:val="239"/>
        </w:trPr>
        <w:tc>
          <w:tcPr>
            <w:tcW w:w="72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Cash and cash equivalents, end of year</w:t>
            </w:r>
          </w:p>
        </w:tc>
        <w:tc>
          <w:tcPr>
            <w:tcW w:w="120" w:type="dxa"/>
            <w:vAlign w:val="bottom"/>
            <w:shd w:val="clear" w:color="auto" w:fill="D5EEEE"/>
          </w:tcPr>
          <w:p>
            <w:pPr>
              <w:spacing w:after="0"/>
              <w:rPr>
                <w:sz w:val="20"/>
                <w:szCs w:val="20"/>
                <w:color w:val="auto"/>
              </w:rPr>
            </w:pPr>
          </w:p>
        </w:tc>
        <w:tc>
          <w:tcPr>
            <w:tcW w:w="360" w:type="dxa"/>
            <w:vAlign w:val="bottom"/>
            <w:tcBorders>
              <w:bottom w:val="single" w:sz="8" w:color="auto"/>
            </w:tcBorders>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257,624</w:t>
            </w:r>
          </w:p>
        </w:tc>
        <w:tc>
          <w:tcPr>
            <w:tcW w:w="1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340" w:type="dxa"/>
            <w:vAlign w:val="bottom"/>
            <w:tcBorders>
              <w:bottom w:val="single" w:sz="8" w:color="auto"/>
            </w:tcBorders>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14,175</w:t>
            </w:r>
          </w:p>
        </w:tc>
        <w:tc>
          <w:tcPr>
            <w:tcW w:w="80" w:type="dxa"/>
            <w:vAlign w:val="bottom"/>
            <w:shd w:val="clear" w:color="auto" w:fill="D5EEEE"/>
          </w:tcPr>
          <w:p>
            <w:pPr>
              <w:spacing w:after="0"/>
              <w:rPr>
                <w:sz w:val="20"/>
                <w:szCs w:val="20"/>
                <w:color w:val="auto"/>
              </w:rPr>
            </w:pPr>
          </w:p>
        </w:tc>
      </w:tr>
      <w:tr>
        <w:trPr>
          <w:trHeight w:val="239"/>
        </w:trPr>
        <w:tc>
          <w:tcPr>
            <w:tcW w:w="7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disclosures of cash flow information:</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4"/>
        </w:trPr>
        <w:tc>
          <w:tcPr>
            <w:tcW w:w="72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Cash paid for taxes</w:t>
            </w:r>
          </w:p>
        </w:tc>
        <w:tc>
          <w:tcPr>
            <w:tcW w:w="48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80" w:type="dxa"/>
            <w:vAlign w:val="bottom"/>
            <w:shd w:val="clear" w:color="auto" w:fill="D5EEEE"/>
          </w:tcPr>
          <w:p>
            <w:pPr>
              <w:spacing w:after="0"/>
              <w:rPr>
                <w:sz w:val="21"/>
                <w:szCs w:val="21"/>
                <w:color w:val="auto"/>
              </w:rPr>
            </w:pPr>
          </w:p>
        </w:tc>
        <w:tc>
          <w:tcPr>
            <w:tcW w:w="44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disclosures of noncash activities: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5"/>
        </w:trPr>
        <w:tc>
          <w:tcPr>
            <w:tcW w:w="7240" w:type="dxa"/>
            <w:vAlign w:val="bottom"/>
            <w:shd w:val="clear" w:color="auto" w:fill="D5EEEE"/>
          </w:tcPr>
          <w:p>
            <w:pPr>
              <w:ind w:left="200"/>
              <w:spacing w:after="0" w:line="225" w:lineRule="exact"/>
              <w:rPr>
                <w:sz w:val="20"/>
                <w:szCs w:val="20"/>
                <w:color w:val="auto"/>
              </w:rPr>
            </w:pPr>
            <w:r>
              <w:rPr>
                <w:rFonts w:ascii="Times New Roman" w:cs="Times New Roman" w:eastAsia="Times New Roman" w:hAnsi="Times New Roman"/>
                <w:sz w:val="20"/>
                <w:szCs w:val="20"/>
                <w:color w:val="auto"/>
              </w:rPr>
              <w:t>Fair value of the Series B Preferred Stock issued in connection with the Damora Asset</w:t>
            </w:r>
          </w:p>
        </w:tc>
        <w:tc>
          <w:tcPr>
            <w:tcW w:w="120" w:type="dxa"/>
            <w:vAlign w:val="bottom"/>
            <w:shd w:val="clear" w:color="auto" w:fill="D5EEEE"/>
          </w:tcPr>
          <w:p>
            <w:pPr>
              <w:spacing w:after="0"/>
              <w:rPr>
                <w:sz w:val="19"/>
                <w:szCs w:val="19"/>
                <w:color w:val="auto"/>
              </w:rPr>
            </w:pPr>
          </w:p>
        </w:tc>
        <w:tc>
          <w:tcPr>
            <w:tcW w:w="360" w:type="dxa"/>
            <w:vAlign w:val="bottom"/>
            <w:shd w:val="clear" w:color="auto" w:fill="D5EEEE"/>
          </w:tcPr>
          <w:p>
            <w:pPr>
              <w:spacing w:after="0"/>
              <w:rPr>
                <w:sz w:val="19"/>
                <w:szCs w:val="19"/>
                <w:color w:val="auto"/>
              </w:rPr>
            </w:pPr>
          </w:p>
        </w:tc>
        <w:tc>
          <w:tcPr>
            <w:tcW w:w="118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340" w:type="dxa"/>
            <w:vAlign w:val="bottom"/>
            <w:shd w:val="clear" w:color="auto" w:fill="D5EEEE"/>
          </w:tcPr>
          <w:p>
            <w:pPr>
              <w:spacing w:after="0"/>
              <w:rPr>
                <w:sz w:val="19"/>
                <w:szCs w:val="19"/>
                <w:color w:val="auto"/>
              </w:rPr>
            </w:pPr>
          </w:p>
        </w:tc>
        <w:tc>
          <w:tcPr>
            <w:tcW w:w="120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49"/>
        </w:trPr>
        <w:tc>
          <w:tcPr>
            <w:tcW w:w="72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Acquisition</w:t>
            </w:r>
          </w:p>
        </w:tc>
        <w:tc>
          <w:tcPr>
            <w:tcW w:w="48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152,677</w:t>
            </w:r>
          </w:p>
        </w:tc>
        <w:tc>
          <w:tcPr>
            <w:tcW w:w="180" w:type="dxa"/>
            <w:vAlign w:val="bottom"/>
            <w:shd w:val="clear" w:color="auto" w:fill="D5EEEE"/>
          </w:tcPr>
          <w:p>
            <w:pPr>
              <w:spacing w:after="0"/>
              <w:rPr>
                <w:sz w:val="21"/>
                <w:szCs w:val="21"/>
                <w:color w:val="auto"/>
              </w:rPr>
            </w:pPr>
          </w:p>
        </w:tc>
        <w:tc>
          <w:tcPr>
            <w:tcW w:w="44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7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liability arising from obtaining right-of-use assets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80" w:type="dxa"/>
            <w:vAlign w:val="bottom"/>
          </w:tcPr>
          <w:p>
            <w:pPr>
              <w:spacing w:after="0"/>
              <w:rPr>
                <w:sz w:val="23"/>
                <w:szCs w:val="23"/>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the consolidated financial statements.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960" w:h="17280" w:orient="portrait"/>
          <w:cols w:equalWidth="0" w:num="1">
            <w:col w:w="10800"/>
          </w:cols>
          <w:pgMar w:left="1080" w:top="1440" w:right="1080" w:bottom="895" w:gutter="0" w:footer="0" w:header="0"/>
          <w:type w:val="continuous"/>
        </w:sectPr>
      </w:pPr>
    </w:p>
    <w:bookmarkStart w:id="104" w:name="page105"/>
    <w:bookmarkEnd w:id="104"/>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DAMORA THERAPEUTICS, INC.</w:t>
      </w:r>
    </w:p>
    <w:p>
      <w:pPr>
        <w:spacing w:after="0" w:line="24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DESCRIPTION OF BUSINESS, ORGANIZATION AND LIQUIDITY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w:t>
      </w:r>
    </w:p>
    <w:p>
      <w:pPr>
        <w:spacing w:after="0" w:line="240"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20"/>
          <w:szCs w:val="20"/>
          <w:color w:val="auto"/>
        </w:rPr>
        <w:t>Damora Therapeutics, Inc. (formerly known as Galecto, Inc.) is a biopharmaceutical company developing therapies for the treatment of hematological malignancies. As used in these financial statements, unless the context otherwise requires, references to the “Company,” “we,” “us,” and “our” refer to Damora Therapeutics, Inc. and its subsidiaries.</w:t>
      </w:r>
    </w:p>
    <w:p>
      <w:pPr>
        <w:spacing w:after="0" w:line="18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As of December 31, 2025, the Company’s wholly owned subsidiaries were PharmAkea, Inc., a Delaware corporation (“PharmAkea”), Damora Securities Corporation, a Massachusetts corporation, Damora Therapeutics, LLC, a Delaware limited liability company, and Galecto Biotech AB, a Swedish company. Galecto Biotech ApS, a Danish operating company, is a wholly-owned subsidiary of Galecto Biotech AB.</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developments</w:t>
      </w:r>
    </w:p>
    <w:p>
      <w:pPr>
        <w:spacing w:after="0" w:line="2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In October 2024, the Company entered into an asset purchase agreement with Bridge Medicines LLC (“Bridge Medicines”) to acquire the global rights to Bridge Medicines’ BRM-1420 (currently referred to as GB3226) program, a novel dual ENL-YEATS and FLT3 inhibitor for multiple genetic subsets of acute myeloid leukemia (“AML”), and assumed certain of Bridge Medicines’ liabilities associated with the acquired assets (the “Asset Purchase”). For additional details, see Note 3.</w:t>
      </w:r>
    </w:p>
    <w:p>
      <w:pPr>
        <w:spacing w:after="0" w:line="19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On November 10, 2025, the Company acquired Damora Therapeutics, Inc., a Delaware corporation (“Pre-Acquisition Damora”), in accordance with the terms of the Agreement and Plan of Merger, dated November 10, 2025 (the “Acquisition Agreement”), by and among the Company, Daylight Merger Sub I, Inc., a Delaware corporation and a wholly owned subsidiary of the Company (“First Merger Sub”), Daylight Merger Sub II, LLC, a Delaware limited liability company and wholly owned subsidiary of the Company (“Second Merger Sub”), and Pre-Acquisition Damora. Pursuant to the Acquisition Agreement, First Merger Sub merged with and into Pre-Acquisition Damora, pursuant to which Pre-Acquisition Damora was the surviving corporation and became a wholly owned subsidiary of the Company (the “First Merger”). Immediately following the First Merger, Pre-Acquisition Damora merged with and into Second Merger Sub, pursuant to which Second Merger Sub was the surviving entity (together with the First Merger, the “Asset Acquisition”). The Asset Acquisition is intended to qualify as a tax-free reorganization for U.S. federal income tax purposes.</w:t>
      </w:r>
    </w:p>
    <w:p>
      <w:pPr>
        <w:spacing w:after="0" w:line="20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Under the terms of the Acquisition Agreement, following the closing of the Asset Acquisition (the “Closing”), the Company issued to the stockholders of Pre-Acquisition Damora (i) 265,309 shares of the common stock of the Company, par value $0.00001 per share (the “Common Stock”), (ii) 16,366 shares of Series B Non-Voting Convertible Preferred Stock, par value $0.00001 per share (the “Series B Preferred Stock”) (as described below), and (iii) 4,241 shares of Series C Non-Voting Convertible Preferred Stock, par value $0.00001 per share (the “Series C Preferred Stock”) (as described below), in the case (ii) and (iii), each share of which is convertible into 1,000 shares of Common Stock, subject to certain conditions described below.</w:t>
      </w:r>
    </w:p>
    <w:p>
      <w:pPr>
        <w:spacing w:after="0" w:line="20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color w:val="auto"/>
        </w:rPr>
        <w:t>In connection with the Asset Acquisition, the Company also entered into a significant private investment in public equity (“PIPE”) transaction. The Company agreed to sell 39,641 shares of Series C Preferred Stock in the PIPE for approximately $285 million in gross proceeds. The PIPE closed on November 12, 2025. The Series C Preferred Stock are convertible into Common Stock at a ratio of 1,000 shares of Common Stock per share of Series C Preferred Stock, subject beneficial</w:t>
      </w:r>
      <w:r>
        <w:rPr>
          <w:rFonts w:ascii="Arial" w:cs="Arial" w:eastAsia="Arial" w:hAnsi="Arial"/>
          <w:sz w:val="20"/>
          <w:szCs w:val="20"/>
          <w:color w:val="auto"/>
        </w:rPr>
        <w:t>̻</w:t>
      </w:r>
      <w:r>
        <w:rPr>
          <w:rFonts w:ascii="Times New Roman" w:cs="Times New Roman" w:eastAsia="Times New Roman" w:hAnsi="Times New Roman"/>
          <w:sz w:val="20"/>
          <w:szCs w:val="20"/>
          <w:color w:val="auto"/>
        </w:rPr>
        <w:t>ownership limitations. In addition, the Company entered into a registration rights agreement requiring the filing of a resale registration statement within 45 days of closing, and certain participating holders agreed to a 180</w:t>
      </w:r>
      <w:r>
        <w:rPr>
          <w:rFonts w:ascii="Arial" w:cs="Arial" w:eastAsia="Arial" w:hAnsi="Arial"/>
          <w:sz w:val="20"/>
          <w:szCs w:val="20"/>
          <w:color w:val="auto"/>
        </w:rPr>
        <w:t>̻</w:t>
      </w:r>
      <w:r>
        <w:rPr>
          <w:rFonts w:ascii="Times New Roman" w:cs="Times New Roman" w:eastAsia="Times New Roman" w:hAnsi="Times New Roman"/>
          <w:sz w:val="20"/>
          <w:szCs w:val="20"/>
          <w:color w:val="auto"/>
        </w:rPr>
        <w:t>day lock</w:t>
      </w:r>
      <w:r>
        <w:rPr>
          <w:rFonts w:ascii="Arial" w:cs="Arial" w:eastAsia="Arial" w:hAnsi="Arial"/>
          <w:sz w:val="20"/>
          <w:szCs w:val="20"/>
          <w:color w:val="auto"/>
        </w:rPr>
        <w:t>̻</w:t>
      </w:r>
      <w:r>
        <w:rPr>
          <w:rFonts w:ascii="Times New Roman" w:cs="Times New Roman" w:eastAsia="Times New Roman" w:hAnsi="Times New Roman"/>
          <w:sz w:val="20"/>
          <w:szCs w:val="20"/>
          <w:color w:val="auto"/>
        </w:rPr>
        <w:t>up on resales of their securities.</w:t>
      </w:r>
    </w:p>
    <w:p>
      <w:pPr>
        <w:spacing w:after="0" w:line="20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On February 9, 2026, the Company’s stockholders approved, among other proposals, the issuance of shares of Common Stock upon conversion of the Series B Preferred Stock and Series C Preferred Stock. Following the special meeting of the stockholders of the Company, 42,005 shares of Series C Preferred Stock were automatically converted into 42,005,000 shares of Common Stock.</w:t>
      </w:r>
    </w:p>
    <w:p>
      <w:pPr>
        <w:spacing w:after="0" w:line="18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On February 10, 2026, we also entered into an underwriting agreement with certain underwriters to issue and sell 14,473,685 shares of Common Stock, including the full exercise by the underwriters of their option to purchase an additional 2,171,052 shares, at a public</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960" w:h="17280" w:orient="portrait"/>
          <w:cols w:equalWidth="0" w:num="1">
            <w:col w:w="10800"/>
          </w:cols>
          <w:pgMar w:left="1080" w:top="1440" w:right="1080" w:bottom="895" w:gutter="0" w:footer="0" w:header="0"/>
          <w:type w:val="continuous"/>
        </w:sectPr>
      </w:pPr>
    </w:p>
    <w:bookmarkStart w:id="105" w:name="page106"/>
    <w:bookmarkEnd w:id="105"/>
    <w:p>
      <w:pPr>
        <w:spacing w:after="0" w:line="211"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9"/>
          <w:szCs w:val="19"/>
          <w:color w:val="auto"/>
        </w:rPr>
        <w:t>offering price of $19.00 per share. The underwritten offering closed on February 12, 2026. The net proceeds from this offering were approximately $297.3 million, after deducting underwriting discounts and commissions and expenses of the offering of $19.0 million.</w:t>
      </w:r>
    </w:p>
    <w:p>
      <w:pPr>
        <w:spacing w:after="0" w:line="14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Following a recent review of the Company’s product candidate portfolio, the Company has determined to focus on its mutant forms of the calcium binding protein calreticulin (“mutCALR”) portfolio to address the full mutCALR myeloproliferative neoplasm (“MPN”) disease spectrum and have deprioritized continued development of GB3226. The Company intends to explore entering into one or more corporate partnerships or collaboration arrangements to advance the development and commercialization of the Company’s legacy assets, including GB3226, GB1211 (galectin-3 inhibitor candidate), and GB2064 (LOXL-2 inhibitor candidate).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and uncertainties</w:t>
      </w:r>
    </w:p>
    <w:p>
      <w:pPr>
        <w:spacing w:after="0" w:line="24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20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management plans</w:t>
      </w:r>
    </w:p>
    <w:p>
      <w:pPr>
        <w:spacing w:after="0" w:line="2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Since inception, the Company has devoted substantially all its efforts to business planning, research and development, recruiting management and technical staff and raising capital, and has financed its operations primarily through the issuance of preferred shares, debt financings, the Company’s initial public offering and sales of Common Stock.</w:t>
      </w:r>
    </w:p>
    <w:p>
      <w:pPr>
        <w:spacing w:after="0" w:line="18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As of December 31, 2025, the Company had an accumulated deficit of $487.4 million, from recurring losses since inception in 2011. The Company has incurred recurring losses and has not generated revenue as no products have obtained the necessary regulatory approval in order to market products. The Company expects to continue to incur losses as a result of costs and expenses related to the Company’s clinical development and corporate general and administrative activities. The Company had negative cash flows from operating activities during the years ended December 31, 2025 and 2024 of $6.7 million and $18.6 million, respectively, and current projections indicate that the Company will have continued negative cash flows for the foreseeable future as it continues to fund operating expenses. Net losses incurred for the years ended December 31, 2025 and 2024 amounted to $209.8 million and $21.4 million, respectively.</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At December 31, 2025, the Company’s cash and cash equivalents amounted to $257.6 million, current assets amounted to $ 260.4 million and current liabilities amounted to $ 20.1 million. At December 31, 2024, the Company’s cash and cash equivalents amounted to $14.2 million, current assets amounted to $16.8 million and current liabilities amounted to $1.2 million.</w:t>
      </w:r>
    </w:p>
    <w:p>
      <w:pPr>
        <w:spacing w:after="0" w:line="17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Based on current operating plans, the Company has sufficient resources to fund operations for at least one year from the issuance date of these financial statements with existing cash and cash equivalents. The Company will need to secure additional financing in the future to fund additional research and development, and before a commercial drug can be produced, marketed and sold. If the Company is unable to obtain additional financing or generate license or product revenue, the lack of liquidity could have a material adverse effect on the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stock split</w:t>
      </w:r>
    </w:p>
    <w:p>
      <w:pPr>
        <w:spacing w:after="0" w:line="24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On August 29, 2024, the Company effected a 1-for-25 reverse stock split of its issued and outstanding Common Stock. Accordingly, all share and per share amounts for all periods presented in the accompanying condensed consolidated financial statements and notes thereto have been adjusted retroactively, where applicable, to reflect this reverse stock split. All fractional shares resulting from the reverse stock split were rounded up to the nearest whole number.</w:t>
      </w:r>
    </w:p>
    <w:p>
      <w:pPr>
        <w:sectPr>
          <w:pgSz w:w="12960" w:h="17280" w:orient="portrait"/>
          <w:cols w:equalWidth="0" w:num="1">
            <w:col w:w="10760"/>
          </w:cols>
          <w:pgMar w:left="1080" w:top="1440" w:right="112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F-9</w:t>
      </w:r>
    </w:p>
    <w:p>
      <w:pPr>
        <w:sectPr>
          <w:pgSz w:w="12960" w:h="17280" w:orient="portrait"/>
          <w:cols w:equalWidth="0" w:num="1">
            <w:col w:w="10760"/>
          </w:cols>
          <w:pgMar w:left="1080" w:top="1440" w:right="1120" w:bottom="895" w:gutter="0" w:footer="0" w:header="0"/>
          <w:type w:val="continuous"/>
        </w:sectPr>
      </w:pPr>
    </w:p>
    <w:bookmarkStart w:id="106" w:name="page107"/>
    <w:bookmarkEnd w:id="106"/>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Increase in authorized shares</w:t>
      </w:r>
    </w:p>
    <w:p>
      <w:pPr>
        <w:spacing w:after="0" w:line="24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On February 9, 2026, the Company filed with the Secretary of State of the State of Delaware a certificate of amendment to its amended and restated certificate of incorporation to increase the number of authorized shares of common stock from 300,000,000 to 500,000,000.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2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United States generally accepted accounting principles (“GAAP”). Any reference in these notes to applicable guidance is meant to refer to U.S. GAAP, as found in the Accounting Standards Codification (“ASC”) and Accounting Standards Update (“ASU”) of the Financial Accounting Standards Board (“FASB”).</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240"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color w:val="auto"/>
        </w:rPr>
        <w:t>The Company’s consolidated financial statements for 2025 and 2024 include Damora Therapeutics, Inc. and its subsidiaries. All intercompany balances and transactions have been eliminated in consolidation.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4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estimates and assumptions that affect the reported amounts of assets and liabilities, disclosure of contingent assets and liabilities at the date of the consolidated financial statements, and the reported amounts of expenses during the reporting periods. The Company bases its estimates on historical experience and various other assumptions that management believes to be reasonable under the circumstances. Significant items subject to such estimates and assumptions include contract research accruals, accounting for stock-based compensation and valuation of the Company’s deferred tax assets. Changes in estimates are recorded in the period in which they become known. The Company’s actual results could differ from those estimates.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Currency and currency translation</w:t>
      </w:r>
    </w:p>
    <w:p>
      <w:pPr>
        <w:spacing w:after="0" w:line="24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The consolidated financial statements are presented in U.S. dollars, the Company’s reporting currency. Damora Therapeutics, Inc., Damora Securities Corporation, Damora Therapeutics, LLC and PharmAkea’s functional currency is the U.S. dollar. The functional currency of the Company’s subsidiary Galecto Biotech AB, and its subsidiary Galecto Biotech ApS, is the Euro. Adjustments that arise from exchange rate changes on transactions of each group entity denominated in a currency other than the functional currency are included in other income and expense in the consolidated statements of operations. Assets and liabilities of Galecto Biotech AB and Galecto Biotech ApS recorded in their Euro functional currency are translated into the U.S. dollar reporting currency of the Company at the exchange rate on the balance sheet date. Revenue and expenses of Galecto Biotech AB and Galecto Biotech ApS recorded in their Euro functional currency are translated into the U.S. dollar reporting currency of the Company at the average exchange rate prevailing during the year. Resulting translation adjustments are recorded to accumulated other comprehensive income (loss) (“OCI”).</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4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Company considers all highly liquid investments with original maturities at the date of purchase of three months or less to be cash equivalents. Cash and cash equivalents are stated at fair value and may include money market funds, U.S. Treasury and U.S. government-sponsored agency securities, corporate debt, commercial paper and certificates of deposit. The Company had money market funds of $200.6 and $5.9 million as of December 31, 2025 and 2024, respectively, which are included in cash and cash equivalents and reported at fair value (Note 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 and off-balance sheet risk</w:t>
      </w:r>
    </w:p>
    <w:p>
      <w:pPr>
        <w:spacing w:after="0" w:line="240"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9"/>
          <w:szCs w:val="19"/>
          <w:color w:val="auto"/>
        </w:rPr>
        <w:t>Financial instruments that subject the Company to significant concentrations of credit risk consist primarily of cash, cash equivalents and marketable securities. Substantially all of the Company’s cash is held at financial institutions that management believes to be of high-credit quality. The Company maintains its cash in bank deposit and checking accounts that at times exceed insured limits. The Company has not experienced any losses in such accounts and believes it is not exposed to any significant credit risk.</w:t>
      </w:r>
    </w:p>
    <w:p>
      <w:pPr>
        <w:sectPr>
          <w:pgSz w:w="12960" w:h="17280" w:orient="portrait"/>
          <w:cols w:equalWidth="0" w:num="1">
            <w:col w:w="10780"/>
          </w:cols>
          <w:pgMar w:left="1080" w:top="1440" w:right="110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F-10</w:t>
      </w:r>
    </w:p>
    <w:p>
      <w:pPr>
        <w:sectPr>
          <w:pgSz w:w="12960" w:h="17280" w:orient="portrait"/>
          <w:cols w:equalWidth="0" w:num="1">
            <w:col w:w="10780"/>
          </w:cols>
          <w:pgMar w:left="1080" w:top="1440" w:right="1100" w:bottom="906" w:gutter="0" w:footer="0" w:header="0"/>
          <w:type w:val="continuous"/>
        </w:sectPr>
      </w:pPr>
    </w:p>
    <w:bookmarkStart w:id="107" w:name="page108"/>
    <w:bookmarkEnd w:id="107"/>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marketable securities</w:t>
      </w:r>
    </w:p>
    <w:p>
      <w:pPr>
        <w:spacing w:after="0" w:line="24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The Company invests excess cash balances in short-term and long-term marketable debt securities. The Company classifies investments in marketable debt securities as either held-to-maturity or available-for-sale based on the facts and circumstances present at the time of purchase and re-evaluates classification at each balance sheet date. All investments in marketable debt securities at each balance sheet date presented, are generally considered as available-for-sale. Marketable debt securities with maturities of twelve months or less are classified as short -term investments and marketable debt securities with maturities greater than twelve months are classified based on their availability for use in current operations.</w:t>
      </w:r>
    </w:p>
    <w:p>
      <w:pPr>
        <w:spacing w:after="0" w:line="20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Company reports available- for-sale debt securities at fair value at each balance sheet date and includes any unrealized holding gains and losses (the adjustment to fair value), net of applicable taxes, in accumulated other comprehensive income (loss), a component of stockholders’ equity. The cost of debt securities is adjusted for the amortization of premium and accretion of discounts to maturity. Such amortization and accretion is included in interest income. Realized gains and losses are determined using the specific identification method and are included in other income (expense). If any adjustment to fair value reflects a decline in the value of the investment, the Company considers all available evidence to evaluate the extent to which the decline is “other than temporary,” including the intention to sell and, if so, marks the investment to market through a charge to the Company’s consolidated statements of operations and comprehensive loss. The Company had no debt securities as of December 31, 2025 and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4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Fair value is defined as the price the Company would receive to sell an investment in a timely transaction or pay to transfer a liability in a timely transaction with an independent buyer in the principal market, or in the absence of a principal market, the most advantageous market for the investment or liability. A framework is used for measuring fair value utilizing a three-tier hierarchy that prioritizes the inputs to valuation techniques used to measure fair value. The hierarchy gives the highest priority to unadjusted quoted prices in active markets for identical assets or liabilities (Level 1) and the lowest priority to unobservable inputs (Level 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three levels of the fair value hierarchy are as follows:</w:t>
      </w:r>
    </w:p>
    <w:p>
      <w:pPr>
        <w:spacing w:after="0" w:line="240"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Level 1</w:t>
      </w:r>
      <w:r>
        <w:rPr>
          <w:rFonts w:ascii="Times New Roman" w:cs="Times New Roman" w:eastAsia="Times New Roman" w:hAnsi="Times New Roman"/>
          <w:sz w:val="20"/>
          <w:szCs w:val="20"/>
          <w:color w:val="auto"/>
        </w:rPr>
        <w:t>—Unadjusted quoted prices in active markets that are accessible at the measurement date for identical, unrestricted assets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liabilities;</w:t>
      </w:r>
    </w:p>
    <w:p>
      <w:pPr>
        <w:spacing w:after="0" w:line="169"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Level 2</w:t>
      </w:r>
      <w:r>
        <w:rPr>
          <w:rFonts w:ascii="Times New Roman" w:cs="Times New Roman" w:eastAsia="Times New Roman" w:hAnsi="Times New Roman"/>
          <w:sz w:val="20"/>
          <w:szCs w:val="20"/>
          <w:color w:val="auto"/>
        </w:rPr>
        <w:t>—Quoted prices in markets that are not considered to be active or financial instrument valuations for which all significant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inputs are observable, either directly or indirectly; and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Level 3</w:t>
      </w:r>
      <w:r>
        <w:rPr>
          <w:rFonts w:ascii="Times New Roman" w:cs="Times New Roman" w:eastAsia="Times New Roman" w:hAnsi="Times New Roman"/>
          <w:sz w:val="20"/>
          <w:szCs w:val="20"/>
          <w:color w:val="auto"/>
        </w:rPr>
        <w:t>—Prices or valuations that require inputs that are both significant to the fair value measurement and unobservable.</w:t>
      </w:r>
    </w:p>
    <w:p>
      <w:pPr>
        <w:spacing w:after="0" w:line="24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Financial instruments are categorized in their entirety based on the lowest level of input that is significant to the fair value measurement. The assessment of the significance of a particular input to the fair value measurement requires judgment and considers factors specific to the investment. 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w:t>
      </w:r>
    </w:p>
    <w:p>
      <w:pPr>
        <w:spacing w:after="0" w:line="197"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9"/>
          <w:szCs w:val="19"/>
          <w:color w:val="auto"/>
        </w:rPr>
        <w:t>The Company monitors the availability of inputs that are significant to the measurement of fair value to assess the appropriate categorization of financial instruments within the fair value hierarchy. Changes in economic conditions or model-based valuation techniques may require the transfer of financial instruments from one fair value level to another. In such instances, our policy is to recognize significant transfers between levels at the end of the reporting period. The significance of transfers between levels is evaluated based upon the nature of the financial instrument and size of the transfer relative to total net assets available for benefits.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40"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20"/>
          <w:szCs w:val="20"/>
          <w:color w:val="auto"/>
        </w:rPr>
        <w:t>The Company determines whether an arrangement is or contains a lease at the time it enters into a contract. For all leases, the Company determines the classification as either operating leases or finance leases. Operating leases are included in operating lease right-of-use (“ROU”) assets and accrued expenses and other current liabilities and operating lease liabilities, noncurrent in the Company’s consolidated balance sheets. The Company has not entered into any financing leases.</w:t>
      </w:r>
    </w:p>
    <w:p>
      <w:pPr>
        <w:spacing w:after="0" w:line="19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9"/>
          <w:szCs w:val="19"/>
          <w:color w:val="auto"/>
        </w:rPr>
        <w:t>Lease recognition occurs at the commencement date and lease liability amounts are based on the present value of lease payments over the lease term. The lease terms may include options to extend or terminate the lease when it is reasonably certain that the Company will exercise that option. If a lease does not provide information to determine an implicit interest rate, the Company uses the Company’s incremental borrowing rate in determining the present value of lease payments. ROU assets represent the right to use an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F-11</w:t>
      </w:r>
    </w:p>
    <w:p>
      <w:pPr>
        <w:sectPr>
          <w:pgSz w:w="12960" w:h="17280" w:orient="portrait"/>
          <w:cols w:equalWidth="0" w:num="1">
            <w:col w:w="10800"/>
          </w:cols>
          <w:pgMar w:left="1080" w:top="1440" w:right="1080" w:bottom="895" w:gutter="0" w:footer="0" w:header="0"/>
        </w:sectPr>
      </w:pPr>
    </w:p>
    <w:bookmarkStart w:id="108" w:name="page109"/>
    <w:bookmarkEnd w:id="108"/>
    <w:p>
      <w:pPr>
        <w:spacing w:after="0" w:line="2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underlying asset for the lease term, and lease liabilities represent the obligation to make lease payments under the lease. ROU assets also include any lease payments made prior to the commencement date and exclude lease incentives received. Operating lease expense is recognized on a straight-line basis over the lease term. The depreciable life of assets and leasehold improvements are limited by the expected lease term, unless there is a transfer of title or purchase option reasonably certain of exercise. Lease agreements with both lease and non-lease components, are generally accounted for together as a single lease component. Refer to Note 8 for further details.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24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auto"/>
        </w:rPr>
        <w:t>Property and equipment are recorded at cost. Costs associated with maintenance and repairs are expensed as incurred. Depreciation is provided using the straight-line method over the estimated useful lives:</w:t>
      </w:r>
    </w:p>
    <w:p>
      <w:pPr>
        <w:spacing w:after="0" w:line="200" w:lineRule="exact"/>
        <w:rPr>
          <w:sz w:val="20"/>
          <w:szCs w:val="20"/>
          <w:color w:val="auto"/>
        </w:rPr>
      </w:pP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Asset Category</w:t>
            </w:r>
          </w:p>
        </w:tc>
        <w:tc>
          <w:tcPr>
            <w:tcW w:w="260" w:type="dxa"/>
            <w:vAlign w:val="bottom"/>
          </w:tcPr>
          <w:p>
            <w:pPr>
              <w:spacing w:after="0"/>
              <w:rPr>
                <w:sz w:val="22"/>
                <w:szCs w:val="22"/>
                <w:color w:val="auto"/>
              </w:rPr>
            </w:pP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Useful Life</w:t>
            </w:r>
          </w:p>
        </w:tc>
      </w:tr>
      <w:tr>
        <w:trPr>
          <w:trHeight w:val="201"/>
        </w:trPr>
        <w:tc>
          <w:tcPr>
            <w:tcW w:w="332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rPr>
              <w:t>Equipment</w:t>
            </w:r>
          </w:p>
        </w:tc>
        <w:tc>
          <w:tcPr>
            <w:tcW w:w="260" w:type="dxa"/>
            <w:vAlign w:val="bottom"/>
          </w:tcPr>
          <w:p>
            <w:pPr>
              <w:spacing w:after="0"/>
              <w:rPr>
                <w:sz w:val="17"/>
                <w:szCs w:val="17"/>
                <w:color w:val="auto"/>
              </w:rPr>
            </w:pPr>
          </w:p>
        </w:tc>
        <w:tc>
          <w:tcPr>
            <w:tcW w:w="538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rPr>
              <w:t>5-7 years</w:t>
            </w:r>
          </w:p>
        </w:tc>
      </w:tr>
      <w:tr>
        <w:trPr>
          <w:trHeight w:val="230"/>
        </w:trPr>
        <w:tc>
          <w:tcPr>
            <w:tcW w:w="3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Furniture and fixtures</w:t>
            </w:r>
          </w:p>
        </w:tc>
        <w:tc>
          <w:tcPr>
            <w:tcW w:w="2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 years</w:t>
            </w:r>
          </w:p>
        </w:tc>
      </w:tr>
      <w:tr>
        <w:trPr>
          <w:trHeight w:val="266"/>
        </w:trPr>
        <w:tc>
          <w:tcPr>
            <w:tcW w:w="3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Leasehold improvements</w:t>
            </w:r>
          </w:p>
        </w:tc>
        <w:tc>
          <w:tcPr>
            <w:tcW w:w="26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Lesser of 10 years or the remaining term of the respective lease</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40"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Long-lived assets to be held and used are reviewed for impairment whenever events or changes in circumstances indicate that the carrying amount of the asset may not be recoverable. When such events occur, the Company compares the carrying amounts of the assets to their undiscounted expected future cash flows. If the undiscounted cash flows are insufficient to recover the carrying value, an impairment loss is recorded for the difference between the carrying value and fair value of the asset. Refer to Note 14 for further details.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4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Research and development costs are expensed as incurred. The Company’s research and development expenses consist primarily of costs incurred for the development of its product candidates and include expenses incurred under agreements with contract manufacturing organizations (“CMOs”), contract research organizations, investigative sites and consultants to conduct clinical trials and preclinical and non-clinical studies, costs to acquire, develop and manufacture supplies for clinical trials and other studies, salaries and related costs, including stock-based compensation, depreciation and other allocated facility-related and overhead expenses and licensing fees and milestone payments incurred under product license agreements where no alternative future use exists.</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Company has met the requirements to receive a tax credit in Denmark for losses resulting from research and development costs of up to $3.9 million and $3.5 million for the years ended December 31, 2025 and 2024, respectively. The tax credit is reported as a reduction to research and development expense in the consolidated statements of operations. For the years ended December 31, 2025 and 2024, research and development expenses include refundable tax credits of $0.8 million for both periods.</w:t>
      </w:r>
    </w:p>
    <w:p>
      <w:pPr>
        <w:spacing w:after="0" w:line="19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Company has qualified for the R&amp;D Expenditure Credit (“RDEC”) in United Kingdom for preclinical laboratory and in-patient clinical trials. The RDEC net tax benefit is reported as a reduction to research and development expense in the consolidated statements of operations. For the year ended December 31, 2024, the Company recorded an overall reduction for the RDEC, net of the UK corporation tax rate of $0.06 million. The amount recorded as of December 31, 2024 includes relief for that tax year. The Company recorded no RDEC amount for the year ending December 31,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Acquired in-process research and development expenses</w:t>
      </w:r>
    </w:p>
    <w:p>
      <w:pPr>
        <w:spacing w:after="0" w:line="24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Acquired in-process research and development activities include payments pursuant to our business development transactions, including asset acquisitions. In-process research and development that is acquired in a transaction that does not qualify as a business combination under U.S. GAAP and that does not have an alternative future use is recorded to “Acquired in-process research and development expenses” (“AIPR&amp;D”) in our consolidated statements of income in the period in which it is acquired. The Company presents the cost to acquire AIPR&amp;D within our “Cash flows from operating activities” in our consolidated statements of cash flows.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 costs</w:t>
      </w:r>
    </w:p>
    <w:p>
      <w:pPr>
        <w:spacing w:after="0" w:line="24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9"/>
          <w:szCs w:val="19"/>
          <w:color w:val="auto"/>
        </w:rPr>
        <w:t>Substantial portions of the Company’s preclinical and clinical trials are performed by third-party laboratories, medical centers, contract research organizations and other vendors (collectively, “CROs”). These CROs generally bill monthly for services performed, or bill based upon milestone achievement. For preclinical studies, the Company accrues expenses based upon estimated percentage of</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F-12</w:t>
      </w:r>
    </w:p>
    <w:p>
      <w:pPr>
        <w:sectPr>
          <w:pgSz w:w="12960" w:h="17280" w:orient="portrait"/>
          <w:cols w:equalWidth="0" w:num="1">
            <w:col w:w="10780"/>
          </w:cols>
          <w:pgMar w:left="1080" w:top="1440" w:right="1100" w:bottom="895" w:gutter="0" w:footer="0" w:header="0"/>
        </w:sectPr>
      </w:pPr>
    </w:p>
    <w:bookmarkStart w:id="109" w:name="page110"/>
    <w:bookmarkEnd w:id="109"/>
    <w:p>
      <w:pPr>
        <w:spacing w:after="0" w:line="21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work completed and the contract milestones remaining. For clinical studies, expenses are accrued based upon the number of patients enrolled and the duration of the study. The Company monitors patient enrollment, the progress of clinical studies and related activities to the extent possible through internal reviews of data reported to the Company by the CROs, and correspondence with the CROs and clinical site visits. The Company’s estimates depend on the timeliness and accuracy of the data provided by the CROs regarding the status of each program and total program spending. The Company periodically evaluates the estimates to determine if adjustments are necessary or appropriate based on information it receives.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30"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 xml:space="preserve">The Company accounts for stock awards granted in accordance with ASC 718, </w:t>
      </w:r>
      <w:r>
        <w:rPr>
          <w:rFonts w:ascii="Times New Roman" w:cs="Times New Roman" w:eastAsia="Times New Roman" w:hAnsi="Times New Roman"/>
          <w:sz w:val="20"/>
          <w:szCs w:val="20"/>
          <w:i w:val="1"/>
          <w:iCs w:val="1"/>
          <w:color w:val="auto"/>
        </w:rPr>
        <w:t>Compensation-Stock Compensation</w:t>
      </w:r>
      <w:r>
        <w:rPr>
          <w:rFonts w:ascii="Times New Roman" w:cs="Times New Roman" w:eastAsia="Times New Roman" w:hAnsi="Times New Roman"/>
          <w:sz w:val="20"/>
          <w:szCs w:val="20"/>
          <w:color w:val="auto"/>
        </w:rPr>
        <w:t xml:space="preserve"> (“ASC 718”). In accordance with ASC 718, compensation expense is measured at the estimated fair value of the stock options at grant date and is included as compensation expense over the vesting period during which an employee provides service in exchange for the award.</w:t>
      </w:r>
    </w:p>
    <w:p>
      <w:pPr>
        <w:spacing w:after="0" w:line="188"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All share-based awards granted are measured based on the fair value on the date of the grant and compensation expense is recognized with respect to those awards over the requisite service period, which is generally the vesting period of the respective award. The Company reverses any previously recognized compensation cost associated with forfeited awards in the period the forfeiture occurs.</w:t>
      </w:r>
    </w:p>
    <w:p>
      <w:pPr>
        <w:spacing w:after="0" w:line="188"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20"/>
          <w:szCs w:val="20"/>
          <w:color w:val="auto"/>
        </w:rPr>
        <w:t>Equity-based compensation expense is classified in the Company’s consolidated statement of operations and comprehensive loss in the same manner in which the award recipients’ payroll costs are classified or in which the award recipients’ service payments are classified. The fair value of each stock option grant is estimated on the date of grant using the Black-Scholes model. The following summarizes the inputs used:</w:t>
      </w:r>
    </w:p>
    <w:p>
      <w:pPr>
        <w:spacing w:after="0" w:line="20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i w:val="1"/>
          <w:iCs w:val="1"/>
          <w:color w:val="auto"/>
        </w:rPr>
        <w:t>Expected volatility</w:t>
      </w:r>
      <w:r>
        <w:rPr>
          <w:rFonts w:ascii="Times New Roman" w:cs="Times New Roman" w:eastAsia="Times New Roman" w:hAnsi="Times New Roman"/>
          <w:sz w:val="20"/>
          <w:szCs w:val="20"/>
          <w:color w:val="auto"/>
        </w:rPr>
        <w:t>—The Company estimates its expected stock volatility based on the historical volatility of a publicly traded set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peer companies because we lack company-specific historical and implied volatility information due in part to the limited time in which we have operated as a publicly traded company. We expect to continue to do so until such time as we have adequate historical data regarding the volatility of our traded stock price.</w:t>
      </w:r>
    </w:p>
    <w:p>
      <w:pPr>
        <w:spacing w:after="0" w:line="194"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20"/>
          <w:szCs w:val="20"/>
          <w:i w:val="1"/>
          <w:iCs w:val="1"/>
          <w:color w:val="auto"/>
        </w:rPr>
        <w:t>Expected term</w:t>
      </w:r>
      <w:r>
        <w:rPr>
          <w:rFonts w:ascii="Times New Roman" w:cs="Times New Roman" w:eastAsia="Times New Roman" w:hAnsi="Times New Roman"/>
          <w:sz w:val="20"/>
          <w:szCs w:val="20"/>
          <w:color w:val="auto"/>
        </w:rPr>
        <w:t>—The expected term of the Company’s stock options has been determined based on the expected time to liquidity.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Company uses the simplified method prescribed by the SEC’s Staff Accounting Bulletin No. 107, </w:t>
      </w:r>
      <w:r>
        <w:rPr>
          <w:rFonts w:ascii="Times New Roman" w:cs="Times New Roman" w:eastAsia="Times New Roman" w:hAnsi="Times New Roman"/>
          <w:sz w:val="20"/>
          <w:szCs w:val="20"/>
          <w:i w:val="1"/>
          <w:iCs w:val="1"/>
          <w:color w:val="auto"/>
        </w:rPr>
        <w:t>Share-Based Payment</w:t>
      </w:r>
      <w:r>
        <w:rPr>
          <w:rFonts w:ascii="Times New Roman" w:cs="Times New Roman" w:eastAsia="Times New Roman" w:hAnsi="Times New Roman"/>
          <w:sz w:val="20"/>
          <w:szCs w:val="20"/>
          <w:color w:val="auto"/>
        </w:rPr>
        <w:t>, to calculate the expected term of options granted because we lack company-specific historical and implied expected term information due in part to the limited time in which we have operated as a publicly traded company.</w:t>
      </w:r>
    </w:p>
    <w:p>
      <w:pPr>
        <w:spacing w:after="0" w:line="18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i w:val="1"/>
          <w:iCs w:val="1"/>
          <w:color w:val="auto"/>
        </w:rPr>
        <w:t>Risk-free interest rate</w:t>
      </w:r>
      <w:r>
        <w:rPr>
          <w:rFonts w:ascii="Times New Roman" w:cs="Times New Roman" w:eastAsia="Times New Roman" w:hAnsi="Times New Roman"/>
          <w:sz w:val="20"/>
          <w:szCs w:val="20"/>
          <w:color w:val="auto"/>
        </w:rPr>
        <w:t>—The risk-free interest rate is based on the implied yield on a U.S. Treasury security at a constant maturity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remaining term equal to the expected term of the option granted.</w:t>
      </w:r>
    </w:p>
    <w:p>
      <w:pPr>
        <w:spacing w:after="0" w:line="169"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20"/>
          <w:szCs w:val="20"/>
          <w:i w:val="1"/>
          <w:iCs w:val="1"/>
          <w:color w:val="auto"/>
        </w:rPr>
        <w:t>Dividends</w:t>
      </w:r>
      <w:r>
        <w:rPr>
          <w:rFonts w:ascii="Times New Roman" w:cs="Times New Roman" w:eastAsia="Times New Roman" w:hAnsi="Times New Roman"/>
          <w:sz w:val="20"/>
          <w:szCs w:val="20"/>
          <w:color w:val="auto"/>
        </w:rPr>
        <w:t>—Expected dividend yield is zero because the Company does not pay cash dividends on common shares and does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expect to pay any cash dividends in the foreseeable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0"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20"/>
          <w:szCs w:val="20"/>
          <w:color w:val="auto"/>
        </w:rPr>
        <w:t>Deferred income tax assets and liabilities arise from temporary differences associated with differences between the financial statements and tax basis of assets and liabilities, as measured by the enacted tax rates, which are expected to be in effect when these differences reverse. Valuation allowances are established when necessary to reduce deferred tax assets to the amount expected to be realized.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generated net losses since inception and accordingly has not recorded a material provision for income taxes.</w:t>
      </w:r>
    </w:p>
    <w:p>
      <w:pPr>
        <w:spacing w:after="0" w:line="24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 xml:space="preserve">The Company follows the provisions of ASC 740-10, </w:t>
      </w:r>
      <w:r>
        <w:rPr>
          <w:rFonts w:ascii="Times New Roman" w:cs="Times New Roman" w:eastAsia="Times New Roman" w:hAnsi="Times New Roman"/>
          <w:sz w:val="20"/>
          <w:szCs w:val="20"/>
          <w:i w:val="1"/>
          <w:iCs w:val="1"/>
          <w:color w:val="auto"/>
        </w:rPr>
        <w:t>Uncertainty in Income Taxes</w:t>
      </w:r>
      <w:r>
        <w:rPr>
          <w:rFonts w:ascii="Times New Roman" w:cs="Times New Roman" w:eastAsia="Times New Roman" w:hAnsi="Times New Roman"/>
          <w:sz w:val="20"/>
          <w:szCs w:val="20"/>
          <w:color w:val="auto"/>
        </w:rPr>
        <w:t xml:space="preserve"> (“ASC 740-10”). The Company has not recognized a liability as a result of the implementation of ASC 740-10. A reconciliation of the beginning and ending amount of unrecognized tax benefits has not been provided since there is no unrecognized benefit since the date of adoption. The Company has not recognized interest expense or penalties as a result of the implementation of ASC 740-10. If there were an unrecognized tax benefit, the Company would recognize interest accrued related to unrecognized tax benefits and penalties in income tax expense.</w:t>
      </w:r>
    </w:p>
    <w:p>
      <w:pPr>
        <w:spacing w:after="0" w:line="197"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color w:val="auto"/>
        </w:rPr>
        <w:t>The Company has identified the United States, Denmark and United Kingdom as its major tax jurisdictions. Refer to Note 13 for further details.</w:t>
      </w:r>
    </w:p>
    <w:p>
      <w:pPr>
        <w:sectPr>
          <w:pgSz w:w="12960" w:h="17280" w:orient="portrait"/>
          <w:cols w:equalWidth="0" w:num="1">
            <w:col w:w="10740"/>
          </w:cols>
          <w:pgMar w:left="1080" w:top="1440" w:right="114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F-13</w:t>
      </w:r>
    </w:p>
    <w:p>
      <w:pPr>
        <w:sectPr>
          <w:pgSz w:w="12960" w:h="17280" w:orient="portrait"/>
          <w:cols w:equalWidth="0" w:num="1">
            <w:col w:w="10740"/>
          </w:cols>
          <w:pgMar w:left="1080" w:top="1440" w:right="1140" w:bottom="906" w:gutter="0" w:footer="0" w:header="0"/>
          <w:type w:val="continuous"/>
        </w:sectPr>
      </w:pPr>
    </w:p>
    <w:bookmarkStart w:id="110" w:name="page111"/>
    <w:bookmarkEnd w:id="110"/>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24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color w:val="auto"/>
        </w:rPr>
        <w:t>The Company computes net loss per share of common stock, Series B Preferred Stock, and Series C Preferred Stock using the two-class method required for multiple classes of common stock and other participating securities.</w:t>
      </w:r>
    </w:p>
    <w:p>
      <w:pPr>
        <w:spacing w:after="0" w:line="16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The two-class method is an earnings (loss) allocation method under which earnings (loss) per share is calculated for each class of common stock. The Company has determined that the Series B Preferred Stock and Series C Preferred Stock do not have preferential rights when compared to the Company's common stock and therefore it must allocate losses to these other classes of common stock. Refer to Note 16 for further details.</w:t>
      </w:r>
    </w:p>
    <w:p>
      <w:pPr>
        <w:spacing w:after="0" w:line="19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Basic and diluted net loss per share is computed by dividing the net loss by the weighted-average number of shares and pre-funded warrants outstanding during the period, without consideration of potential dilutive securities. For periods in which the Company generated a net loss, the Company does not include potential shares of common stock in diluted net loss per share when the impact of these items is anti-dilutive. The Company has generated a net loss for all periods presented, therefore diluted net loss per share is the same as basic net loss per share since the inclusion of potential shares of common stock would be anti-dilutive.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Segments</w:t>
      </w:r>
    </w:p>
    <w:p>
      <w:pPr>
        <w:spacing w:after="0" w:line="24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one segment.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comprehensive gain (loss)</w:t>
      </w:r>
    </w:p>
    <w:p>
      <w:pPr>
        <w:spacing w:after="0" w:line="240"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color w:val="auto"/>
        </w:rPr>
        <w:t>Other comprehensive gain (loss) (“OCI”) is defined as the change in equity of a business enterprise during a period from transactions and other events and circumstances from non-owner sources. The Company’s OCI includes currency translation and unrealized gain or (loss) on marketable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Smaller reporting company status</w:t>
      </w:r>
    </w:p>
    <w:p>
      <w:pPr>
        <w:spacing w:after="0" w:line="24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Company is a “smaller reporting company,” meaning that the market value of its shares held by non-affiliates is less than $700 million and its annual revenue was less than $ 100 million during the most recently completed fiscal year. The Company may continue to be a smaller reporting company if either (i) the market value of its shares held by non-affiliates is less than $ 250 million or (ii) its annual revenue was less than $ 100 million during the most recently completed fiscal year and the market value of its shares held by non-affiliates is less than $700 million. As a smaller reporting company, the Company may choose to present only the two most recent fiscal years of audited financial statements in its Annual Report on Form 10-K, and smaller reporting companies have reduced disclosure obligations regarding executive compensation.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standards</w:t>
      </w:r>
    </w:p>
    <w:p>
      <w:pPr>
        <w:spacing w:after="0" w:line="24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In November 2023, the FASB issued 2023-07, Segment Reporting (Topic 280): Improvements to Reportable Segment Disclosures (“ASC 280”), which expands annual and interim disclosure requirements for reportable segments, primarily through enhanced disclosures about significant segment expenses and segment profit or loss. The ASU also requires entities with a single reportable segment to provide all segment disclosures under ASC 280, including the new required disclosures under the ASU. The ASU is effective for all public entities with fiscal years beginning after December 15, 2023, and interim periods within fiscal years beginning after December 15, 2024, with early adoption permitted. The ASU must be applied retrospectively. The adoption of ASU No. 2023-07 during the year ended December 31, 2024 did not have a material impact on the financial statements.</w:t>
      </w:r>
    </w:p>
    <w:p>
      <w:pPr>
        <w:spacing w:after="0" w:line="20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On December 14, 2023, the FASB issued ASU No. 2023-09, Improvements to Income Tax Disclosures ("ASU 2023-09"). ASU 2023-09 amends ASC 740, Income Taxes to expand income tax disclosures and requires that the Company disclose (i) the income tax rate reconciliation using both percentages and reporting currency amounts; (ii) specific categories within the income tax rate reconciliation;</w:t>
      </w:r>
    </w:p>
    <w:p>
      <w:pPr>
        <w:spacing w:after="0" w:line="1" w:lineRule="exact"/>
        <w:rPr>
          <w:sz w:val="20"/>
          <w:szCs w:val="20"/>
          <w:color w:val="auto"/>
        </w:rPr>
      </w:pPr>
    </w:p>
    <w:p>
      <w:pPr>
        <w:spacing w:after="0" w:line="243" w:lineRule="auto"/>
        <w:tabs>
          <w:tab w:leader="none" w:pos="34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information for reconciling items that meet a quantitative threshold; (iv) the composition of state and local income taxes by jurisdiction; and (v) the amount of income taxes paid disaggregated by jurisdiction. The Company adopted ASU 2023-09 for the year ended December 31, 2025 on a prospective basis. See Note 14 Income Taxes for additional information.</w:t>
      </w:r>
    </w:p>
    <w:p>
      <w:pPr>
        <w:sectPr>
          <w:pgSz w:w="12960" w:h="17280" w:orient="portrait"/>
          <w:cols w:equalWidth="0" w:num="1">
            <w:col w:w="10780"/>
          </w:cols>
          <w:pgMar w:left="1080" w:top="1440" w:right="110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F-14</w:t>
      </w:r>
    </w:p>
    <w:p>
      <w:pPr>
        <w:sectPr>
          <w:pgSz w:w="12960" w:h="17280" w:orient="portrait"/>
          <w:cols w:equalWidth="0" w:num="1">
            <w:col w:w="10780"/>
          </w:cols>
          <w:pgMar w:left="1080" w:top="1440" w:right="1100" w:bottom="906" w:gutter="0" w:footer="0" w:header="0"/>
          <w:type w:val="continuous"/>
        </w:sectPr>
      </w:pPr>
    </w:p>
    <w:bookmarkStart w:id="111" w:name="page112"/>
    <w:bookmarkEnd w:id="111"/>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standards</w:t>
      </w:r>
    </w:p>
    <w:p>
      <w:pPr>
        <w:spacing w:after="0" w:line="240"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color w:val="auto"/>
        </w:rPr>
        <w:t>The Company reviewed all other recently issued accounting pronouncements and have concluded they are not applicable or not expected to be significant to the accounting for its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tax legislation</w:t>
      </w:r>
    </w:p>
    <w:p>
      <w:pPr>
        <w:spacing w:after="0" w:line="24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On July 4, 2025, the One Big Beautiful Bill Act (the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and allows immediate expensing of certain domestic research and experimental expenditures under new Section 174A of the Internal Revenue Code. The Company does not expect the impact of the OBBBA to be material to its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ASSET ACQUISITIONS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Bridge Medicines</w:t>
      </w:r>
    </w:p>
    <w:p>
      <w:pPr>
        <w:spacing w:after="0" w:line="24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On October 7, 2024, the Company entered into an Asset Purchase Agreement (the “Bridge Purchase Agreement”) with Bridge Medicines pursuant to which the Company acquired global rights to Bridge Medicines’ BRM-1420 program, a novel dual ENL-YEATS and FLT3 inhibitor for multiple genetic subsets of AML, and assumed certain of Bridge Medicines’ liabilities associated with the Asset Purchase. As consideration to Bridge Medicines for the Asset Purchase, the Company (a) issued to Bridge Medicines (i) 62,594 shares of Common Stock and (ii) 160.562 shares of the Company’s newly designated Series A non-voting convertible preferred stock, par value $0.00001 per share (the “Series A Preferred Stock”) and (b) assumed specified liabilities. The closing of the Asset Purchase occurred on October 7, 2024. The total cost of the Asset Purchase was $4.4 million, including the fair value of the Common Stock, the fair value of the Series A Preferred Stock, the assumed specified liabilities and transaction costs.</w:t>
      </w:r>
    </w:p>
    <w:p>
      <w:pPr>
        <w:spacing w:after="0" w:line="202" w:lineRule="exact"/>
        <w:rPr>
          <w:sz w:val="20"/>
          <w:szCs w:val="20"/>
          <w:color w:val="auto"/>
        </w:rPr>
      </w:pPr>
    </w:p>
    <w:p>
      <w:pPr>
        <w:ind w:right="880"/>
        <w:spacing w:after="0" w:line="277" w:lineRule="auto"/>
        <w:rPr>
          <w:sz w:val="20"/>
          <w:szCs w:val="20"/>
          <w:color w:val="auto"/>
        </w:rPr>
      </w:pPr>
      <w:r>
        <w:rPr>
          <w:rFonts w:ascii="Times New Roman" w:cs="Times New Roman" w:eastAsia="Times New Roman" w:hAnsi="Times New Roman"/>
          <w:sz w:val="20"/>
          <w:szCs w:val="20"/>
          <w:color w:val="auto"/>
        </w:rPr>
        <w:t>The following table sets forth the activity for the Bridge Purchase Agreement during the year ended December 31, 2024 (in thousands):</w:t>
      </w:r>
    </w:p>
    <w:p>
      <w:pPr>
        <w:spacing w:after="0" w:line="225" w:lineRule="exact"/>
        <w:rPr>
          <w:sz w:val="20"/>
          <w:szCs w:val="20"/>
          <w:color w:val="auto"/>
        </w:rPr>
      </w:pPr>
    </w:p>
    <w:tbl>
      <w:tblPr>
        <w:tblLayout w:type="fixed"/>
        <w:tblInd w:w="920" w:type="dxa"/>
        <w:tblCellMar>
          <w:top w:w="0" w:type="dxa"/>
          <w:left w:w="0" w:type="dxa"/>
          <w:bottom w:w="0" w:type="dxa"/>
          <w:right w:w="0" w:type="dxa"/>
        </w:tblCellMar>
      </w:tblPr>
      <w:tr>
        <w:trPr>
          <w:trHeight w:val="244"/>
        </w:trPr>
        <w:tc>
          <w:tcPr>
            <w:tcW w:w="73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Fair value of Common Stock</w:t>
            </w:r>
          </w:p>
        </w:tc>
        <w:tc>
          <w:tcPr>
            <w:tcW w:w="600" w:type="dxa"/>
            <w:vAlign w:val="bottom"/>
            <w:gridSpan w:val="2"/>
            <w:shd w:val="clear" w:color="auto" w:fill="D5EEEE"/>
          </w:tcPr>
          <w:p>
            <w:pPr>
              <w:jc w:val="right"/>
              <w:ind w:right="415"/>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530</w:t>
            </w:r>
          </w:p>
        </w:tc>
        <w:tc>
          <w:tcPr>
            <w:tcW w:w="60" w:type="dxa"/>
            <w:vAlign w:val="bottom"/>
            <w:shd w:val="clear" w:color="auto" w:fill="D5EEEE"/>
          </w:tcPr>
          <w:p>
            <w:pPr>
              <w:spacing w:after="0"/>
              <w:rPr>
                <w:sz w:val="21"/>
                <w:szCs w:val="21"/>
                <w:color w:val="auto"/>
              </w:rPr>
            </w:pPr>
          </w:p>
        </w:tc>
      </w:tr>
      <w:tr>
        <w:trPr>
          <w:trHeight w:val="244"/>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Series A Preferred Stock</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1,360</w:t>
            </w:r>
          </w:p>
        </w:tc>
        <w:tc>
          <w:tcPr>
            <w:tcW w:w="60" w:type="dxa"/>
            <w:vAlign w:val="bottom"/>
          </w:tcPr>
          <w:p>
            <w:pPr>
              <w:spacing w:after="0"/>
              <w:rPr>
                <w:sz w:val="21"/>
                <w:szCs w:val="21"/>
                <w:color w:val="auto"/>
              </w:rPr>
            </w:pPr>
          </w:p>
        </w:tc>
      </w:tr>
      <w:tr>
        <w:trPr>
          <w:trHeight w:val="244"/>
        </w:trPr>
        <w:tc>
          <w:tcPr>
            <w:tcW w:w="73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Transaction costs</w:t>
            </w:r>
          </w:p>
        </w:tc>
        <w:tc>
          <w:tcPr>
            <w:tcW w:w="20" w:type="dxa"/>
            <w:vAlign w:val="bottom"/>
            <w:shd w:val="clear" w:color="auto" w:fill="D5EEEE"/>
          </w:tcPr>
          <w:p>
            <w:pPr>
              <w:spacing w:after="0"/>
              <w:rPr>
                <w:sz w:val="21"/>
                <w:szCs w:val="21"/>
                <w:color w:val="auto"/>
              </w:rPr>
            </w:pPr>
          </w:p>
        </w:tc>
        <w:tc>
          <w:tcPr>
            <w:tcW w:w="580" w:type="dxa"/>
            <w:vAlign w:val="bottom"/>
            <w:tcBorders>
              <w:bottom w:val="single" w:sz="8" w:color="auto"/>
            </w:tcBorders>
            <w:shd w:val="clear" w:color="auto" w:fill="D5EEEE"/>
          </w:tcPr>
          <w:p>
            <w:pPr>
              <w:spacing w:after="0"/>
              <w:rPr>
                <w:sz w:val="21"/>
                <w:szCs w:val="21"/>
                <w:color w:val="auto"/>
              </w:rPr>
            </w:pPr>
          </w:p>
        </w:tc>
        <w:tc>
          <w:tcPr>
            <w:tcW w:w="9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2,505</w:t>
            </w:r>
          </w:p>
        </w:tc>
        <w:tc>
          <w:tcPr>
            <w:tcW w:w="60" w:type="dxa"/>
            <w:vAlign w:val="bottom"/>
            <w:shd w:val="clear" w:color="auto" w:fill="D5EEEE"/>
          </w:tcPr>
          <w:p>
            <w:pPr>
              <w:spacing w:after="0"/>
              <w:rPr>
                <w:sz w:val="21"/>
                <w:szCs w:val="21"/>
                <w:color w:val="auto"/>
              </w:rPr>
            </w:pPr>
          </w:p>
        </w:tc>
      </w:tr>
      <w:tr>
        <w:trPr>
          <w:trHeight w:val="239"/>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Total costs</w:t>
            </w:r>
          </w:p>
        </w:tc>
        <w:tc>
          <w:tcPr>
            <w:tcW w:w="20" w:type="dxa"/>
            <w:vAlign w:val="bottom"/>
          </w:tcPr>
          <w:p>
            <w:pPr>
              <w:spacing w:after="0"/>
              <w:rPr>
                <w:sz w:val="20"/>
                <w:szCs w:val="20"/>
                <w:color w:val="auto"/>
              </w:rPr>
            </w:pPr>
          </w:p>
        </w:tc>
        <w:tc>
          <w:tcPr>
            <w:tcW w:w="5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4,395</w:t>
            </w:r>
          </w:p>
        </w:tc>
        <w:tc>
          <w:tcPr>
            <w:tcW w:w="6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terms of the Series A Preferred Stock are as set forth in the Certificate of Designation of Preferences, Rights and Limitations of Series A Non-Voting Convertible Preferred Stock (the “Series A Certificate of Designation”). Each share of Series A Preferred Stock is convertible into 1,000 shares of Common Stock at the election of the holder of such Series A Preferred Stock. Except as required by law, the Series A Preferred Stock has no voting rights, provided that the Company shall not, without the affirmative vote or written consent of the holders of majority of then outstanding Preferred Stock, among other things, alter or change adversely the power, preferences or rights given to the Series A Preferred Stock, amend the Series A Certificate of Designation, issue additional shares of Series A Preferred Stock, or amend or fail to comply with certain provisions of the Bridge Purchase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Carl Goldfischer, Chairman of the Company’s board of directors is also the Executive Chairman of Bridge Medicines.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Damora Therapeutics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November 10, 2025, the Company entered into the Asset Acquisition pursuant to the Acquisition Agreement.</w:t>
      </w:r>
    </w:p>
    <w:p>
      <w:pPr>
        <w:spacing w:after="0" w:line="24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Pre-Acquisition Damora was incorporated on August 8, 2025, under the direction of Peter Harwin, a managing member of Fairmount Funds Management LLC (“Fairmount”), for the purpose of holding option rights to certain intellectual property being developed by Paragon Therapeutics, Inc. (“Paragon”). Paragon was founded by Fairmount as its discovery engine for biologics. Prior to the Asset Acquisition, Pre-Acquisition Damora had no employees, no revenue</w:t>
      </w:r>
      <w:r>
        <w:rPr>
          <w:rFonts w:ascii="Arial" w:cs="Arial" w:eastAsia="Arial" w:hAnsi="Arial"/>
          <w:sz w:val="20"/>
          <w:szCs w:val="20"/>
          <w:color w:val="auto"/>
        </w:rPr>
        <w:t>̻</w:t>
      </w:r>
      <w:r>
        <w:rPr>
          <w:rFonts w:ascii="Times New Roman" w:cs="Times New Roman" w:eastAsia="Times New Roman" w:hAnsi="Times New Roman"/>
          <w:sz w:val="20"/>
          <w:szCs w:val="20"/>
          <w:color w:val="auto"/>
        </w:rPr>
        <w:t>generating activities, and no substantive operations.</w:t>
      </w:r>
    </w:p>
    <w:p>
      <w:pPr>
        <w:spacing w:after="0" w:line="20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auto"/>
        </w:rPr>
        <w:t>The Company evaluated whether the Asset Acquisition met the definition of a business under ASC 805. ASC 805</w:t>
      </w:r>
      <w:r>
        <w:rPr>
          <w:rFonts w:ascii="Arial" w:cs="Arial" w:eastAsia="Arial" w:hAnsi="Arial"/>
          <w:sz w:val="20"/>
          <w:szCs w:val="20"/>
          <w:color w:val="auto"/>
        </w:rPr>
        <w:t>̻</w:t>
      </w:r>
      <w:r>
        <w:rPr>
          <w:rFonts w:ascii="Times New Roman" w:cs="Times New Roman" w:eastAsia="Times New Roman" w:hAnsi="Times New Roman"/>
          <w:sz w:val="20"/>
          <w:szCs w:val="20"/>
          <w:color w:val="auto"/>
        </w:rPr>
        <w:t>10</w:t>
      </w:r>
      <w:r>
        <w:rPr>
          <w:rFonts w:ascii="Arial" w:cs="Arial" w:eastAsia="Arial" w:hAnsi="Arial"/>
          <w:sz w:val="20"/>
          <w:szCs w:val="20"/>
          <w:color w:val="auto"/>
        </w:rPr>
        <w:t>̻</w:t>
      </w:r>
      <w:r>
        <w:rPr>
          <w:rFonts w:ascii="Times New Roman" w:cs="Times New Roman" w:eastAsia="Times New Roman" w:hAnsi="Times New Roman"/>
          <w:sz w:val="20"/>
          <w:szCs w:val="20"/>
          <w:color w:val="auto"/>
        </w:rPr>
        <w:t>55</w:t>
      </w:r>
      <w:r>
        <w:rPr>
          <w:rFonts w:ascii="Arial" w:cs="Arial" w:eastAsia="Arial" w:hAnsi="Arial"/>
          <w:sz w:val="20"/>
          <w:szCs w:val="20"/>
          <w:color w:val="auto"/>
        </w:rPr>
        <w:t>̻</w:t>
      </w:r>
      <w:r>
        <w:rPr>
          <w:rFonts w:ascii="Times New Roman" w:cs="Times New Roman" w:eastAsia="Times New Roman" w:hAnsi="Times New Roman"/>
          <w:sz w:val="20"/>
          <w:szCs w:val="20"/>
          <w:color w:val="auto"/>
        </w:rPr>
        <w:t>5A through 55</w:t>
      </w:r>
      <w:r>
        <w:rPr>
          <w:rFonts w:ascii="Arial" w:cs="Arial" w:eastAsia="Arial" w:hAnsi="Arial"/>
          <w:sz w:val="20"/>
          <w:szCs w:val="20"/>
          <w:color w:val="auto"/>
        </w:rPr>
        <w:t>̻</w:t>
      </w:r>
      <w:r>
        <w:rPr>
          <w:rFonts w:ascii="Times New Roman" w:cs="Times New Roman" w:eastAsia="Times New Roman" w:hAnsi="Times New Roman"/>
          <w:sz w:val="20"/>
          <w:szCs w:val="20"/>
          <w:color w:val="auto"/>
        </w:rPr>
        <w:t>5C provides a screen test to determine whether an acquired set of assets and activities is not a business. The Company concluded that substantially all (in excess of 90%) of the fair value of the gross assets acquired was concentrated in a single identifiable asset,</w:t>
      </w:r>
    </w:p>
    <w:p>
      <w:pPr>
        <w:sectPr>
          <w:pgSz w:w="12960" w:h="17280" w:orient="portrait"/>
          <w:cols w:equalWidth="0" w:num="1">
            <w:col w:w="10760"/>
          </w:cols>
          <w:pgMar w:left="1080" w:top="1440" w:right="1120" w:bottom="906" w:gutter="0" w:footer="0" w:header="0"/>
        </w:sect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F-15</w:t>
      </w:r>
    </w:p>
    <w:p>
      <w:pPr>
        <w:sectPr>
          <w:pgSz w:w="12960" w:h="17280" w:orient="portrait"/>
          <w:cols w:equalWidth="0" w:num="1">
            <w:col w:w="10760"/>
          </w:cols>
          <w:pgMar w:left="1080" w:top="1440" w:right="1120" w:bottom="906" w:gutter="0" w:footer="0" w:header="0"/>
          <w:type w:val="continuous"/>
        </w:sectPr>
      </w:pPr>
    </w:p>
    <w:bookmarkStart w:id="112" w:name="page113"/>
    <w:bookmarkEnd w:id="112"/>
    <w:p>
      <w:pPr>
        <w:spacing w:after="0" w:line="2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consisting of Pre-Acquisition Damora’s option rights to license in</w:t>
      </w:r>
      <w:r>
        <w:rPr>
          <w:rFonts w:ascii="Arial" w:cs="Arial" w:eastAsia="Arial" w:hAnsi="Arial"/>
          <w:sz w:val="20"/>
          <w:szCs w:val="20"/>
          <w:color w:val="auto"/>
        </w:rPr>
        <w:t>̻</w:t>
      </w:r>
      <w:r>
        <w:rPr>
          <w:rFonts w:ascii="Times New Roman" w:cs="Times New Roman" w:eastAsia="Times New Roman" w:hAnsi="Times New Roman"/>
          <w:sz w:val="20"/>
          <w:szCs w:val="20"/>
          <w:color w:val="auto"/>
        </w:rPr>
        <w:t>process research and development (“IPR&amp;D”) intellectual property pursuant to its agreement with Paragon (the “Paragon Option Agreement”). Accordingly, the Asset Acquisition was accounted for as an asset acquisition rather than a business combination.</w:t>
      </w:r>
    </w:p>
    <w:p>
      <w:pPr>
        <w:spacing w:after="0" w:line="179"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color w:val="auto"/>
        </w:rPr>
        <w:t>In accordance with the Acquisition Agreement, the Company issued the following equity consideration to former Pre-Acquisition Damora security holders in exchange for 100% of the equity interests of Pre-Acquisition Damora:</w:t>
      </w:r>
    </w:p>
    <w:p>
      <w:pPr>
        <w:spacing w:after="0" w:line="184" w:lineRule="exact"/>
        <w:rPr>
          <w:sz w:val="20"/>
          <w:szCs w:val="20"/>
          <w:color w:val="auto"/>
        </w:rPr>
      </w:pPr>
    </w:p>
    <w:p>
      <w:pPr>
        <w:ind w:left="980" w:hanging="490"/>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265,309 shares of Common Stock;</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16,366 shares of Series B Preferred Stock;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4,241 shares of Series C Preferred Stock.</w:t>
      </w:r>
    </w:p>
    <w:p>
      <w:pPr>
        <w:spacing w:after="0" w:line="23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Each share of Series B and Series C Preferred Stock is convertible into 1,000 shares of Common Stock, applicable beneficial ownership limitations. On February 9, 2026, the Company received stockholder approval of, among other proposals, the issuance of shares of Common Stock upon conversion of the Series B Preferred Stock and Series C Preferred Stock.</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fair value of the equity consideration issued was determined based on the Common Stock trading price at the Closing date and the estimated fair value of the Series B Preferred Stock and Series C Preferred Stock sold to third parties. The total fair value of consideration transferred was approximately $152.7 million.</w:t>
      </w:r>
    </w:p>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The Company accounted for the Asset Acquisition under the asset acquisition guidance in ASC 805</w:t>
      </w:r>
      <w:r>
        <w:rPr>
          <w:rFonts w:ascii="Arial" w:cs="Arial" w:eastAsia="Arial" w:hAnsi="Arial"/>
          <w:sz w:val="20"/>
          <w:szCs w:val="20"/>
          <w:color w:val="auto"/>
        </w:rPr>
        <w:t>̻</w:t>
      </w:r>
      <w:r>
        <w:rPr>
          <w:rFonts w:ascii="Times New Roman" w:cs="Times New Roman" w:eastAsia="Times New Roman" w:hAnsi="Times New Roman"/>
          <w:sz w:val="20"/>
          <w:szCs w:val="20"/>
          <w:color w:val="auto"/>
        </w:rPr>
        <w:t>50. The cost to acquire the assets was measured based on the fair value of the equity consideration issued. Direct transaction costs in the amount of $2.3 million were included in the total cost to acquire the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total cost to acquire the asset was as follows (in millions):</w:t>
      </w:r>
    </w:p>
    <w:p>
      <w:pPr>
        <w:spacing w:after="0" w:line="290"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47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60" w:type="dxa"/>
            <w:vAlign w:val="bottom"/>
            <w:tcBorders>
              <w:bottom w:val="single" w:sz="8" w:color="D5EEEE"/>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Borders>
              <w:bottom w:val="single" w:sz="8" w:color="D5EEEE"/>
            </w:tcBorders>
          </w:tcPr>
          <w:p>
            <w:pPr>
              <w:spacing w:after="0"/>
              <w:rPr>
                <w:sz w:val="17"/>
                <w:szCs w:val="17"/>
                <w:color w:val="auto"/>
              </w:rPr>
            </w:pPr>
          </w:p>
        </w:tc>
      </w:tr>
      <w:tr>
        <w:trPr>
          <w:trHeight w:val="239"/>
        </w:trPr>
        <w:tc>
          <w:tcPr>
            <w:tcW w:w="47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Fair value of equity consideration issued</w:t>
            </w:r>
          </w:p>
        </w:tc>
        <w:tc>
          <w:tcPr>
            <w:tcW w:w="1460" w:type="dxa"/>
            <w:vAlign w:val="bottom"/>
            <w:shd w:val="clear" w:color="auto" w:fill="D5EEEE"/>
          </w:tcPr>
          <w:p>
            <w:pPr>
              <w:spacing w:after="0"/>
              <w:rPr>
                <w:sz w:val="20"/>
                <w:szCs w:val="20"/>
                <w:color w:val="auto"/>
              </w:rPr>
            </w:pPr>
          </w:p>
        </w:tc>
        <w:tc>
          <w:tcPr>
            <w:tcW w:w="24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152.7</w:t>
            </w:r>
          </w:p>
        </w:tc>
        <w:tc>
          <w:tcPr>
            <w:tcW w:w="60" w:type="dxa"/>
            <w:vAlign w:val="bottom"/>
            <w:shd w:val="clear" w:color="auto" w:fill="D5EEEE"/>
          </w:tcPr>
          <w:p>
            <w:pPr>
              <w:spacing w:after="0"/>
              <w:rPr>
                <w:sz w:val="20"/>
                <w:szCs w:val="20"/>
                <w:color w:val="auto"/>
              </w:rPr>
            </w:pPr>
          </w:p>
        </w:tc>
      </w:tr>
      <w:tr>
        <w:trPr>
          <w:trHeight w:val="244"/>
        </w:trPr>
        <w:tc>
          <w:tcPr>
            <w:tcW w:w="47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Transaction fees</w:t>
            </w:r>
          </w:p>
        </w:tc>
        <w:tc>
          <w:tcPr>
            <w:tcW w:w="1460" w:type="dxa"/>
            <w:vAlign w:val="bottom"/>
            <w:tcBorders>
              <w:bottom w:val="single" w:sz="8" w:color="D5EEEE"/>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Borders>
              <w:bottom w:val="single" w:sz="8" w:color="D5EEEE"/>
            </w:tcBorders>
          </w:tcPr>
          <w:p>
            <w:pPr>
              <w:spacing w:after="0"/>
              <w:rPr>
                <w:sz w:val="21"/>
                <w:szCs w:val="21"/>
                <w:color w:val="auto"/>
              </w:rPr>
            </w:pPr>
          </w:p>
        </w:tc>
      </w:tr>
      <w:tr>
        <w:trPr>
          <w:trHeight w:val="239"/>
        </w:trPr>
        <w:tc>
          <w:tcPr>
            <w:tcW w:w="47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cost to acquire asset</w:t>
            </w:r>
          </w:p>
        </w:tc>
        <w:tc>
          <w:tcPr>
            <w:tcW w:w="1460" w:type="dxa"/>
            <w:vAlign w:val="bottom"/>
            <w:shd w:val="clear" w:color="auto" w:fill="D5EEEE"/>
          </w:tcPr>
          <w:p>
            <w:pPr>
              <w:spacing w:after="0"/>
              <w:rPr>
                <w:sz w:val="20"/>
                <w:szCs w:val="20"/>
                <w:color w:val="auto"/>
              </w:rPr>
            </w:pPr>
          </w:p>
        </w:tc>
        <w:tc>
          <w:tcPr>
            <w:tcW w:w="24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155.0</w:t>
            </w:r>
          </w:p>
        </w:tc>
        <w:tc>
          <w:tcPr>
            <w:tcW w:w="60" w:type="dxa"/>
            <w:vAlign w:val="bottom"/>
            <w:shd w:val="clear" w:color="auto" w:fill="D5EEEE"/>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As an asset acquisition, the total cost was allocated to the identifiable assets acquired and liabilities assumed based on their relative fair values. The Company acquired cash and assumed certain current liabilities at the acquisition date, both of which were recorded at their carrying values, as they approximated fair value. The excess of the consideration transferred over the fair value of acquired assets and liabilities assumed was allocated to acquired IPR&amp;D.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allocation of the purchase price was as follows (in millions):</w:t>
      </w:r>
    </w:p>
    <w:p>
      <w:pPr>
        <w:spacing w:after="0" w:line="290"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4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39"/>
        </w:trPr>
        <w:tc>
          <w:tcPr>
            <w:tcW w:w="614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Acquired in-process research and development</w:t>
            </w:r>
          </w:p>
        </w:tc>
        <w:tc>
          <w:tcPr>
            <w:tcW w:w="240" w:type="dxa"/>
            <w:vAlign w:val="bottom"/>
            <w:tcBorders>
              <w:top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174.3</w:t>
            </w:r>
          </w:p>
        </w:tc>
        <w:tc>
          <w:tcPr>
            <w:tcW w:w="80" w:type="dxa"/>
            <w:vAlign w:val="bottom"/>
            <w:tcBorders>
              <w:top w:val="single" w:sz="8" w:color="D5EEEE"/>
            </w:tcBorders>
            <w:shd w:val="clear" w:color="auto" w:fill="D5EEEE"/>
          </w:tcPr>
          <w:p>
            <w:pPr>
              <w:spacing w:after="0"/>
              <w:rPr>
                <w:sz w:val="20"/>
                <w:szCs w:val="20"/>
                <w:color w:val="auto"/>
              </w:rPr>
            </w:pPr>
          </w:p>
        </w:tc>
      </w:tr>
      <w:tr>
        <w:trPr>
          <w:trHeight w:val="244"/>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Acquired cash</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tcPr>
          <w:p>
            <w:pPr>
              <w:spacing w:after="0"/>
              <w:rPr>
                <w:sz w:val="21"/>
                <w:szCs w:val="21"/>
                <w:color w:val="auto"/>
              </w:rPr>
            </w:pPr>
          </w:p>
        </w:tc>
      </w:tr>
      <w:tr>
        <w:trPr>
          <w:trHeight w:val="244"/>
        </w:trPr>
        <w:tc>
          <w:tcPr>
            <w:tcW w:w="61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Assumed current liabilities</w:t>
            </w:r>
          </w:p>
        </w:tc>
        <w:tc>
          <w:tcPr>
            <w:tcW w:w="240" w:type="dxa"/>
            <w:vAlign w:val="bottom"/>
            <w:shd w:val="clear" w:color="auto" w:fill="D5EEEE"/>
          </w:tcPr>
          <w:p>
            <w:pPr>
              <w:spacing w:after="0"/>
              <w:rPr>
                <w:sz w:val="21"/>
                <w:szCs w:val="21"/>
                <w:color w:val="auto"/>
              </w:rPr>
            </w:pPr>
          </w:p>
        </w:tc>
        <w:tc>
          <w:tcPr>
            <w:tcW w:w="118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(19.5)</w:t>
            </w: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cost to acquire asset</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155.0</w:t>
            </w:r>
          </w:p>
        </w:tc>
        <w:tc>
          <w:tcPr>
            <w:tcW w:w="80" w:type="dxa"/>
            <w:vAlign w:val="bottom"/>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20"/>
          <w:szCs w:val="20"/>
          <w:color w:val="auto"/>
        </w:rPr>
        <w:t>The acquired IPR&amp;D represents early</w:t>
      </w:r>
      <w:r>
        <w:rPr>
          <w:rFonts w:ascii="Arial" w:cs="Arial" w:eastAsia="Arial" w:hAnsi="Arial"/>
          <w:sz w:val="20"/>
          <w:szCs w:val="20"/>
          <w:color w:val="auto"/>
        </w:rPr>
        <w:t>̻</w:t>
      </w:r>
      <w:r>
        <w:rPr>
          <w:rFonts w:ascii="Times New Roman" w:cs="Times New Roman" w:eastAsia="Times New Roman" w:hAnsi="Times New Roman"/>
          <w:sz w:val="20"/>
          <w:szCs w:val="20"/>
          <w:color w:val="auto"/>
        </w:rPr>
        <w:t>stage research programs that had not yet reached technological feasibility at the acquisition date. The Company determined that the acquired IPR&amp;D had no alternative future use, as the intellectual property was in the pre</w:t>
      </w:r>
      <w:r>
        <w:rPr>
          <w:rFonts w:ascii="Arial" w:cs="Arial" w:eastAsia="Arial" w:hAnsi="Arial"/>
          <w:sz w:val="20"/>
          <w:szCs w:val="20"/>
          <w:color w:val="auto"/>
        </w:rPr>
        <w:t>̻</w:t>
      </w:r>
      <w:r>
        <w:rPr>
          <w:rFonts w:ascii="Times New Roman" w:cs="Times New Roman" w:eastAsia="Times New Roman" w:hAnsi="Times New Roman"/>
          <w:sz w:val="20"/>
          <w:szCs w:val="20"/>
          <w:color w:val="auto"/>
        </w:rPr>
        <w:t>clinical stage and was specific to the underlying research programs. Accordingly, the full amount allocated to IPR&amp;D was expensed as research and development expense on the acquisition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RELATED PARTY TRANSACTIONS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Bridge Medicines</w:t>
      </w:r>
    </w:p>
    <w:p>
      <w:pPr>
        <w:spacing w:after="0" w:line="2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In October 2024, the Company entered into the Bridge Purchase Agreement pursuant to which the Company acquired global rights to Bridge Medicines’ BRM-1420 program, a novel dual ENL-YEATS and FLT3 inhibitor for multiple genetic subsets of AML, and assumed certain of Bridge Medicines’ liabilities associated with the acquired assets. Pursuant to the Bridge Purchase Agreement, as</w:t>
      </w:r>
    </w:p>
    <w:p>
      <w:pPr>
        <w:sectPr>
          <w:pgSz w:w="12960" w:h="17280" w:orient="portrait"/>
          <w:cols w:equalWidth="0" w:num="1">
            <w:col w:w="10780"/>
          </w:cols>
          <w:pgMar w:left="1080" w:top="1440" w:right="1100" w:bottom="906"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F-16</w:t>
      </w:r>
    </w:p>
    <w:p>
      <w:pPr>
        <w:sectPr>
          <w:pgSz w:w="12960" w:h="17280" w:orient="portrait"/>
          <w:cols w:equalWidth="0" w:num="1">
            <w:col w:w="10780"/>
          </w:cols>
          <w:pgMar w:left="1080" w:top="1440" w:right="1100" w:bottom="906" w:gutter="0" w:footer="0" w:header="0"/>
          <w:type w:val="continuous"/>
        </w:sectPr>
      </w:pPr>
    </w:p>
    <w:bookmarkStart w:id="113" w:name="page114"/>
    <w:bookmarkEnd w:id="113"/>
    <w:p>
      <w:pPr>
        <w:spacing w:after="0" w:line="21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color w:val="auto"/>
        </w:rPr>
        <w:t>consideration to Bridge Medicines for the Asset Purchase, the Company issued to Bridge Medicines 62,594 shares of Common Stock and 160.562 shares of Series A Preferred Stock. Carl Goldfischer, Chairman of the Company’s board of directors is also the Executive Chairman of Bridge Medicines. For further details of the Bridge Purchase Agreement, see Note 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2024, except as noted above, the Company had no material related party transactions.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Paragon and Paramora Holding LLC</w:t>
      </w:r>
    </w:p>
    <w:p>
      <w:pPr>
        <w:spacing w:after="0" w:line="240"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Paragon and Paramora Holding LLC (“Paramora”) each beneficially own less than 5% of the Company’s capital stock through their respective holdings of Common Stock. Fairmount Funds Management LLC (“Fairmount”) beneficially owns more than 5% of the Company’s capital stock on an as-converted basis, has three seats on the board of directors and beneficially owns more than 5% of Paragon. Fairmount appointed Paragon’s board of directors and has the contractual right to approve the appointment of any executive officers. Paramora is an entity formed by Paragon as a vehicle to hold equity in Pre-Acquisition Damora (and, as a result of the Asset Acquisition, the Company) in order to share profits with certain employees of Paragon.</w:t>
      </w:r>
    </w:p>
    <w:p>
      <w:pPr>
        <w:spacing w:after="0" w:line="20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In connection with the Asset Acquisition, the Company assumed the rights and obligations of Pre-Acquisition Damora under the Paragon Option Agreement. Under the Paragon Option Agreement, Pre-Acquisition Damora (and, as a result of the Asset Acquisition, the Company) is obligated to compensate Paragon for its services performed under each research program based on the actual costs incurred with mark-up costs pursuant to the terms of the Paragon Option Agreement. As of the date of the Asset Acquisition, Pre-Acquisition Damora had incurred total expenses of $15.2 million under the Paragon Option Agreement since inception, all of which was reimbursable expenses under the Paragon Option Agreement for historical costs owed to Paragon. As of the Closing date, $15.2 million was unpaid and was assumed by the Company through the Asset Acquisition.</w:t>
      </w:r>
    </w:p>
    <w:p>
      <w:pPr>
        <w:spacing w:after="0" w:line="20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For the year ended December 31, 2025, the Company recognized expenses related to services provided by Paragon subsequent to the Asset Acquisition totaling $22.0 million, which included $9.4 million of stock-based compensation expense, and were recorded as Research and development expenses in the consolidated statements of operations. As of December 31, 2025, $17.2 million was unpaid and was included in Related party accounts payable and other current liabilities on the Company’s consolidated balance sheets.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 ended December 31, 2025, the Company made payments totaling $10.6 million to Paragon.</w:t>
      </w:r>
    </w:p>
    <w:p>
      <w:pPr>
        <w:spacing w:after="0" w:line="29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8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D5EE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5EEEE"/>
            </w:tcBorders>
          </w:tcPr>
          <w:p>
            <w:pPr>
              <w:spacing w:after="0"/>
              <w:rPr>
                <w:sz w:val="17"/>
                <w:szCs w:val="17"/>
                <w:color w:val="auto"/>
              </w:rPr>
            </w:pPr>
          </w:p>
        </w:tc>
      </w:tr>
      <w:tr>
        <w:trPr>
          <w:trHeight w:val="239"/>
        </w:trPr>
        <w:tc>
          <w:tcPr>
            <w:tcW w:w="58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Reimbursable costs under the Paragon Option Agreement</w:t>
            </w:r>
          </w:p>
        </w:tc>
        <w:tc>
          <w:tcPr>
            <w:tcW w:w="2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220" w:type="dxa"/>
            <w:vAlign w:val="bottom"/>
            <w:shd w:val="clear" w:color="auto" w:fill="D5EEEE"/>
          </w:tcPr>
          <w:p>
            <w:pPr>
              <w:spacing w:after="0"/>
              <w:rPr>
                <w:sz w:val="20"/>
                <w:szCs w:val="20"/>
                <w:color w:val="auto"/>
              </w:rPr>
            </w:pPr>
          </w:p>
        </w:tc>
        <w:tc>
          <w:tcPr>
            <w:tcW w:w="2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shd w:val="clear" w:color="auto" w:fill="D5EEEE"/>
          </w:tcPr>
          <w:p>
            <w:pPr>
              <w:spacing w:after="0"/>
              <w:rPr>
                <w:sz w:val="20"/>
                <w:szCs w:val="20"/>
                <w:color w:val="auto"/>
              </w:rPr>
            </w:pPr>
          </w:p>
        </w:tc>
      </w:tr>
    </w:tbl>
    <w:p>
      <w:pPr>
        <w:spacing w:after="0" w:line="257"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auto"/>
        </w:rPr>
        <w:t>On December 12, 2025, the Company exercised the Option available under the Paragon Option Agreement with respect to the DMR-001 research program, and expects to enter into the DMR-001 License Agreement.</w:t>
      </w:r>
    </w:p>
    <w:p>
      <w:pPr>
        <w:spacing w:after="0" w:line="16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Following the execution of the DMR-001 License Agreement, the Company will be obligated to pay Paragon up to $22.0 million upon the achievement of specific development, regulatory and clinical milestones for the first product under each agreement, respectively, that achieves such specified milestones. Upon execution of the DMR-001 License Agreement, we expect to pay Paragon a</w:t>
      </w:r>
    </w:p>
    <w:p>
      <w:pPr>
        <w:spacing w:after="0" w:line="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$1.5 million fee for nomination of a development candidate, as applicable, and the Company expects to be obligated to make a further milestone payment of $2.5 million upon the first dosing of a human patient in a Phase 1 trial.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the summary of Related party accounts payable and other current liabilities (in millions):</w:t>
      </w:r>
    </w:p>
    <w:p>
      <w:pPr>
        <w:spacing w:after="0" w:line="290"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6"/>
                <w:szCs w:val="16"/>
                <w:color w:val="auto"/>
              </w:rPr>
            </w:pPr>
          </w:p>
        </w:tc>
      </w:tr>
      <w:tr>
        <w:trPr>
          <w:trHeight w:val="203"/>
        </w:trPr>
        <w:tc>
          <w:tcPr>
            <w:tcW w:w="5840" w:type="dxa"/>
            <w:vAlign w:val="bottom"/>
            <w:tcBorders>
              <w:bottom w:val="single" w:sz="8" w:color="D5EEEE"/>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D5EEEE"/>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5EEEE"/>
            </w:tcBorders>
          </w:tcPr>
          <w:p>
            <w:pPr>
              <w:spacing w:after="0"/>
              <w:rPr>
                <w:sz w:val="17"/>
                <w:szCs w:val="17"/>
                <w:color w:val="auto"/>
              </w:rPr>
            </w:pPr>
          </w:p>
        </w:tc>
      </w:tr>
      <w:tr>
        <w:trPr>
          <w:trHeight w:val="239"/>
        </w:trPr>
        <w:tc>
          <w:tcPr>
            <w:tcW w:w="58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Reimbursable costs under the Paragon Option Agreement</w:t>
            </w: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220" w:type="dxa"/>
            <w:vAlign w:val="bottom"/>
            <w:shd w:val="clear" w:color="auto" w:fill="D5EEEE"/>
          </w:tcPr>
          <w:p>
            <w:pPr>
              <w:spacing w:after="0"/>
              <w:rPr>
                <w:sz w:val="20"/>
                <w:szCs w:val="20"/>
                <w:color w:val="auto"/>
              </w:rPr>
            </w:pP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Borders>
              <w:bottom w:val="single" w:sz="8" w:color="auto"/>
            </w:tcBorders>
            <w:shd w:val="clear" w:color="auto" w:fill="D5EEEE"/>
          </w:tcPr>
          <w:p>
            <w:pPr>
              <w:ind w:left="92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60" w:type="dxa"/>
            <w:vAlign w:val="bottom"/>
            <w:shd w:val="clear" w:color="auto" w:fill="D5EEEE"/>
          </w:tcPr>
          <w:p>
            <w:pPr>
              <w:spacing w:after="0"/>
              <w:rPr>
                <w:sz w:val="20"/>
                <w:szCs w:val="20"/>
                <w:color w:val="auto"/>
              </w:rPr>
            </w:pPr>
          </w:p>
        </w:tc>
      </w:tr>
      <w:tr>
        <w:trPr>
          <w:trHeight w:val="239"/>
        </w:trPr>
        <w:tc>
          <w:tcPr>
            <w:tcW w:w="5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Related party accounts payable and other current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6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Paramora option obligation</w:t>
      </w:r>
    </w:p>
    <w:p>
      <w:pPr>
        <w:spacing w:after="0" w:line="24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On November 10, 2025, in connection with the Asset Acquisition, the Company assumed the obligation to issue Paramora (the “Paramora Option Obligation”) an annual equity grant of warrants for Paramora to purchase 1% of the then outstanding shares of Common Stock, on a fully diluted basis, on the last business day of each calendar year during the term of the Paragon Option Agreement, at the fair market value determined by the board of directors of the Company. The Company determined that the 2025 and 2026 grants are two separate grants, as there would be no obligation for the 2026 grant had the Company exercised or terminated all of the options under the Paragon Option Agreement prior to December 31, 2026. The service inception period for the grant precedes the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F-17</w:t>
      </w:r>
    </w:p>
    <w:p>
      <w:pPr>
        <w:sectPr>
          <w:pgSz w:w="12960" w:h="17280" w:orient="portrait"/>
          <w:cols w:equalWidth="0" w:num="1">
            <w:col w:w="10800"/>
          </w:cols>
          <w:pgMar w:left="1080" w:top="1440" w:right="1080" w:bottom="895" w:gutter="0" w:footer="0" w:header="0"/>
        </w:sectPr>
      </w:pPr>
    </w:p>
    <w:bookmarkStart w:id="114" w:name="page115"/>
    <w:bookmarkEnd w:id="114"/>
    <w:p>
      <w:pPr>
        <w:spacing w:after="0" w:line="211"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0"/>
          <w:szCs w:val="20"/>
          <w:color w:val="auto"/>
        </w:rPr>
        <w:t>grant date, with the full award being vested as of the grant date with no post-grant date service requirement. Accordingly, a liability related to the Paramora Option Obligation was recorded pursuant to the amended Paragon Option Agreement during 2025 interim periods. The Company determined that the grant date of the award was December 31, 2025, as all terms of the award, including number of shares and exercise price, were known by all parties. Accordingly, the Company measured the grant-date fair value of the warrants granted at approximately $13.1 million as an equity-classified award, of which $ 3.7 million was recognized as part of the liabilities assumed with the Asset Acquisition on November 10, 2025. For the year ended December 31, 2025, $9.4 million was recognized as stock compensation expense related to the Paramora Option Obligation. There was no similar expense for the year ended December 31,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there was no unamortized expense related to the Paramora Option Obligation.</w:t>
      </w:r>
    </w:p>
    <w:p>
      <w:pPr>
        <w:spacing w:after="0" w:line="230"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20"/>
          <w:szCs w:val="20"/>
          <w:color w:val="auto"/>
        </w:rPr>
        <w:t>The Company settled its 2025 obligations under the Paramora Option Obligation by issuing Paramora 628,302 warrants to purchase Common Stock, with a $23.01 per share exercise price of each warrant. As of December 31, 2025, none of the warrants issued under the Paramora Option Obligation have been exercised.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assumptions used in calculating the fair value of the warrant obligation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62"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6120" w:type="dxa"/>
            <w:vAlign w:val="bottom"/>
            <w:tcBorders>
              <w:bottom w:val="single" w:sz="8" w:color="D5EEEE"/>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2025</w:t>
            </w:r>
          </w:p>
        </w:tc>
        <w:tc>
          <w:tcPr>
            <w:tcW w:w="220" w:type="dxa"/>
            <w:vAlign w:val="bottom"/>
          </w:tcPr>
          <w:p>
            <w:pPr>
              <w:spacing w:after="0"/>
              <w:rPr>
                <w:sz w:val="17"/>
                <w:szCs w:val="17"/>
                <w:color w:val="auto"/>
              </w:rPr>
            </w:pPr>
          </w:p>
        </w:tc>
      </w:tr>
      <w:tr>
        <w:trPr>
          <w:trHeight w:val="239"/>
        </w:trPr>
        <w:tc>
          <w:tcPr>
            <w:tcW w:w="61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100.0%</w:t>
            </w: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20" w:type="dxa"/>
            <w:vAlign w:val="bottom"/>
          </w:tcPr>
          <w:p>
            <w:pPr>
              <w:spacing w:after="0"/>
              <w:rPr>
                <w:sz w:val="21"/>
                <w:szCs w:val="21"/>
                <w:color w:val="auto"/>
              </w:rPr>
            </w:pPr>
          </w:p>
        </w:tc>
      </w:tr>
      <w:tr>
        <w:trPr>
          <w:trHeight w:val="244"/>
        </w:trPr>
        <w:tc>
          <w:tcPr>
            <w:tcW w:w="61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44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4.2%</w:t>
            </w:r>
          </w:p>
        </w:tc>
      </w:tr>
      <w:tr>
        <w:trPr>
          <w:trHeight w:val="266"/>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4912360</wp:posOffset>
                </wp:positionH>
                <wp:positionV relativeFrom="paragraph">
                  <wp:posOffset>-633095</wp:posOffset>
                </wp:positionV>
                <wp:extent cx="781685" cy="15494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1685" cy="154940"/>
                        </a:xfrm>
                        <a:prstGeom prst="rect">
                          <a:avLst/>
                        </a:prstGeom>
                        <a:solidFill>
                          <a:srgbClr val="D5EEEE"/>
                        </a:solidFill>
                      </wps:spPr>
                      <wps:bodyPr/>
                    </wps:wsp>
                  </a:graphicData>
                </a:graphic>
              </wp:anchor>
            </w:drawing>
          </mc:Choice>
          <mc:Fallback>
            <w:pict>
              <v:rect id="Shape 30" o:spid="_x0000_s1055" style="position:absolute;margin-left:386.8pt;margin-top:-49.8499pt;width:61.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INVESTMENTS IN MARKETABLE SECURITIES</w:t>
      </w:r>
    </w:p>
    <w:p>
      <w:pPr>
        <w:spacing w:after="0" w:line="244"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20"/>
          <w:szCs w:val="20"/>
          <w:color w:val="auto"/>
        </w:rPr>
        <w:t>Cash in excess of the Company’s immediate requirements is invested in accordance with the Company’s investment policy that primarily seeks to maintain adequate liquidity and preserve capital.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had no available-for-sale investments as of December 31, 2025 and 2024.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FAIR VALUE MEASUREMENTS</w:t>
      </w:r>
    </w:p>
    <w:p>
      <w:pPr>
        <w:spacing w:after="0" w:line="244" w:lineRule="exact"/>
        <w:rPr>
          <w:sz w:val="20"/>
          <w:szCs w:val="20"/>
          <w:color w:val="auto"/>
        </w:rPr>
      </w:pPr>
    </w:p>
    <w:p>
      <w:pPr>
        <w:ind w:right="440"/>
        <w:spacing w:after="0" w:line="252" w:lineRule="auto"/>
        <w:rPr>
          <w:sz w:val="20"/>
          <w:szCs w:val="20"/>
          <w:color w:val="auto"/>
        </w:rPr>
      </w:pPr>
      <w:r>
        <w:rPr>
          <w:rFonts w:ascii="Times New Roman" w:cs="Times New Roman" w:eastAsia="Times New Roman" w:hAnsi="Times New Roman"/>
          <w:sz w:val="20"/>
          <w:szCs w:val="20"/>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1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The Company classified its money market funds within Level 1 because their fair values are based on their quoted market prices. The Company classified its debt securities within Level 2 because their fair values are determined using alternative pricing sources or models that utilized market observable inputs.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assets that are measured at fair value as of December 31, 2025 and 2024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2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Fair Value Measurement at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3"/>
        </w:trPr>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4"/>
        </w:trPr>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40" w:type="dxa"/>
            <w:vAlign w:val="bottom"/>
          </w:tcPr>
          <w:p>
            <w:pPr>
              <w:spacing w:after="0"/>
              <w:rPr>
                <w:sz w:val="16"/>
                <w:szCs w:val="16"/>
                <w:color w:val="auto"/>
              </w:rPr>
            </w:pPr>
          </w:p>
        </w:tc>
      </w:tr>
      <w:tr>
        <w:trPr>
          <w:trHeight w:val="184"/>
        </w:trPr>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40" w:type="dxa"/>
            <w:vAlign w:val="bottom"/>
          </w:tcPr>
          <w:p>
            <w:pPr>
              <w:spacing w:after="0"/>
              <w:rPr>
                <w:sz w:val="16"/>
                <w:szCs w:val="16"/>
                <w:color w:val="auto"/>
              </w:rPr>
            </w:pPr>
          </w:p>
        </w:tc>
      </w:tr>
      <w:tr>
        <w:trPr>
          <w:trHeight w:val="184"/>
        </w:trPr>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40" w:type="dxa"/>
            <w:vAlign w:val="bottom"/>
          </w:tcPr>
          <w:p>
            <w:pPr>
              <w:spacing w:after="0"/>
              <w:rPr>
                <w:sz w:val="16"/>
                <w:szCs w:val="16"/>
                <w:color w:val="auto"/>
              </w:rPr>
            </w:pPr>
          </w:p>
        </w:tc>
      </w:tr>
      <w:tr>
        <w:trPr>
          <w:trHeight w:val="203"/>
        </w:trPr>
        <w:tc>
          <w:tcPr>
            <w:tcW w:w="37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80" w:type="dxa"/>
            <w:vAlign w:val="bottom"/>
            <w:tcBorders>
              <w:bottom w:val="single" w:sz="8" w:color="D5EEEE"/>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60" w:type="dxa"/>
            <w:vAlign w:val="bottom"/>
            <w:tcBorders>
              <w:bottom w:val="single" w:sz="8" w:color="D5EEEE"/>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60" w:type="dxa"/>
            <w:vAlign w:val="bottom"/>
            <w:tcBorders>
              <w:bottom w:val="single" w:sz="8" w:color="D5EEEE"/>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40" w:type="dxa"/>
            <w:vAlign w:val="bottom"/>
            <w:tcBorders>
              <w:bottom w:val="single" w:sz="8" w:color="D5EEEE"/>
            </w:tcBorders>
          </w:tcPr>
          <w:p>
            <w:pPr>
              <w:spacing w:after="0"/>
              <w:rPr>
                <w:sz w:val="17"/>
                <w:szCs w:val="17"/>
                <w:color w:val="auto"/>
              </w:rPr>
            </w:pPr>
          </w:p>
        </w:tc>
      </w:tr>
      <w:tr>
        <w:trPr>
          <w:trHeight w:val="239"/>
        </w:trPr>
        <w:tc>
          <w:tcPr>
            <w:tcW w:w="3760" w:type="dxa"/>
            <w:vAlign w:val="bottom"/>
            <w:shd w:val="clear" w:color="auto" w:fill="D5EEEE"/>
          </w:tcPr>
          <w:p>
            <w:pPr>
              <w:spacing w:after="0" w:line="238" w:lineRule="exact"/>
              <w:rPr>
                <w:sz w:val="20"/>
                <w:szCs w:val="20"/>
                <w:color w:val="auto"/>
              </w:rPr>
            </w:pPr>
            <w:r>
              <w:rPr>
                <w:rFonts w:ascii="Times New Roman" w:cs="Times New Roman" w:eastAsia="Times New Roman" w:hAnsi="Times New Roman"/>
                <w:sz w:val="20"/>
                <w:szCs w:val="20"/>
                <w:color w:val="auto"/>
              </w:rPr>
              <w:t>Money market funds</w:t>
            </w:r>
            <w:r>
              <w:rPr>
                <w:rFonts w:ascii="Times New Roman" w:cs="Times New Roman" w:eastAsia="Times New Roman" w:hAnsi="Times New Roman"/>
                <w:sz w:val="26"/>
                <w:szCs w:val="26"/>
                <w:color w:val="auto"/>
                <w:vertAlign w:val="superscript"/>
              </w:rPr>
              <w:t>(1)</w:t>
            </w:r>
          </w:p>
        </w:tc>
        <w:tc>
          <w:tcPr>
            <w:tcW w:w="2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220" w:type="dxa"/>
            <w:vAlign w:val="bottom"/>
            <w:shd w:val="clear" w:color="auto" w:fill="D5EEEE"/>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200,628</w:t>
            </w:r>
          </w:p>
        </w:tc>
        <w:tc>
          <w:tcPr>
            <w:tcW w:w="280" w:type="dxa"/>
            <w:vAlign w:val="bottom"/>
            <w:shd w:val="clear" w:color="auto" w:fill="D5EEEE"/>
          </w:tcPr>
          <w:p>
            <w:pPr>
              <w:spacing w:after="0"/>
              <w:rPr>
                <w:sz w:val="20"/>
                <w:szCs w:val="20"/>
                <w:color w:val="auto"/>
              </w:rPr>
            </w:pPr>
          </w:p>
        </w:tc>
        <w:tc>
          <w:tcPr>
            <w:tcW w:w="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200,628</w:t>
            </w:r>
          </w:p>
        </w:tc>
        <w:tc>
          <w:tcPr>
            <w:tcW w:w="2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24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gridSpan w:val="2"/>
            <w:shd w:val="clear" w:color="auto" w:fill="D5EEEE"/>
          </w:tcPr>
          <w:p>
            <w:pPr>
              <w:ind w:left="10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EEE"/>
          </w:tcPr>
          <w:p>
            <w:pPr>
              <w:spacing w:after="0"/>
              <w:rPr>
                <w:sz w:val="20"/>
                <w:szCs w:val="20"/>
                <w:color w:val="auto"/>
              </w:rPr>
            </w:pPr>
          </w:p>
        </w:tc>
        <w:tc>
          <w:tcPr>
            <w:tcW w:w="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gridSpan w:val="2"/>
            <w:shd w:val="clear" w:color="auto" w:fill="D5EEEE"/>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5EEEE"/>
          </w:tcPr>
          <w:p>
            <w:pPr>
              <w:spacing w:after="0"/>
              <w:rPr>
                <w:sz w:val="20"/>
                <w:szCs w:val="20"/>
                <w:color w:val="auto"/>
              </w:rPr>
            </w:pPr>
          </w:p>
        </w:tc>
      </w:tr>
      <w:tr>
        <w:trPr>
          <w:trHeight w:val="244"/>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Debt securities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ind w:left="10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1"/>
                <w:szCs w:val="21"/>
                <w:color w:val="auto"/>
              </w:rPr>
            </w:pPr>
          </w:p>
        </w:tc>
      </w:tr>
      <w:tr>
        <w:trPr>
          <w:trHeight w:val="239"/>
        </w:trPr>
        <w:tc>
          <w:tcPr>
            <w:tcW w:w="376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top w:val="single" w:sz="8" w:color="D5EEEE"/>
              <w:bottom w:val="single" w:sz="8" w:color="auto"/>
            </w:tcBorders>
            <w:shd w:val="clear" w:color="auto" w:fill="D5EEEE"/>
          </w:tcPr>
          <w:p>
            <w:pPr>
              <w:spacing w:after="0"/>
              <w:rPr>
                <w:sz w:val="20"/>
                <w:szCs w:val="20"/>
                <w:color w:val="auto"/>
              </w:rPr>
            </w:pPr>
          </w:p>
        </w:tc>
        <w:tc>
          <w:tcPr>
            <w:tcW w:w="240" w:type="dxa"/>
            <w:vAlign w:val="bottom"/>
            <w:tcBorders>
              <w:top w:val="single" w:sz="8" w:color="auto"/>
              <w:bottom w:val="single" w:sz="8" w:color="auto"/>
            </w:tcBorders>
            <w:gridSpan w:val="2"/>
            <w:shd w:val="clear" w:color="auto" w:fill="D5EEEE"/>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200,628</w:t>
            </w:r>
          </w:p>
        </w:tc>
        <w:tc>
          <w:tcPr>
            <w:tcW w:w="280" w:type="dxa"/>
            <w:vAlign w:val="bottom"/>
            <w:tcBorders>
              <w:top w:val="single" w:sz="8" w:color="D5EEEE"/>
            </w:tcBorders>
            <w:shd w:val="clear" w:color="auto" w:fill="D5EEEE"/>
          </w:tcPr>
          <w:p>
            <w:pPr>
              <w:spacing w:after="0"/>
              <w:rPr>
                <w:sz w:val="20"/>
                <w:szCs w:val="20"/>
                <w:color w:val="auto"/>
              </w:rPr>
            </w:pPr>
          </w:p>
        </w:tc>
        <w:tc>
          <w:tcPr>
            <w:tcW w:w="14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200,628</w:t>
            </w:r>
          </w:p>
        </w:tc>
        <w:tc>
          <w:tcPr>
            <w:tcW w:w="20" w:type="dxa"/>
            <w:vAlign w:val="bottom"/>
            <w:tcBorders>
              <w:top w:val="single" w:sz="8" w:color="D5EEEE"/>
            </w:tcBorders>
            <w:shd w:val="clear" w:color="auto" w:fill="D5EEEE"/>
          </w:tcPr>
          <w:p>
            <w:pPr>
              <w:spacing w:after="0"/>
              <w:rPr>
                <w:sz w:val="20"/>
                <w:szCs w:val="20"/>
                <w:color w:val="auto"/>
              </w:rPr>
            </w:pPr>
          </w:p>
        </w:tc>
        <w:tc>
          <w:tcPr>
            <w:tcW w:w="260" w:type="dxa"/>
            <w:vAlign w:val="bottom"/>
            <w:tcBorders>
              <w:top w:val="single" w:sz="8" w:color="D5EEEE"/>
            </w:tcBorders>
            <w:shd w:val="clear" w:color="auto" w:fill="D5EEEE"/>
          </w:tcPr>
          <w:p>
            <w:pPr>
              <w:spacing w:after="0"/>
              <w:rPr>
                <w:sz w:val="20"/>
                <w:szCs w:val="20"/>
                <w:color w:val="auto"/>
              </w:rPr>
            </w:pPr>
          </w:p>
        </w:tc>
        <w:tc>
          <w:tcPr>
            <w:tcW w:w="240" w:type="dxa"/>
            <w:vAlign w:val="bottom"/>
            <w:tcBorders>
              <w:top w:val="single" w:sz="8" w:color="auto"/>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bottom w:val="single" w:sz="8" w:color="auto"/>
            </w:tcBorders>
            <w:shd w:val="clear" w:color="auto" w:fill="D5EEEE"/>
          </w:tcPr>
          <w:p>
            <w:pPr>
              <w:ind w:left="108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Borders>
              <w:top w:val="single" w:sz="8" w:color="D5EEEE"/>
            </w:tcBorders>
            <w:shd w:val="clear" w:color="auto" w:fill="D5EEEE"/>
          </w:tcPr>
          <w:p>
            <w:pPr>
              <w:spacing w:after="0"/>
              <w:rPr>
                <w:sz w:val="20"/>
                <w:szCs w:val="20"/>
                <w:color w:val="auto"/>
              </w:rPr>
            </w:pPr>
          </w:p>
        </w:tc>
        <w:tc>
          <w:tcPr>
            <w:tcW w:w="260" w:type="dxa"/>
            <w:vAlign w:val="bottom"/>
            <w:tcBorders>
              <w:top w:val="single" w:sz="8" w:color="D5EEEE"/>
            </w:tcBorders>
            <w:shd w:val="clear" w:color="auto" w:fill="D5EEEE"/>
          </w:tcPr>
          <w:p>
            <w:pPr>
              <w:spacing w:after="0"/>
              <w:rPr>
                <w:sz w:val="20"/>
                <w:szCs w:val="20"/>
                <w:color w:val="auto"/>
              </w:rPr>
            </w:pPr>
          </w:p>
        </w:tc>
        <w:tc>
          <w:tcPr>
            <w:tcW w:w="2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top w:val="single" w:sz="8" w:color="auto"/>
              <w:bottom w:val="single" w:sz="8" w:color="auto"/>
            </w:tcBorders>
            <w:shd w:val="clear" w:color="auto" w:fill="D5EEEE"/>
          </w:tcPr>
          <w:p>
            <w:pPr>
              <w:ind w:left="112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Borders>
              <w:top w:val="single" w:sz="8" w:color="D5EEEE"/>
            </w:tcBorders>
            <w:shd w:val="clear" w:color="auto" w:fill="D5EEEE"/>
          </w:tcPr>
          <w:p>
            <w:pPr>
              <w:spacing w:after="0"/>
              <w:rPr>
                <w:sz w:val="20"/>
                <w:szCs w:val="20"/>
                <w:color w:val="auto"/>
              </w:rPr>
            </w:pPr>
          </w:p>
        </w:tc>
        <w:tc>
          <w:tcPr>
            <w:tcW w:w="40" w:type="dxa"/>
            <w:vAlign w:val="bottom"/>
            <w:tcBorders>
              <w:top w:val="single" w:sz="8" w:color="D5EEEE"/>
            </w:tcBorders>
            <w:shd w:val="clear" w:color="auto" w:fill="D5EEEE"/>
          </w:tcPr>
          <w:p>
            <w:pPr>
              <w:spacing w:after="0"/>
              <w:rPr>
                <w:sz w:val="20"/>
                <w:szCs w:val="20"/>
                <w:color w:val="auto"/>
              </w:rPr>
            </w:pPr>
          </w:p>
        </w:tc>
      </w:tr>
      <w:tr>
        <w:trPr>
          <w:trHeight w:val="20"/>
        </w:trPr>
        <w:tc>
          <w:tcPr>
            <w:tcW w:w="3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2366010</wp:posOffset>
            </wp:positionH>
            <wp:positionV relativeFrom="paragraph">
              <wp:posOffset>-1129030</wp:posOffset>
            </wp:positionV>
            <wp:extent cx="447040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a:extLst>
                        <a:ext uri="{28A0092B-C50C-407E-A947-70E740481C1C}"/>
                      </a:extLst>
                    </a:blip>
                    <a:srcRect/>
                    <a:stretch>
                      <a:fillRect/>
                    </a:stretch>
                  </pic:blipFill>
                  <pic:spPr bwMode="auto">
                    <a:xfrm>
                      <a:off x="0" y="0"/>
                      <a:ext cx="4470400" cy="38100"/>
                    </a:xfrm>
                    <a:prstGeom prst="rect">
                      <a:avLst/>
                    </a:prstGeom>
                    <a:noFill/>
                  </pic:spPr>
                </pic:pic>
              </a:graphicData>
            </a:graphic>
          </wp:anchor>
        </w:drawing>
      </w:r>
    </w:p>
    <w:p>
      <w:pPr>
        <w:sectPr>
          <w:pgSz w:w="12960" w:h="17280" w:orient="portrait"/>
          <w:cols w:equalWidth="0" w:num="1">
            <w:col w:w="10800"/>
          </w:cols>
          <w:pgMar w:left="1080" w:top="1440" w:right="108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960" w:h="17280" w:orient="portrait"/>
          <w:cols w:equalWidth="0" w:num="1">
            <w:col w:w="10800"/>
          </w:cols>
          <w:pgMar w:left="1080" w:top="1440" w:right="1080" w:bottom="906" w:gutter="0" w:footer="0" w:header="0"/>
          <w:type w:val="continuous"/>
        </w:sectPr>
      </w:pPr>
    </w:p>
    <w:bookmarkStart w:id="115" w:name="page116"/>
    <w:bookmarkEnd w:id="115"/>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gridSpan w:val="5"/>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Fair Value Measurement at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5"/>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60" w:type="dxa"/>
            <w:vAlign w:val="bottom"/>
          </w:tcPr>
          <w:p>
            <w:pPr>
              <w:spacing w:after="0"/>
              <w:rPr>
                <w:sz w:val="16"/>
                <w:szCs w:val="16"/>
                <w:color w:val="auto"/>
              </w:rPr>
            </w:pPr>
          </w:p>
        </w:tc>
      </w:tr>
      <w:tr>
        <w:trPr>
          <w:trHeight w:val="184"/>
        </w:trPr>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60" w:type="dxa"/>
            <w:vAlign w:val="bottom"/>
          </w:tcPr>
          <w:p>
            <w:pPr>
              <w:spacing w:after="0"/>
              <w:rPr>
                <w:sz w:val="16"/>
                <w:szCs w:val="16"/>
                <w:color w:val="auto"/>
              </w:rPr>
            </w:pPr>
          </w:p>
        </w:tc>
      </w:tr>
      <w:tr>
        <w:trPr>
          <w:trHeight w:val="184"/>
        </w:trPr>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60" w:type="dxa"/>
            <w:vAlign w:val="bottom"/>
          </w:tcPr>
          <w:p>
            <w:pPr>
              <w:spacing w:after="0"/>
              <w:rPr>
                <w:sz w:val="16"/>
                <w:szCs w:val="16"/>
                <w:color w:val="auto"/>
              </w:rPr>
            </w:pPr>
          </w:p>
        </w:tc>
      </w:tr>
      <w:tr>
        <w:trPr>
          <w:trHeight w:val="203"/>
        </w:trPr>
        <w:tc>
          <w:tcPr>
            <w:tcW w:w="3780" w:type="dxa"/>
            <w:vAlign w:val="bottom"/>
            <w:tcBorders>
              <w:bottom w:val="single" w:sz="8" w:color="D5EEEE"/>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60" w:type="dxa"/>
            <w:vAlign w:val="bottom"/>
            <w:tcBorders>
              <w:bottom w:val="single" w:sz="8" w:color="D5EEEE"/>
            </w:tcBorders>
          </w:tcPr>
          <w:p>
            <w:pPr>
              <w:spacing w:after="0"/>
              <w:rPr>
                <w:sz w:val="17"/>
                <w:szCs w:val="17"/>
                <w:color w:val="auto"/>
              </w:rPr>
            </w:pPr>
          </w:p>
        </w:tc>
      </w:tr>
      <w:tr>
        <w:trPr>
          <w:trHeight w:val="239"/>
        </w:trPr>
        <w:tc>
          <w:tcPr>
            <w:tcW w:w="3780" w:type="dxa"/>
            <w:vAlign w:val="bottom"/>
            <w:gridSpan w:val="2"/>
            <w:shd w:val="clear" w:color="auto" w:fill="D5EEEE"/>
          </w:tcPr>
          <w:p>
            <w:pPr>
              <w:spacing w:after="0" w:line="238" w:lineRule="exact"/>
              <w:rPr>
                <w:sz w:val="20"/>
                <w:szCs w:val="20"/>
                <w:color w:val="auto"/>
              </w:rPr>
            </w:pPr>
            <w:r>
              <w:rPr>
                <w:rFonts w:ascii="Times New Roman" w:cs="Times New Roman" w:eastAsia="Times New Roman" w:hAnsi="Times New Roman"/>
                <w:sz w:val="20"/>
                <w:szCs w:val="20"/>
                <w:color w:val="auto"/>
              </w:rPr>
              <w:t>Money market funds</w:t>
            </w:r>
            <w:r>
              <w:rPr>
                <w:rFonts w:ascii="Times New Roman" w:cs="Times New Roman" w:eastAsia="Times New Roman" w:hAnsi="Times New Roman"/>
                <w:sz w:val="26"/>
                <w:szCs w:val="26"/>
                <w:color w:val="auto"/>
                <w:vertAlign w:val="superscript"/>
              </w:rPr>
              <w:t>(1)</w:t>
            </w:r>
          </w:p>
        </w:tc>
        <w:tc>
          <w:tcPr>
            <w:tcW w:w="240" w:type="dxa"/>
            <w:vAlign w:val="bottom"/>
            <w:shd w:val="clear" w:color="auto" w:fill="D5EEEE"/>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5,926</w:t>
            </w:r>
          </w:p>
        </w:tc>
        <w:tc>
          <w:tcPr>
            <w:tcW w:w="28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5,926</w:t>
            </w:r>
          </w:p>
        </w:tc>
        <w:tc>
          <w:tcPr>
            <w:tcW w:w="28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220" w:type="dxa"/>
            <w:vAlign w:val="bottom"/>
            <w:shd w:val="clear" w:color="auto" w:fill="D5EEEE"/>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D5EEEE"/>
          </w:tcPr>
          <w:p>
            <w:pPr>
              <w:ind w:left="1080"/>
              <w:spacing w:after="0"/>
              <w:rPr>
                <w:sz w:val="20"/>
                <w:szCs w:val="20"/>
                <w:color w:val="auto"/>
              </w:rPr>
            </w:pPr>
            <w:r>
              <w:rPr>
                <w:rFonts w:ascii="Times New Roman" w:cs="Times New Roman" w:eastAsia="Times New Roman" w:hAnsi="Times New Roman"/>
                <w:sz w:val="20"/>
                <w:szCs w:val="20"/>
                <w:color w:val="auto"/>
                <w:w w:val="99"/>
              </w:rPr>
              <w:t>—</w:t>
            </w:r>
          </w:p>
        </w:tc>
        <w:tc>
          <w:tcPr>
            <w:tcW w:w="28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180" w:type="dxa"/>
            <w:vAlign w:val="bottom"/>
            <w:shd w:val="clear" w:color="auto" w:fill="D5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D5EEEE"/>
          </w:tcPr>
          <w:p>
            <w:pPr>
              <w:ind w:left="112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D5EEEE"/>
          </w:tcPr>
          <w:p>
            <w:pPr>
              <w:spacing w:after="0"/>
              <w:rPr>
                <w:sz w:val="20"/>
                <w:szCs w:val="20"/>
                <w:color w:val="auto"/>
              </w:rPr>
            </w:pPr>
          </w:p>
        </w:tc>
      </w:tr>
      <w:tr>
        <w:trPr>
          <w:trHeight w:val="244"/>
        </w:trPr>
        <w:tc>
          <w:tcPr>
            <w:tcW w:w="3780" w:type="dxa"/>
            <w:vAlign w:val="bottom"/>
            <w:tcBorders>
              <w:bottom w:val="single" w:sz="8" w:color="D5EEEE"/>
            </w:tcBorders>
            <w:gridSpan w:val="2"/>
          </w:tcPr>
          <w:p>
            <w:pPr>
              <w:spacing w:after="0"/>
              <w:rPr>
                <w:sz w:val="20"/>
                <w:szCs w:val="20"/>
                <w:color w:val="auto"/>
              </w:rPr>
            </w:pPr>
            <w:r>
              <w:rPr>
                <w:rFonts w:ascii="Times New Roman" w:cs="Times New Roman" w:eastAsia="Times New Roman" w:hAnsi="Times New Roman"/>
                <w:sz w:val="20"/>
                <w:szCs w:val="20"/>
                <w:color w:val="auto"/>
              </w:rPr>
              <w:t>Debt securities</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20"/>
                <w:szCs w:val="20"/>
                <w:color w:val="auto"/>
                <w:w w:val="99"/>
              </w:rPr>
              <w:t>—</w:t>
            </w:r>
          </w:p>
        </w:tc>
        <w:tc>
          <w:tcPr>
            <w:tcW w:w="2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Borders>
              <w:bottom w:val="single" w:sz="8" w:color="D5EEEE"/>
            </w:tcBorders>
          </w:tcPr>
          <w:p>
            <w:pPr>
              <w:spacing w:after="0"/>
              <w:rPr>
                <w:sz w:val="21"/>
                <w:szCs w:val="21"/>
                <w:color w:val="auto"/>
              </w:rPr>
            </w:pPr>
          </w:p>
        </w:tc>
      </w:tr>
      <w:tr>
        <w:trPr>
          <w:trHeight w:val="259"/>
        </w:trPr>
        <w:tc>
          <w:tcPr>
            <w:tcW w:w="378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shd w:val="clear" w:color="auto" w:fill="D5EEEE"/>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5,926</w:t>
            </w:r>
          </w:p>
        </w:tc>
        <w:tc>
          <w:tcPr>
            <w:tcW w:w="280" w:type="dxa"/>
            <w:vAlign w:val="bottom"/>
            <w:shd w:val="clear" w:color="auto" w:fill="D5EEEE"/>
          </w:tcPr>
          <w:p>
            <w:pPr>
              <w:spacing w:after="0"/>
              <w:rPr>
                <w:sz w:val="22"/>
                <w:szCs w:val="22"/>
                <w:color w:val="auto"/>
              </w:rPr>
            </w:pPr>
          </w:p>
        </w:tc>
        <w:tc>
          <w:tcPr>
            <w:tcW w:w="20" w:type="dxa"/>
            <w:vAlign w:val="bottom"/>
            <w:shd w:val="clear" w:color="auto" w:fill="D5EEEE"/>
          </w:tcPr>
          <w:p>
            <w:pPr>
              <w:spacing w:after="0"/>
              <w:rPr>
                <w:sz w:val="22"/>
                <w:szCs w:val="22"/>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5,926</w:t>
            </w:r>
          </w:p>
        </w:tc>
        <w:tc>
          <w:tcPr>
            <w:tcW w:w="280" w:type="dxa"/>
            <w:vAlign w:val="bottom"/>
            <w:shd w:val="clear" w:color="auto" w:fill="D5EEEE"/>
          </w:tcPr>
          <w:p>
            <w:pPr>
              <w:spacing w:after="0"/>
              <w:rPr>
                <w:sz w:val="22"/>
                <w:szCs w:val="22"/>
                <w:color w:val="auto"/>
              </w:rPr>
            </w:pPr>
          </w:p>
        </w:tc>
        <w:tc>
          <w:tcPr>
            <w:tcW w:w="20" w:type="dxa"/>
            <w:vAlign w:val="bottom"/>
            <w:shd w:val="clear" w:color="auto" w:fill="D5EEEE"/>
          </w:tcPr>
          <w:p>
            <w:pPr>
              <w:spacing w:after="0"/>
              <w:rPr>
                <w:sz w:val="22"/>
                <w:szCs w:val="22"/>
                <w:color w:val="auto"/>
              </w:rPr>
            </w:pPr>
          </w:p>
        </w:tc>
        <w:tc>
          <w:tcPr>
            <w:tcW w:w="220" w:type="dxa"/>
            <w:vAlign w:val="bottom"/>
            <w:shd w:val="clear" w:color="auto" w:fill="D5EEEE"/>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D5EEEE"/>
          </w:tcPr>
          <w:p>
            <w:pPr>
              <w:ind w:left="1080"/>
              <w:spacing w:after="0"/>
              <w:rPr>
                <w:sz w:val="20"/>
                <w:szCs w:val="20"/>
                <w:color w:val="auto"/>
              </w:rPr>
            </w:pPr>
            <w:r>
              <w:rPr>
                <w:rFonts w:ascii="Times New Roman" w:cs="Times New Roman" w:eastAsia="Times New Roman" w:hAnsi="Times New Roman"/>
                <w:sz w:val="20"/>
                <w:szCs w:val="20"/>
                <w:color w:val="auto"/>
                <w:w w:val="99"/>
              </w:rPr>
              <w:t>—</w:t>
            </w:r>
          </w:p>
        </w:tc>
        <w:tc>
          <w:tcPr>
            <w:tcW w:w="280" w:type="dxa"/>
            <w:vAlign w:val="bottom"/>
            <w:shd w:val="clear" w:color="auto" w:fill="D5EEEE"/>
          </w:tcPr>
          <w:p>
            <w:pPr>
              <w:spacing w:after="0"/>
              <w:rPr>
                <w:sz w:val="22"/>
                <w:szCs w:val="22"/>
                <w:color w:val="auto"/>
              </w:rPr>
            </w:pPr>
          </w:p>
        </w:tc>
        <w:tc>
          <w:tcPr>
            <w:tcW w:w="20" w:type="dxa"/>
            <w:vAlign w:val="bottom"/>
            <w:shd w:val="clear" w:color="auto" w:fill="D5EEEE"/>
          </w:tcPr>
          <w:p>
            <w:pPr>
              <w:spacing w:after="0"/>
              <w:rPr>
                <w:sz w:val="22"/>
                <w:szCs w:val="22"/>
                <w:color w:val="auto"/>
              </w:rPr>
            </w:pPr>
          </w:p>
        </w:tc>
        <w:tc>
          <w:tcPr>
            <w:tcW w:w="180" w:type="dxa"/>
            <w:vAlign w:val="bottom"/>
            <w:shd w:val="clear" w:color="auto" w:fill="D5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D5EEEE"/>
          </w:tcPr>
          <w:p>
            <w:pPr>
              <w:ind w:left="112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D5EEEE"/>
          </w:tcPr>
          <w:p>
            <w:pPr>
              <w:spacing w:after="0"/>
              <w:rPr>
                <w:sz w:val="22"/>
                <w:szCs w:val="22"/>
                <w:color w:val="auto"/>
              </w:rPr>
            </w:pPr>
          </w:p>
        </w:tc>
      </w:tr>
      <w:tr>
        <w:trPr>
          <w:trHeight w:val="20"/>
        </w:trPr>
        <w:tc>
          <w:tcPr>
            <w:tcW w:w="3760" w:type="dxa"/>
            <w:vAlign w:val="bottom"/>
            <w:tcBorders>
              <w:top w:val="single" w:sz="8" w:color="D5EEE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5EEE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5EEE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5EEE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5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2366010</wp:posOffset>
            </wp:positionH>
            <wp:positionV relativeFrom="paragraph">
              <wp:posOffset>-1128395</wp:posOffset>
            </wp:positionV>
            <wp:extent cx="44704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6">
                      <a:extLst>
                        <a:ext uri="{28A0092B-C50C-407E-A947-70E740481C1C}"/>
                      </a:extLst>
                    </a:blip>
                    <a:srcRect/>
                    <a:stretch>
                      <a:fillRect/>
                    </a:stretch>
                  </pic:blipFill>
                  <pic:spPr bwMode="auto">
                    <a:xfrm>
                      <a:off x="0" y="0"/>
                      <a:ext cx="4470400" cy="38100"/>
                    </a:xfrm>
                    <a:prstGeom prst="rect">
                      <a:avLst/>
                    </a:prstGeom>
                    <a:noFill/>
                  </pic:spPr>
                </pic:pic>
              </a:graphicData>
            </a:graphic>
          </wp:anchor>
        </w:drawing>
      </w:r>
    </w:p>
    <w:p>
      <w:pPr>
        <w:spacing w:after="0" w:line="191" w:lineRule="exact"/>
        <w:rPr>
          <w:sz w:val="20"/>
          <w:szCs w:val="20"/>
          <w:color w:val="auto"/>
        </w:rPr>
      </w:pPr>
    </w:p>
    <w:p>
      <w:pPr>
        <w:ind w:left="720" w:right="140" w:hanging="360"/>
        <w:spacing w:after="0" w:line="277" w:lineRule="auto"/>
        <w:tabs>
          <w:tab w:leader="none" w:pos="72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color w:val="auto"/>
        </w:rPr>
        <w:t>Money market funds with maturities of 90 days or less at the date of purchase are included within cash and cash equivalents in the accompanying consolidated balance sheets and are recognized at fair value.</w:t>
      </w:r>
    </w:p>
    <w:p>
      <w:pPr>
        <w:spacing w:after="0" w:line="165" w:lineRule="exact"/>
        <w:rPr>
          <w:rFonts w:ascii="Times New Roman" w:cs="Times New Roman" w:eastAsia="Times New Roman" w:hAnsi="Times New Roman"/>
          <w:sz w:val="16"/>
          <w:szCs w:val="16"/>
          <w:color w:val="auto"/>
        </w:rPr>
      </w:pPr>
    </w:p>
    <w:p>
      <w:pPr>
        <w:ind w:left="200" w:hanging="200"/>
        <w:spacing w:after="0"/>
        <w:tabs>
          <w:tab w:leader="none" w:pos="20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PREPAID EXPENSES AND OTHER CURRENT ASSETS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Prepaid expenses and other current assets consist of the following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3580" w:type="dxa"/>
            <w:vAlign w:val="bottom"/>
            <w:tcBorders>
              <w:bottom w:val="single" w:sz="8" w:color="D5EEEE"/>
            </w:tcBorders>
          </w:tcPr>
          <w:p>
            <w:pPr>
              <w:spacing w:after="0"/>
              <w:rPr>
                <w:sz w:val="16"/>
                <w:szCs w:val="16"/>
                <w:color w:val="auto"/>
              </w:rPr>
            </w:pPr>
          </w:p>
        </w:tc>
        <w:tc>
          <w:tcPr>
            <w:tcW w:w="200" w:type="dxa"/>
            <w:vAlign w:val="bottom"/>
            <w:tcBorders>
              <w:bottom w:val="single" w:sz="8" w:color="D5EEEE"/>
            </w:tcBorders>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196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D5EEEE"/>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388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Contract research and development costs</w:t>
            </w:r>
          </w:p>
        </w:tc>
        <w:tc>
          <w:tcPr>
            <w:tcW w:w="196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1,198</w:t>
            </w:r>
          </w:p>
        </w:tc>
        <w:tc>
          <w:tcPr>
            <w:tcW w:w="220" w:type="dxa"/>
            <w:vAlign w:val="bottom"/>
            <w:shd w:val="clear" w:color="auto" w:fill="D5EEEE"/>
          </w:tcPr>
          <w:p>
            <w:pPr>
              <w:spacing w:after="0"/>
              <w:rPr>
                <w:sz w:val="20"/>
                <w:szCs w:val="20"/>
                <w:color w:val="auto"/>
              </w:rPr>
            </w:pPr>
          </w:p>
        </w:tc>
        <w:tc>
          <w:tcPr>
            <w:tcW w:w="400" w:type="dxa"/>
            <w:vAlign w:val="bottom"/>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right w:val="single" w:sz="8" w:color="D5EEEE"/>
            </w:tcBorders>
            <w:gridSpan w:val="3"/>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1,103</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Research and development tax credit receivable</w:t>
            </w:r>
          </w:p>
        </w:tc>
        <w:tc>
          <w:tcPr>
            <w:tcW w:w="1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836</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388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Prepaid insurance costs</w:t>
            </w:r>
          </w:p>
        </w:tc>
        <w:tc>
          <w:tcPr>
            <w:tcW w:w="196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10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577</w:t>
            </w:r>
          </w:p>
        </w:tc>
        <w:tc>
          <w:tcPr>
            <w:tcW w:w="220" w:type="dxa"/>
            <w:vAlign w:val="bottom"/>
            <w:shd w:val="clear" w:color="auto" w:fill="D5EEEE"/>
          </w:tcPr>
          <w:p>
            <w:pPr>
              <w:spacing w:after="0"/>
              <w:rPr>
                <w:sz w:val="21"/>
                <w:szCs w:val="21"/>
                <w:color w:val="auto"/>
              </w:rPr>
            </w:pPr>
          </w:p>
        </w:tc>
        <w:tc>
          <w:tcPr>
            <w:tcW w:w="400" w:type="dxa"/>
            <w:vAlign w:val="bottom"/>
            <w:shd w:val="clear" w:color="auto" w:fill="D5EEEE"/>
          </w:tcPr>
          <w:p>
            <w:pPr>
              <w:spacing w:after="0"/>
              <w:rPr>
                <w:sz w:val="21"/>
                <w:szCs w:val="21"/>
                <w:color w:val="auto"/>
              </w:rPr>
            </w:pPr>
          </w:p>
        </w:tc>
        <w:tc>
          <w:tcPr>
            <w:tcW w:w="920" w:type="dxa"/>
            <w:vAlign w:val="bottom"/>
            <w:tcBorders>
              <w:right w:val="single" w:sz="8" w:color="D5EEEE"/>
            </w:tcBorders>
            <w:gridSpan w:val="3"/>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Value-added tax refund receivable</w:t>
            </w:r>
          </w:p>
        </w:tc>
        <w:tc>
          <w:tcPr>
            <w:tcW w:w="1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3880" w:type="dxa"/>
            <w:vAlign w:val="bottom"/>
            <w:tcBorders>
              <w:bottom w:val="single" w:sz="8" w:color="D5EEEE"/>
            </w:tcBorders>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Other</w:t>
            </w:r>
          </w:p>
        </w:tc>
        <w:tc>
          <w:tcPr>
            <w:tcW w:w="1960" w:type="dxa"/>
            <w:vAlign w:val="bottom"/>
            <w:tcBorders>
              <w:bottom w:val="single" w:sz="8" w:color="D5EEEE"/>
            </w:tcBorders>
            <w:shd w:val="clear" w:color="auto" w:fill="D5EEEE"/>
          </w:tcPr>
          <w:p>
            <w:pPr>
              <w:spacing w:after="0"/>
              <w:rPr>
                <w:sz w:val="22"/>
                <w:szCs w:val="22"/>
                <w:color w:val="auto"/>
              </w:rPr>
            </w:pPr>
          </w:p>
        </w:tc>
        <w:tc>
          <w:tcPr>
            <w:tcW w:w="20" w:type="dxa"/>
            <w:vAlign w:val="bottom"/>
            <w:tcBorders>
              <w:bottom w:val="single" w:sz="8" w:color="D5EEEE"/>
            </w:tcBorders>
            <w:shd w:val="clear" w:color="auto" w:fill="D5EEEE"/>
          </w:tcPr>
          <w:p>
            <w:pPr>
              <w:spacing w:after="0"/>
              <w:rPr>
                <w:sz w:val="22"/>
                <w:szCs w:val="22"/>
                <w:color w:val="auto"/>
              </w:rPr>
            </w:pPr>
          </w:p>
        </w:tc>
        <w:tc>
          <w:tcPr>
            <w:tcW w:w="160" w:type="dxa"/>
            <w:vAlign w:val="bottom"/>
            <w:tcBorders>
              <w:bottom w:val="single" w:sz="8" w:color="auto"/>
            </w:tcBorders>
            <w:shd w:val="clear" w:color="auto" w:fill="D5EEEE"/>
          </w:tcPr>
          <w:p>
            <w:pPr>
              <w:spacing w:after="0"/>
              <w:rPr>
                <w:sz w:val="22"/>
                <w:szCs w:val="22"/>
                <w:color w:val="auto"/>
              </w:rPr>
            </w:pPr>
          </w:p>
        </w:tc>
        <w:tc>
          <w:tcPr>
            <w:tcW w:w="1080" w:type="dxa"/>
            <w:vAlign w:val="bottom"/>
            <w:tcBorders>
              <w:bottom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220" w:type="dxa"/>
            <w:vAlign w:val="bottom"/>
            <w:tcBorders>
              <w:bottom w:val="single" w:sz="8" w:color="D5EEEE"/>
            </w:tcBorders>
            <w:shd w:val="clear" w:color="auto" w:fill="D5EEEE"/>
          </w:tcPr>
          <w:p>
            <w:pPr>
              <w:spacing w:after="0"/>
              <w:rPr>
                <w:sz w:val="22"/>
                <w:szCs w:val="22"/>
                <w:color w:val="auto"/>
              </w:rPr>
            </w:pPr>
          </w:p>
        </w:tc>
        <w:tc>
          <w:tcPr>
            <w:tcW w:w="400" w:type="dxa"/>
            <w:vAlign w:val="bottom"/>
            <w:tcBorders>
              <w:bottom w:val="single" w:sz="8" w:color="auto"/>
            </w:tcBorders>
            <w:shd w:val="clear" w:color="auto" w:fill="D5EEEE"/>
          </w:tcPr>
          <w:p>
            <w:pPr>
              <w:spacing w:after="0"/>
              <w:rPr>
                <w:sz w:val="22"/>
                <w:szCs w:val="22"/>
                <w:color w:val="auto"/>
              </w:rPr>
            </w:pPr>
          </w:p>
        </w:tc>
        <w:tc>
          <w:tcPr>
            <w:tcW w:w="920" w:type="dxa"/>
            <w:vAlign w:val="bottom"/>
            <w:tcBorders>
              <w:bottom w:val="single" w:sz="8" w:color="auto"/>
              <w:right w:val="single" w:sz="8" w:color="D5EEEE"/>
            </w:tcBorders>
            <w:gridSpan w:val="3"/>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080" w:type="dxa"/>
            <w:vAlign w:val="bottom"/>
          </w:tcPr>
          <w:p>
            <w:pPr>
              <w:spacing w:after="0"/>
              <w:rPr>
                <w:sz w:val="19"/>
                <w:szCs w:val="19"/>
                <w:color w:val="auto"/>
              </w:rPr>
            </w:pPr>
          </w:p>
        </w:tc>
        <w:tc>
          <w:tcPr>
            <w:tcW w:w="5860" w:type="dxa"/>
            <w:vAlign w:val="bottom"/>
            <w:gridSpan w:val="5"/>
          </w:tcPr>
          <w:p>
            <w:pPr>
              <w:ind w:left="200"/>
              <w:spacing w:after="0" w:line="219" w:lineRule="exact"/>
              <w:rPr>
                <w:sz w:val="20"/>
                <w:szCs w:val="20"/>
                <w:color w:val="auto"/>
              </w:rPr>
            </w:pPr>
            <w:r>
              <w:rPr>
                <w:rFonts w:ascii="Times New Roman" w:cs="Times New Roman" w:eastAsia="Times New Roman" w:hAnsi="Times New Roman"/>
                <w:sz w:val="20"/>
                <w:szCs w:val="20"/>
                <w:color w:val="auto"/>
              </w:rPr>
              <w:t>Total prepaid expenses and 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2,799</w:t>
            </w:r>
          </w:p>
        </w:tc>
        <w:tc>
          <w:tcPr>
            <w:tcW w:w="220" w:type="dxa"/>
            <w:vAlign w:val="bottom"/>
          </w:tcPr>
          <w:p>
            <w:pPr>
              <w:spacing w:after="0"/>
              <w:rPr>
                <w:sz w:val="19"/>
                <w:szCs w:val="19"/>
                <w:color w:val="auto"/>
              </w:rPr>
            </w:pPr>
          </w:p>
        </w:tc>
        <w:tc>
          <w:tcPr>
            <w:tcW w:w="400" w:type="dxa"/>
            <w:vAlign w:val="bottom"/>
          </w:tcPr>
          <w:p>
            <w:pPr>
              <w:jc w:val="right"/>
              <w:ind w:right="2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auto"/>
              </w:rPr>
              <w:t>2,664</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b w:val="1"/>
                <w:bCs w:val="1"/>
                <w:color w:val="auto"/>
              </w:rPr>
              <w:t>8. LEASES</w:t>
            </w:r>
          </w:p>
        </w:tc>
        <w:tc>
          <w:tcPr>
            <w:tcW w:w="1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4960" w:type="dxa"/>
            <w:vAlign w:val="bottom"/>
            <w:gridSpan w:val="4"/>
            <w:vMerge w:val="continue"/>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9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The Company has the following operating leases:</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0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center"/>
              <w:ind w:left="395"/>
              <w:spacing w:after="0"/>
              <w:rPr>
                <w:sz w:val="20"/>
                <w:szCs w:val="20"/>
                <w:color w:val="auto"/>
              </w:rPr>
            </w:pPr>
            <w:r>
              <w:rPr>
                <w:rFonts w:ascii="Times New Roman" w:cs="Times New Roman" w:eastAsia="Times New Roman" w:hAnsi="Times New Roman"/>
                <w:sz w:val="16"/>
                <w:szCs w:val="16"/>
                <w:b w:val="1"/>
                <w:bCs w:val="1"/>
                <w:color w:val="auto"/>
              </w:rPr>
              <w:t>Lease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3880" w:type="dxa"/>
            <w:vAlign w:val="bottom"/>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Primary Use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Renewal Option</w:t>
            </w:r>
          </w:p>
        </w:tc>
        <w:tc>
          <w:tcPr>
            <w:tcW w:w="0" w:type="dxa"/>
            <w:vAlign w:val="bottom"/>
          </w:tcPr>
          <w:p>
            <w:pPr>
              <w:spacing w:after="0"/>
              <w:rPr>
                <w:sz w:val="1"/>
                <w:szCs w:val="1"/>
                <w:color w:val="auto"/>
              </w:rPr>
            </w:pPr>
          </w:p>
        </w:tc>
      </w:tr>
      <w:tr>
        <w:trPr>
          <w:trHeight w:val="239"/>
        </w:trPr>
        <w:tc>
          <w:tcPr>
            <w:tcW w:w="1080" w:type="dxa"/>
            <w:vAlign w:val="bottom"/>
            <w:tcBorders>
              <w:top w:val="single" w:sz="8" w:color="auto"/>
            </w:tcBorders>
            <w:shd w:val="clear" w:color="auto" w:fill="D5EEEE"/>
          </w:tcPr>
          <w:p>
            <w:pPr>
              <w:spacing w:after="0"/>
              <w:rPr>
                <w:sz w:val="20"/>
                <w:szCs w:val="20"/>
                <w:color w:val="auto"/>
              </w:rPr>
            </w:pPr>
          </w:p>
        </w:tc>
        <w:tc>
          <w:tcPr>
            <w:tcW w:w="3580" w:type="dxa"/>
            <w:vAlign w:val="bottom"/>
            <w:tcBorders>
              <w:top w:val="single" w:sz="8" w:color="auto"/>
            </w:tcBorders>
            <w:shd w:val="clear" w:color="auto" w:fill="D5EEEE"/>
          </w:tcPr>
          <w:p>
            <w:pPr>
              <w:ind w:left="320"/>
              <w:spacing w:after="0"/>
              <w:rPr>
                <w:sz w:val="20"/>
                <w:szCs w:val="20"/>
                <w:color w:val="auto"/>
              </w:rPr>
            </w:pPr>
            <w:r>
              <w:rPr>
                <w:rFonts w:ascii="Times New Roman" w:cs="Times New Roman" w:eastAsia="Times New Roman" w:hAnsi="Times New Roman"/>
                <w:sz w:val="20"/>
                <w:szCs w:val="20"/>
                <w:color w:val="auto"/>
              </w:rPr>
              <w:t>Copenhagen, Denmark</w:t>
            </w:r>
          </w:p>
        </w:tc>
        <w:tc>
          <w:tcPr>
            <w:tcW w:w="20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auto"/>
            </w:tcBorders>
            <w:shd w:val="clear" w:color="auto" w:fill="D5EEEE"/>
          </w:tcPr>
          <w:p>
            <w:pPr>
              <w:spacing w:after="0"/>
              <w:rPr>
                <w:sz w:val="20"/>
                <w:szCs w:val="20"/>
                <w:color w:val="auto"/>
              </w:rPr>
            </w:pPr>
          </w:p>
        </w:tc>
        <w:tc>
          <w:tcPr>
            <w:tcW w:w="1980" w:type="dxa"/>
            <w:vAlign w:val="bottom"/>
            <w:tcBorders>
              <w:top w:val="single" w:sz="8" w:color="auto"/>
            </w:tcBorders>
            <w:gridSpan w:val="2"/>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rPr>
              <w:t>Corporate headquarters</w:t>
            </w:r>
          </w:p>
        </w:tc>
        <w:tc>
          <w:tcPr>
            <w:tcW w:w="160" w:type="dxa"/>
            <w:vAlign w:val="bottom"/>
            <w:tcBorders>
              <w:top w:val="single" w:sz="8" w:color="auto"/>
            </w:tcBorders>
            <w:shd w:val="clear" w:color="auto" w:fill="D5EEEE"/>
          </w:tcPr>
          <w:p>
            <w:pPr>
              <w:spacing w:after="0"/>
              <w:rPr>
                <w:sz w:val="20"/>
                <w:szCs w:val="20"/>
                <w:color w:val="auto"/>
              </w:rPr>
            </w:pPr>
          </w:p>
        </w:tc>
        <w:tc>
          <w:tcPr>
            <w:tcW w:w="180" w:type="dxa"/>
            <w:vAlign w:val="bottom"/>
            <w:tcBorders>
              <w:top w:val="single" w:sz="8" w:color="D5EEEE"/>
            </w:tcBorders>
            <w:shd w:val="clear" w:color="auto" w:fill="D5EEEE"/>
          </w:tcPr>
          <w:p>
            <w:pPr>
              <w:spacing w:after="0"/>
              <w:rPr>
                <w:sz w:val="20"/>
                <w:szCs w:val="20"/>
                <w:color w:val="auto"/>
              </w:rPr>
            </w:pPr>
          </w:p>
        </w:tc>
        <w:tc>
          <w:tcPr>
            <w:tcW w:w="1520" w:type="dxa"/>
            <w:vAlign w:val="bottom"/>
            <w:tcBorders>
              <w:top w:val="single" w:sz="8" w:color="auto"/>
            </w:tcBorders>
            <w:gridSpan w:val="3"/>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8"/>
              </w:rPr>
              <w:t>November 2029</w:t>
            </w:r>
          </w:p>
        </w:tc>
        <w:tc>
          <w:tcPr>
            <w:tcW w:w="100" w:type="dxa"/>
            <w:vAlign w:val="bottom"/>
            <w:tcBorders>
              <w:top w:val="single" w:sz="8" w:color="auto"/>
            </w:tcBorders>
            <w:shd w:val="clear" w:color="auto" w:fill="D5EEEE"/>
          </w:tcPr>
          <w:p>
            <w:pPr>
              <w:spacing w:after="0"/>
              <w:rPr>
                <w:sz w:val="20"/>
                <w:szCs w:val="20"/>
                <w:color w:val="auto"/>
              </w:rPr>
            </w:pPr>
          </w:p>
        </w:tc>
        <w:tc>
          <w:tcPr>
            <w:tcW w:w="180" w:type="dxa"/>
            <w:vAlign w:val="bottom"/>
            <w:tcBorders>
              <w:top w:val="single" w:sz="8" w:color="D5EEEE"/>
            </w:tcBorders>
            <w:shd w:val="clear" w:color="auto" w:fill="D5EEEE"/>
          </w:tcPr>
          <w:p>
            <w:pPr>
              <w:spacing w:after="0"/>
              <w:rPr>
                <w:sz w:val="20"/>
                <w:szCs w:val="20"/>
                <w:color w:val="auto"/>
              </w:rPr>
            </w:pPr>
          </w:p>
        </w:tc>
        <w:tc>
          <w:tcPr>
            <w:tcW w:w="640" w:type="dxa"/>
            <w:vAlign w:val="bottom"/>
            <w:tcBorders>
              <w:top w:val="single" w:sz="8" w:color="auto"/>
              <w:right w:val="single" w:sz="8" w:color="D5EEEE"/>
            </w:tcBorders>
            <w:shd w:val="clear" w:color="auto" w:fill="D5EEEE"/>
          </w:tcPr>
          <w:p>
            <w:pPr>
              <w:spacing w:after="0"/>
              <w:rPr>
                <w:sz w:val="20"/>
                <w:szCs w:val="20"/>
                <w:color w:val="auto"/>
              </w:rPr>
            </w:pPr>
          </w:p>
        </w:tc>
        <w:tc>
          <w:tcPr>
            <w:tcW w:w="1080" w:type="dxa"/>
            <w:vAlign w:val="bottom"/>
            <w:tcBorders>
              <w:top w:val="single" w:sz="8" w:color="auto"/>
            </w:tcBorders>
            <w:shd w:val="clear" w:color="auto" w:fill="D5EEEE"/>
          </w:tcPr>
          <w:p>
            <w:pPr>
              <w:jc w:val="center"/>
              <w:ind w:right="560"/>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color w:val="auto"/>
        </w:rPr>
        <w:t>The Company has no finance leases and has elected to apply the short-term lease exception to all leases of one year or less. Rent expense for years ended December 31, 2025 and 2024 was $54,000 and $254,000, respectively.</w:t>
      </w:r>
    </w:p>
    <w:p>
      <w:pPr>
        <w:spacing w:after="0" w:line="169" w:lineRule="exact"/>
        <w:rPr>
          <w:sz w:val="20"/>
          <w:szCs w:val="20"/>
          <w:color w:val="auto"/>
        </w:rPr>
      </w:pPr>
    </w:p>
    <w:p>
      <w:pPr>
        <w:ind w:right="900"/>
        <w:spacing w:after="0" w:line="277" w:lineRule="auto"/>
        <w:rPr>
          <w:sz w:val="20"/>
          <w:szCs w:val="20"/>
          <w:color w:val="auto"/>
        </w:rPr>
      </w:pPr>
      <w:r>
        <w:rPr>
          <w:rFonts w:ascii="Times New Roman" w:cs="Times New Roman" w:eastAsia="Times New Roman" w:hAnsi="Times New Roman"/>
          <w:sz w:val="20"/>
          <w:szCs w:val="20"/>
          <w:color w:val="auto"/>
        </w:rPr>
        <w:t>Quantitative information regarding the Company’s leases for the years ended December 31, 2025 and 2024 is as follows (in thousands):</w:t>
      </w: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58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39"/>
        </w:trPr>
        <w:tc>
          <w:tcPr>
            <w:tcW w:w="58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b w:val="1"/>
                <w:bCs w:val="1"/>
                <w:color w:val="auto"/>
              </w:rPr>
              <w:t>Lease Cost: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D5EEE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5EEEE"/>
            </w:tcBorders>
          </w:tcPr>
          <w:p>
            <w:pPr>
              <w:spacing w:after="0"/>
              <w:rPr>
                <w:sz w:val="20"/>
                <w:szCs w:val="20"/>
                <w:color w:val="auto"/>
              </w:rPr>
            </w:pPr>
          </w:p>
        </w:tc>
      </w:tr>
      <w:tr>
        <w:trPr>
          <w:trHeight w:val="239"/>
        </w:trPr>
        <w:tc>
          <w:tcPr>
            <w:tcW w:w="58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840" w:type="dxa"/>
            <w:vAlign w:val="bottom"/>
            <w:shd w:val="clear" w:color="auto" w:fill="D5EEEE"/>
          </w:tcPr>
          <w:p>
            <w:pPr>
              <w:jc w:val="right"/>
              <w:ind w:right="645"/>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20" w:type="dxa"/>
            <w:vAlign w:val="bottom"/>
            <w:shd w:val="clear" w:color="auto" w:fill="D5EEEE"/>
          </w:tcPr>
          <w:p>
            <w:pPr>
              <w:spacing w:after="0"/>
              <w:rPr>
                <w:sz w:val="20"/>
                <w:szCs w:val="20"/>
                <w:color w:val="auto"/>
              </w:rPr>
            </w:pPr>
          </w:p>
        </w:tc>
        <w:tc>
          <w:tcPr>
            <w:tcW w:w="400" w:type="dxa"/>
            <w:vAlign w:val="bottom"/>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60" w:type="dxa"/>
            <w:vAlign w:val="bottom"/>
            <w:shd w:val="clear" w:color="auto" w:fill="D5EEEE"/>
          </w:tcPr>
          <w:p>
            <w:pPr>
              <w:spacing w:after="0"/>
              <w:rPr>
                <w:sz w:val="20"/>
                <w:szCs w:val="20"/>
                <w:color w:val="auto"/>
              </w:rPr>
            </w:pPr>
          </w:p>
        </w:tc>
      </w:tr>
      <w:tr>
        <w:trPr>
          <w:trHeight w:val="488"/>
        </w:trPr>
        <w:tc>
          <w:tcPr>
            <w:tcW w:w="5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Information:</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5"/>
        </w:trPr>
        <w:tc>
          <w:tcPr>
            <w:tcW w:w="584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Operating cash flows paid for amounts included in the</w:t>
            </w:r>
          </w:p>
        </w:tc>
        <w:tc>
          <w:tcPr>
            <w:tcW w:w="840" w:type="dxa"/>
            <w:vAlign w:val="bottom"/>
            <w:shd w:val="clear" w:color="auto" w:fill="D5EEEE"/>
          </w:tcPr>
          <w:p>
            <w:pPr>
              <w:spacing w:after="0"/>
              <w:rPr>
                <w:sz w:val="19"/>
                <w:szCs w:val="19"/>
                <w:color w:val="auto"/>
              </w:rPr>
            </w:pPr>
          </w:p>
        </w:tc>
        <w:tc>
          <w:tcPr>
            <w:tcW w:w="42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400" w:type="dxa"/>
            <w:vAlign w:val="bottom"/>
            <w:shd w:val="clear" w:color="auto" w:fill="D5EEEE"/>
          </w:tcPr>
          <w:p>
            <w:pPr>
              <w:spacing w:after="0"/>
              <w:rPr>
                <w:sz w:val="19"/>
                <w:szCs w:val="19"/>
                <w:color w:val="auto"/>
              </w:rPr>
            </w:pPr>
          </w:p>
        </w:tc>
        <w:tc>
          <w:tcPr>
            <w:tcW w:w="860" w:type="dxa"/>
            <w:vAlign w:val="bottom"/>
            <w:shd w:val="clear" w:color="auto" w:fill="D5EEEE"/>
          </w:tcPr>
          <w:p>
            <w:pPr>
              <w:spacing w:after="0"/>
              <w:rPr>
                <w:sz w:val="19"/>
                <w:szCs w:val="19"/>
                <w:color w:val="auto"/>
              </w:rPr>
            </w:pPr>
          </w:p>
        </w:tc>
        <w:tc>
          <w:tcPr>
            <w:tcW w:w="60" w:type="dxa"/>
            <w:vAlign w:val="bottom"/>
            <w:shd w:val="clear" w:color="auto" w:fill="D5EEEE"/>
          </w:tcPr>
          <w:p>
            <w:pPr>
              <w:spacing w:after="0"/>
              <w:rPr>
                <w:sz w:val="19"/>
                <w:szCs w:val="19"/>
                <w:color w:val="auto"/>
              </w:rPr>
            </w:pPr>
          </w:p>
        </w:tc>
      </w:tr>
      <w:tr>
        <w:trPr>
          <w:trHeight w:val="249"/>
        </w:trPr>
        <w:tc>
          <w:tcPr>
            <w:tcW w:w="5840" w:type="dxa"/>
            <w:vAlign w:val="bottom"/>
            <w:shd w:val="clear" w:color="auto" w:fill="D5EEEE"/>
          </w:tcPr>
          <w:p>
            <w:pPr>
              <w:ind w:left="160"/>
              <w:spacing w:after="0"/>
              <w:rPr>
                <w:sz w:val="20"/>
                <w:szCs w:val="20"/>
                <w:color w:val="auto"/>
              </w:rPr>
            </w:pPr>
            <w:r>
              <w:rPr>
                <w:rFonts w:ascii="Times New Roman" w:cs="Times New Roman" w:eastAsia="Times New Roman" w:hAnsi="Times New Roman"/>
                <w:sz w:val="20"/>
                <w:szCs w:val="20"/>
                <w:color w:val="auto"/>
              </w:rPr>
              <w:t>measurement of lease liabilities</w:t>
            </w:r>
          </w:p>
        </w:tc>
        <w:tc>
          <w:tcPr>
            <w:tcW w:w="840" w:type="dxa"/>
            <w:vAlign w:val="bottom"/>
            <w:shd w:val="clear" w:color="auto" w:fill="D5EEEE"/>
          </w:tcPr>
          <w:p>
            <w:pPr>
              <w:jc w:val="right"/>
              <w:ind w:right="645"/>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62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60" w:type="dxa"/>
            <w:vAlign w:val="bottom"/>
            <w:shd w:val="clear" w:color="auto" w:fill="D5EEEE"/>
          </w:tcPr>
          <w:p>
            <w:pPr>
              <w:spacing w:after="0"/>
              <w:rPr>
                <w:sz w:val="21"/>
                <w:szCs w:val="21"/>
                <w:color w:val="auto"/>
              </w:rPr>
            </w:pPr>
          </w:p>
        </w:tc>
      </w:tr>
      <w:tr>
        <w:trPr>
          <w:trHeight w:val="225"/>
        </w:trPr>
        <w:tc>
          <w:tcPr>
            <w:tcW w:w="58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Operating lease liabilities arising from obtaining right-of-use</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6"/>
        </w:trPr>
        <w:tc>
          <w:tcPr>
            <w:tcW w:w="5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assets</w:t>
            </w:r>
          </w:p>
        </w:tc>
        <w:tc>
          <w:tcPr>
            <w:tcW w:w="840" w:type="dxa"/>
            <w:vAlign w:val="bottom"/>
          </w:tcPr>
          <w:p>
            <w:pPr>
              <w:jc w:val="right"/>
              <w:ind w:right="645"/>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r>
    </w:tbl>
    <w:p>
      <w:pPr>
        <w:spacing w:after="0" w:line="204"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color w:val="auto"/>
        </w:rPr>
        <w:t>As of December 31, 2025 and 2024, the weighted average remaining lease term for operating leases was 3.9 years and 4.9 years,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and 2024, the weighted average discount rate for operating leases was 8% for both periods.</w:t>
      </w:r>
    </w:p>
    <w:p>
      <w:pPr>
        <w:sectPr>
          <w:pgSz w:w="12960" w:h="17280" w:orient="portrait"/>
          <w:cols w:equalWidth="0" w:num="1">
            <w:col w:w="10800"/>
          </w:cols>
          <w:pgMar w:left="1080" w:top="1440" w:right="108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960" w:h="17280" w:orient="portrait"/>
          <w:cols w:equalWidth="0" w:num="1">
            <w:col w:w="10800"/>
          </w:cols>
          <w:pgMar w:left="1080" w:top="1440" w:right="1080" w:bottom="906" w:gutter="0" w:footer="0" w:header="0"/>
          <w:type w:val="continuous"/>
        </w:sectPr>
      </w:pPr>
    </w:p>
    <w:bookmarkStart w:id="116" w:name="page117"/>
    <w:bookmarkEnd w:id="116"/>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lease liabilities are as follows at December 31, 2025 (in thousands):</w:t>
      </w:r>
    </w:p>
    <w:p>
      <w:pPr>
        <w:spacing w:after="0" w:line="276" w:lineRule="exact"/>
        <w:rPr>
          <w:sz w:val="20"/>
          <w:szCs w:val="20"/>
          <w:color w:val="auto"/>
        </w:rPr>
      </w:pPr>
    </w:p>
    <w:tbl>
      <w:tblPr>
        <w:tblLayout w:type="fixed"/>
        <w:tblInd w:w="210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03"/>
        </w:trPr>
        <w:tc>
          <w:tcPr>
            <w:tcW w:w="4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25"/>
        </w:trPr>
        <w:tc>
          <w:tcPr>
            <w:tcW w:w="4560" w:type="dxa"/>
            <w:vAlign w:val="bottom"/>
            <w:tcBorders>
              <w:top w:val="single" w:sz="8" w:color="D5EEEE"/>
            </w:tcBorders>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19"/>
                <w:szCs w:val="19"/>
                <w:color w:val="auto"/>
              </w:rPr>
            </w:pPr>
          </w:p>
        </w:tc>
        <w:tc>
          <w:tcPr>
            <w:tcW w:w="320" w:type="dxa"/>
            <w:vAlign w:val="bottom"/>
            <w:tcBorders>
              <w:top w:val="single" w:sz="8" w:color="auto"/>
            </w:tcBorders>
            <w:shd w:val="clear" w:color="auto" w:fill="D5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20</w:t>
            </w:r>
          </w:p>
        </w:tc>
        <w:tc>
          <w:tcPr>
            <w:tcW w:w="140" w:type="dxa"/>
            <w:vAlign w:val="bottom"/>
            <w:tcBorders>
              <w:top w:val="single" w:sz="8" w:color="D5EEEE"/>
            </w:tcBorders>
            <w:shd w:val="clear" w:color="auto" w:fill="D5EEEE"/>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40" w:type="dxa"/>
            <w:vAlign w:val="bottom"/>
          </w:tcPr>
          <w:p>
            <w:pPr>
              <w:spacing w:after="0"/>
              <w:rPr>
                <w:sz w:val="20"/>
                <w:szCs w:val="20"/>
                <w:color w:val="auto"/>
              </w:rPr>
            </w:pPr>
          </w:p>
        </w:tc>
      </w:tr>
      <w:tr>
        <w:trPr>
          <w:trHeight w:val="230"/>
        </w:trPr>
        <w:tc>
          <w:tcPr>
            <w:tcW w:w="45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1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40" w:type="dxa"/>
            <w:vAlign w:val="bottom"/>
            <w:shd w:val="clear" w:color="auto" w:fill="D5EEEE"/>
          </w:tcPr>
          <w:p>
            <w:pPr>
              <w:spacing w:after="0"/>
              <w:rPr>
                <w:sz w:val="20"/>
                <w:szCs w:val="20"/>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40" w:type="dxa"/>
            <w:vAlign w:val="bottom"/>
          </w:tcPr>
          <w:p>
            <w:pPr>
              <w:spacing w:after="0"/>
              <w:rPr>
                <w:sz w:val="20"/>
                <w:szCs w:val="20"/>
                <w:color w:val="auto"/>
              </w:rPr>
            </w:pPr>
          </w:p>
        </w:tc>
      </w:tr>
      <w:tr>
        <w:trPr>
          <w:trHeight w:val="230"/>
        </w:trPr>
        <w:tc>
          <w:tcPr>
            <w:tcW w:w="45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170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r>
      <w:tr>
        <w:trPr>
          <w:trHeight w:val="225"/>
        </w:trPr>
        <w:tc>
          <w:tcPr>
            <w:tcW w:w="45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Total lease payments</w:t>
            </w: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79</w:t>
            </w:r>
          </w:p>
        </w:tc>
        <w:tc>
          <w:tcPr>
            <w:tcW w:w="140" w:type="dxa"/>
            <w:vAlign w:val="bottom"/>
          </w:tcPr>
          <w:p>
            <w:pPr>
              <w:spacing w:after="0"/>
              <w:rPr>
                <w:sz w:val="19"/>
                <w:szCs w:val="19"/>
                <w:color w:val="auto"/>
              </w:rPr>
            </w:pPr>
          </w:p>
        </w:tc>
      </w:tr>
      <w:tr>
        <w:trPr>
          <w:trHeight w:val="230"/>
        </w:trPr>
        <w:tc>
          <w:tcPr>
            <w:tcW w:w="45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170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(11)</w:t>
            </w:r>
          </w:p>
        </w:tc>
      </w:tr>
      <w:tr>
        <w:trPr>
          <w:trHeight w:val="225"/>
        </w:trPr>
        <w:tc>
          <w:tcPr>
            <w:tcW w:w="45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Total lease liabilities</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68</w:t>
            </w:r>
          </w:p>
        </w:tc>
        <w:tc>
          <w:tcPr>
            <w:tcW w:w="14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PROPERTY AND EQUIPMENT, NET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Equipment as of December 31, 2025 and 2024 consisted of the following (in thousands):</w:t>
      </w:r>
    </w:p>
    <w:p>
      <w:pPr>
        <w:spacing w:after="0" w:line="134" w:lineRule="exact"/>
        <w:rPr>
          <w:sz w:val="20"/>
          <w:szCs w:val="20"/>
          <w:color w:val="auto"/>
        </w:rPr>
      </w:pPr>
    </w:p>
    <w:tbl>
      <w:tblPr>
        <w:tblLayout w:type="fixed"/>
        <w:tblInd w:w="1080" w:type="dxa"/>
        <w:tblCellMar>
          <w:top w:w="0" w:type="dxa"/>
          <w:left w:w="0" w:type="dxa"/>
          <w:bottom w:w="0" w:type="dxa"/>
          <w:right w:w="0" w:type="dxa"/>
        </w:tblCellMar>
      </w:tblPr>
      <w:tr>
        <w:trPr>
          <w:trHeight w:val="198"/>
        </w:trPr>
        <w:tc>
          <w:tcPr>
            <w:tcW w:w="4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4120" w:type="dxa"/>
            <w:vAlign w:val="bottom"/>
            <w:tcBorders>
              <w:bottom w:val="single" w:sz="8" w:color="D5EEEE"/>
            </w:tcBorders>
          </w:tcPr>
          <w:p>
            <w:pPr>
              <w:spacing w:after="0"/>
              <w:rPr>
                <w:sz w:val="17"/>
                <w:szCs w:val="17"/>
                <w:color w:val="auto"/>
              </w:rPr>
            </w:pPr>
          </w:p>
        </w:tc>
        <w:tc>
          <w:tcPr>
            <w:tcW w:w="1580" w:type="dxa"/>
            <w:vAlign w:val="bottom"/>
            <w:tcBorders>
              <w:bottom w:val="single" w:sz="8" w:color="D5EEEE"/>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5EEEE"/>
            </w:tcBorders>
          </w:tcPr>
          <w:p>
            <w:pPr>
              <w:spacing w:after="0"/>
              <w:rPr>
                <w:sz w:val="17"/>
                <w:szCs w:val="17"/>
                <w:color w:val="auto"/>
              </w:rPr>
            </w:pPr>
          </w:p>
        </w:tc>
      </w:tr>
      <w:tr>
        <w:trPr>
          <w:trHeight w:val="239"/>
        </w:trPr>
        <w:tc>
          <w:tcPr>
            <w:tcW w:w="41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Equipment</w:t>
            </w:r>
          </w:p>
        </w:tc>
        <w:tc>
          <w:tcPr>
            <w:tcW w:w="1580" w:type="dxa"/>
            <w:vAlign w:val="bottom"/>
            <w:shd w:val="clear" w:color="auto" w:fill="D5EEEE"/>
          </w:tcPr>
          <w:p>
            <w:pPr>
              <w:spacing w:after="0"/>
              <w:rPr>
                <w:sz w:val="20"/>
                <w:szCs w:val="20"/>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14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80" w:type="dxa"/>
            <w:vAlign w:val="bottom"/>
            <w:shd w:val="clear" w:color="auto" w:fill="D5EEEE"/>
          </w:tcPr>
          <w:p>
            <w:pPr>
              <w:spacing w:after="0"/>
              <w:rPr>
                <w:sz w:val="20"/>
                <w:szCs w:val="20"/>
                <w:color w:val="auto"/>
              </w:rPr>
            </w:pPr>
          </w:p>
        </w:tc>
      </w:tr>
      <w:tr>
        <w:trPr>
          <w:trHeight w:val="244"/>
        </w:trPr>
        <w:tc>
          <w:tcPr>
            <w:tcW w:w="41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580" w:type="dxa"/>
            <w:vAlign w:val="bottom"/>
            <w:tcBorders>
              <w:bottom w:val="single" w:sz="8" w:color="D5EEEE"/>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14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Borders>
              <w:bottom w:val="single" w:sz="8" w:color="D5EEEE"/>
            </w:tcBorders>
          </w:tcPr>
          <w:p>
            <w:pPr>
              <w:spacing w:after="0"/>
              <w:rPr>
                <w:sz w:val="21"/>
                <w:szCs w:val="21"/>
                <w:color w:val="auto"/>
              </w:rPr>
            </w:pPr>
          </w:p>
        </w:tc>
      </w:tr>
      <w:tr>
        <w:trPr>
          <w:trHeight w:val="259"/>
        </w:trPr>
        <w:tc>
          <w:tcPr>
            <w:tcW w:w="4120" w:type="dxa"/>
            <w:vAlign w:val="bottom"/>
            <w:tcBorders>
              <w:bottom w:val="single" w:sz="8" w:color="D5EEEE"/>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Equipment, net</w:t>
            </w:r>
          </w:p>
        </w:tc>
        <w:tc>
          <w:tcPr>
            <w:tcW w:w="1580" w:type="dxa"/>
            <w:vAlign w:val="bottom"/>
            <w:tcBorders>
              <w:bottom w:val="single" w:sz="8" w:color="D5EEEE"/>
            </w:tcBorders>
            <w:shd w:val="clear" w:color="auto" w:fill="D5EEEE"/>
          </w:tcPr>
          <w:p>
            <w:pPr>
              <w:spacing w:after="0"/>
              <w:rPr>
                <w:sz w:val="22"/>
                <w:szCs w:val="22"/>
                <w:color w:val="auto"/>
              </w:rPr>
            </w:pP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40" w:type="dxa"/>
            <w:vAlign w:val="bottom"/>
            <w:tcBorders>
              <w:bottom w:val="single" w:sz="8" w:color="D5EEEE"/>
            </w:tcBorders>
            <w:shd w:val="clear" w:color="auto" w:fill="D5EEEE"/>
          </w:tcPr>
          <w:p>
            <w:pPr>
              <w:spacing w:after="0"/>
              <w:rPr>
                <w:sz w:val="22"/>
                <w:szCs w:val="22"/>
                <w:color w:val="auto"/>
              </w:rPr>
            </w:pPr>
          </w:p>
        </w:tc>
        <w:tc>
          <w:tcPr>
            <w:tcW w:w="80" w:type="dxa"/>
            <w:vAlign w:val="bottom"/>
            <w:tcBorders>
              <w:bottom w:val="single" w:sz="8" w:color="D5EEEE"/>
            </w:tcBorders>
            <w:shd w:val="clear" w:color="auto" w:fill="D5EEEE"/>
          </w:tcPr>
          <w:p>
            <w:pPr>
              <w:spacing w:after="0"/>
              <w:rPr>
                <w:sz w:val="22"/>
                <w:szCs w:val="22"/>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80" w:type="dxa"/>
            <w:vAlign w:val="bottom"/>
            <w:tcBorders>
              <w:bottom w:val="single" w:sz="8" w:color="D5EEEE"/>
            </w:tcBorders>
            <w:shd w:val="clear" w:color="auto" w:fill="D5EEEE"/>
          </w:tcPr>
          <w:p>
            <w:pPr>
              <w:spacing w:after="0"/>
              <w:rPr>
                <w:sz w:val="22"/>
                <w:szCs w:val="22"/>
                <w:color w:val="auto"/>
              </w:rPr>
            </w:pPr>
          </w:p>
        </w:tc>
      </w:tr>
      <w:tr>
        <w:trPr>
          <w:trHeight w:val="20"/>
        </w:trPr>
        <w:tc>
          <w:tcPr>
            <w:tcW w:w="4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for the years ended December 31, 2025 and 2024 was $22,000 and $21,000,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ACCRUED EXPENSES AND OTHER CURRENT LIABILITIES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expenses and other current liabilities consist of the following (in thousands):</w:t>
      </w:r>
    </w:p>
    <w:p>
      <w:pPr>
        <w:spacing w:after="0" w:line="29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5840" w:type="dxa"/>
            <w:vAlign w:val="bottom"/>
            <w:tcBorders>
              <w:bottom w:val="single" w:sz="8" w:color="D5EEEE"/>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D5EEEE"/>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5EEEE"/>
            </w:tcBorders>
          </w:tcPr>
          <w:p>
            <w:pPr>
              <w:spacing w:after="0"/>
              <w:rPr>
                <w:sz w:val="16"/>
                <w:szCs w:val="16"/>
                <w:color w:val="auto"/>
              </w:rPr>
            </w:pPr>
          </w:p>
        </w:tc>
      </w:tr>
      <w:tr>
        <w:trPr>
          <w:trHeight w:val="239"/>
        </w:trPr>
        <w:tc>
          <w:tcPr>
            <w:tcW w:w="58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Employee compensation costs</w:t>
            </w:r>
          </w:p>
        </w:tc>
        <w:tc>
          <w:tcPr>
            <w:tcW w:w="780" w:type="dxa"/>
            <w:vAlign w:val="bottom"/>
            <w:shd w:val="clear" w:color="auto" w:fill="D5EEEE"/>
          </w:tcPr>
          <w:p>
            <w:pPr>
              <w:jc w:val="right"/>
              <w:ind w:right="587"/>
              <w:spacing w:after="0"/>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442</w:t>
            </w:r>
          </w:p>
        </w:tc>
        <w:tc>
          <w:tcPr>
            <w:tcW w:w="220" w:type="dxa"/>
            <w:vAlign w:val="bottom"/>
            <w:shd w:val="clear" w:color="auto" w:fill="D5EEEE"/>
          </w:tcPr>
          <w:p>
            <w:pPr>
              <w:spacing w:after="0"/>
              <w:rPr>
                <w:sz w:val="20"/>
                <w:szCs w:val="20"/>
                <w:color w:val="auto"/>
              </w:rPr>
            </w:pPr>
          </w:p>
        </w:tc>
        <w:tc>
          <w:tcPr>
            <w:tcW w:w="400" w:type="dxa"/>
            <w:vAlign w:val="bottom"/>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60" w:type="dxa"/>
            <w:vAlign w:val="bottom"/>
            <w:shd w:val="clear" w:color="auto" w:fill="D5EEEE"/>
          </w:tcPr>
          <w:p>
            <w:pPr>
              <w:spacing w:after="0"/>
              <w:rPr>
                <w:sz w:val="20"/>
                <w:szCs w:val="20"/>
                <w:color w:val="auto"/>
              </w:rPr>
            </w:pP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Contract research and development costs</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60" w:type="dxa"/>
            <w:vAlign w:val="bottom"/>
          </w:tcPr>
          <w:p>
            <w:pPr>
              <w:spacing w:after="0"/>
              <w:rPr>
                <w:sz w:val="21"/>
                <w:szCs w:val="21"/>
                <w:color w:val="auto"/>
              </w:rPr>
            </w:pPr>
          </w:p>
        </w:tc>
      </w:tr>
      <w:tr>
        <w:trPr>
          <w:trHeight w:val="244"/>
        </w:trPr>
        <w:tc>
          <w:tcPr>
            <w:tcW w:w="58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Lease liabilities, current</w:t>
            </w:r>
          </w:p>
        </w:tc>
        <w:tc>
          <w:tcPr>
            <w:tcW w:w="780" w:type="dxa"/>
            <w:vAlign w:val="bottom"/>
            <w:shd w:val="clear" w:color="auto" w:fill="D5EEEE"/>
          </w:tcPr>
          <w:p>
            <w:pPr>
              <w:spacing w:after="0"/>
              <w:rPr>
                <w:sz w:val="21"/>
                <w:szCs w:val="21"/>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20" w:type="dxa"/>
            <w:vAlign w:val="bottom"/>
            <w:shd w:val="clear" w:color="auto" w:fill="D5EEEE"/>
          </w:tcPr>
          <w:p>
            <w:pPr>
              <w:spacing w:after="0"/>
              <w:rPr>
                <w:sz w:val="21"/>
                <w:szCs w:val="21"/>
                <w:color w:val="auto"/>
              </w:rPr>
            </w:pPr>
          </w:p>
        </w:tc>
        <w:tc>
          <w:tcPr>
            <w:tcW w:w="400" w:type="dxa"/>
            <w:vAlign w:val="bottom"/>
            <w:shd w:val="clear" w:color="auto" w:fill="D5EEEE"/>
          </w:tcPr>
          <w:p>
            <w:pPr>
              <w:spacing w:after="0"/>
              <w:rPr>
                <w:sz w:val="21"/>
                <w:szCs w:val="21"/>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shd w:val="clear" w:color="auto" w:fill="D5EEEE"/>
          </w:tcPr>
          <w:p>
            <w:pPr>
              <w:spacing w:after="0"/>
              <w:rPr>
                <w:sz w:val="21"/>
                <w:szCs w:val="21"/>
                <w:color w:val="auto"/>
              </w:rPr>
            </w:pP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Legal costs</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1"/>
                <w:szCs w:val="21"/>
                <w:color w:val="auto"/>
              </w:rPr>
            </w:pPr>
          </w:p>
        </w:tc>
      </w:tr>
      <w:tr>
        <w:trPr>
          <w:trHeight w:val="264"/>
        </w:trPr>
        <w:tc>
          <w:tcPr>
            <w:tcW w:w="584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Other current liabilities</w:t>
            </w:r>
          </w:p>
        </w:tc>
        <w:tc>
          <w:tcPr>
            <w:tcW w:w="780" w:type="dxa"/>
            <w:vAlign w:val="bottom"/>
            <w:tcBorders>
              <w:bottom w:val="single" w:sz="8" w:color="auto"/>
            </w:tcBorders>
            <w:shd w:val="clear" w:color="auto" w:fill="D5EEEE"/>
          </w:tcPr>
          <w:p>
            <w:pPr>
              <w:spacing w:after="0"/>
              <w:rPr>
                <w:sz w:val="22"/>
                <w:szCs w:val="22"/>
                <w:color w:val="auto"/>
              </w:rPr>
            </w:pPr>
          </w:p>
        </w:tc>
        <w:tc>
          <w:tcPr>
            <w:tcW w:w="4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97"/>
              </w:rPr>
              <w:t>1,080</w:t>
            </w:r>
          </w:p>
        </w:tc>
        <w:tc>
          <w:tcPr>
            <w:tcW w:w="220" w:type="dxa"/>
            <w:vAlign w:val="bottom"/>
            <w:tcBorders>
              <w:bottom w:val="single" w:sz="8" w:color="D5EEEE"/>
            </w:tcBorders>
            <w:shd w:val="clear" w:color="auto" w:fill="D5EEEE"/>
          </w:tcPr>
          <w:p>
            <w:pPr>
              <w:spacing w:after="0"/>
              <w:rPr>
                <w:sz w:val="22"/>
                <w:szCs w:val="22"/>
                <w:color w:val="auto"/>
              </w:rPr>
            </w:pPr>
          </w:p>
        </w:tc>
        <w:tc>
          <w:tcPr>
            <w:tcW w:w="400" w:type="dxa"/>
            <w:vAlign w:val="bottom"/>
            <w:tcBorders>
              <w:bottom w:val="single" w:sz="8" w:color="auto"/>
            </w:tcBorders>
            <w:shd w:val="clear" w:color="auto" w:fill="D5EEEE"/>
          </w:tcPr>
          <w:p>
            <w:pPr>
              <w:spacing w:after="0"/>
              <w:rPr>
                <w:sz w:val="22"/>
                <w:szCs w:val="22"/>
                <w:color w:val="auto"/>
              </w:rPr>
            </w:pPr>
          </w:p>
        </w:tc>
        <w:tc>
          <w:tcPr>
            <w:tcW w:w="8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60" w:type="dxa"/>
            <w:vAlign w:val="bottom"/>
            <w:tcBorders>
              <w:bottom w:val="single" w:sz="8" w:color="D5EEEE"/>
            </w:tcBorders>
            <w:shd w:val="clear" w:color="auto" w:fill="D5EEEE"/>
          </w:tcPr>
          <w:p>
            <w:pPr>
              <w:spacing w:after="0"/>
              <w:rPr>
                <w:sz w:val="22"/>
                <w:szCs w:val="22"/>
                <w:color w:val="auto"/>
              </w:rPr>
            </w:pPr>
          </w:p>
        </w:tc>
      </w:tr>
      <w:tr>
        <w:trPr>
          <w:trHeight w:val="219"/>
        </w:trPr>
        <w:tc>
          <w:tcPr>
            <w:tcW w:w="58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accrued expenses and other current liabilities</w:t>
            </w:r>
          </w:p>
        </w:tc>
        <w:tc>
          <w:tcPr>
            <w:tcW w:w="780" w:type="dxa"/>
            <w:vAlign w:val="bottom"/>
            <w:tcBorders>
              <w:bottom w:val="single" w:sz="8" w:color="auto"/>
            </w:tcBorders>
          </w:tcPr>
          <w:p>
            <w:pPr>
              <w:jc w:val="right"/>
              <w:ind w:right="587"/>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97"/>
              </w:rPr>
              <w:t>2,401</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820</w:t>
            </w:r>
          </w:p>
        </w:tc>
        <w:tc>
          <w:tcPr>
            <w:tcW w:w="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 commitments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commitments related to lease agreements are disclosed in Note 8.</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Paragon option agreement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commitments related to the Paragon Option Agreement are disclosed in Note 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2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From time to time, the Company may be party to litigation arising in the ordinary course of its business. The Company was not subject to any material legal proceedings during the years ended December 31, 2025 and 2024, and, to its knowledge, no material legal proceedings are currently pending or threatened.</w:t>
      </w:r>
    </w:p>
    <w:p>
      <w:pPr>
        <w:sectPr>
          <w:pgSz w:w="12960" w:h="17280" w:orient="portrait"/>
          <w:cols w:equalWidth="0" w:num="1">
            <w:col w:w="10800"/>
          </w:cols>
          <w:pgMar w:left="1080" w:top="1440" w:right="108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960" w:h="17280" w:orient="portrait"/>
          <w:cols w:equalWidth="0" w:num="1">
            <w:col w:w="10800"/>
          </w:cols>
          <w:pgMar w:left="1080" w:top="1440" w:right="1080" w:bottom="906" w:gutter="0" w:footer="0" w:header="0"/>
          <w:type w:val="continuous"/>
        </w:sectPr>
      </w:pPr>
    </w:p>
    <w:bookmarkStart w:id="117" w:name="page118"/>
    <w:bookmarkEnd w:id="117"/>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 agreements</w:t>
      </w:r>
    </w:p>
    <w:p>
      <w:pPr>
        <w:spacing w:after="0" w:line="2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The Company, as permitted under Delaware law and in accordance with its certification of incorporation and by-laws and pursuant to indemnification agreements with certain of its officers and directors, indemnifies its officers and directors for certain events or occurrences, subject to certain limits, which the officer or director is or was serving at the Company’s request in such capacity.</w:t>
      </w:r>
    </w:p>
    <w:p>
      <w:pPr>
        <w:spacing w:after="0" w:line="18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Company enters into certain types of contracts that contingently require the Company to indemnify various parties against claims from third parties. These contracts primarily relate to (i) the Company’s by-laws, under which the Company must indemnify directors and executive officers, and may indemnify other officers and employees, for liabilities arising out of their relationship, (ii) contracts under which the Company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Company’s products, technology, intellectual property or services.</w:t>
      </w:r>
    </w:p>
    <w:p>
      <w:pPr>
        <w:spacing w:after="0" w:line="200"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the Company’s future business, operating results or financial condition. It is not possible to estimate the maximum amount potentially payable under these contracts since the Company has no history of prior indemnification claims and the unique facts and circumstances involved in each particular claim will be determinative.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STOCKHOLDERS’ EQUITY</w:t>
      </w:r>
    </w:p>
    <w:p>
      <w:pPr>
        <w:spacing w:after="0" w:line="24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The Company’s authorized capital stock consists of 500,000,000 shares of Common Stock, and 10,000,000 shares of preferred stock, of which 200 shares were designated as Series A Preferred Stock, 16,366 shares were designated as Series B Preferred Stock, and 43,882 shares were designated as Series C Preferred Stock.</w:t>
      </w:r>
    </w:p>
    <w:p>
      <w:pPr>
        <w:spacing w:after="0" w:line="17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As of December 31, 2025 and 2024, no Common Stock dividends had been declared by the board of directors. As of December 31, 2025, there were 158.361 shares of Series A Preferred Stock, 16,366 shares of Series B Preferred Stock and 43,882 shares of Series C Preferred Stock issued and outstanding. There were 161 shares of Series A Preferred Stock, and no shares of Series B Preferred Stock or Series C Preferred Stock issued and outstanding as of December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November 2025 PIPE</w:t>
      </w:r>
    </w:p>
    <w:p>
      <w:pPr>
        <w:spacing w:after="0" w:line="2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In November 2025, in connection with the Asset Acquisition, the Company issued and sold 39,641 shares of Series C Preferred Stock at approximately $7,186.90 per share through a private placement to a group of accredited investors. The net proceeds from this offering were approximately $267.0 million, after deducting placement agent fees and offering costs of $18.1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Shelf registration statement, at-the-market (“ATM”) offering program and February 2026 public offering</w:t>
      </w:r>
    </w:p>
    <w:p>
      <w:pPr>
        <w:spacing w:after="0" w:line="240"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On February 10, 2026, the Company filed an automatically effective shelf registration statement (the “Registration Statement”) with the SEC for the issuance of Common Stock, preferred stock, warrants, debt securities, rights and units.</w:t>
      </w:r>
    </w:p>
    <w:p>
      <w:pPr>
        <w:spacing w:after="0" w:line="169" w:lineRule="exact"/>
        <w:rPr>
          <w:sz w:val="20"/>
          <w:szCs w:val="20"/>
          <w:color w:val="auto"/>
        </w:rPr>
      </w:pPr>
    </w:p>
    <w:p>
      <w:pPr>
        <w:jc w:val="both"/>
        <w:ind w:right="460"/>
        <w:spacing w:after="0" w:line="252" w:lineRule="auto"/>
        <w:rPr>
          <w:sz w:val="20"/>
          <w:szCs w:val="20"/>
          <w:color w:val="auto"/>
        </w:rPr>
      </w:pPr>
      <w:r>
        <w:rPr>
          <w:rFonts w:ascii="Times New Roman" w:cs="Times New Roman" w:eastAsia="Times New Roman" w:hAnsi="Times New Roman"/>
          <w:sz w:val="20"/>
          <w:szCs w:val="20"/>
          <w:color w:val="auto"/>
        </w:rPr>
        <w:t>On February 10, 2026, the Company entered into a sales agreement (the “ATM Agreement”), pursuant to which it may sell, from time-to-time, shares of Common Stock under an ATM offering program for up to $ 150.0 million. As of the date of this filing, the Company has not made any sales under the ATM offering program and has $150.0 million in remaining capacity under the ATM offering program.</w:t>
      </w:r>
    </w:p>
    <w:p>
      <w:pPr>
        <w:spacing w:after="0" w:line="18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On February 10, 2026, the Company also entered into an underwriting agreement with certain underwriters to issue and sell 14,473,685 shares of Common Stock, including the full exercise by the underwriters of their option to purchase an additional 2,171,052 shares, at a public offering price of $19.00 per share. The underwritten offering closed on February 12, 2026. The net proceeds from this offering were approximately $297.3 million, after deducting underwriting discounts and commissions and expenses of $19.0 million.</w:t>
      </w:r>
    </w:p>
    <w:p>
      <w:pPr>
        <w:sectPr>
          <w:pgSz w:w="12960" w:h="17280" w:orient="portrait"/>
          <w:cols w:equalWidth="0" w:num="1">
            <w:col w:w="10800"/>
          </w:cols>
          <w:pgMar w:left="1080" w:top="1440" w:right="108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960" w:h="17280" w:orient="portrait"/>
          <w:cols w:equalWidth="0" w:num="1">
            <w:col w:w="10800"/>
          </w:cols>
          <w:pgMar w:left="1080" w:top="1440" w:right="1080" w:bottom="906" w:gutter="0" w:footer="0" w:header="0"/>
          <w:type w:val="continuous"/>
        </w:sectPr>
      </w:pPr>
    </w:p>
    <w:bookmarkStart w:id="118" w:name="page119"/>
    <w:bookmarkEnd w:id="118"/>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Paramora warrants</w:t>
      </w:r>
    </w:p>
    <w:p>
      <w:pPr>
        <w:spacing w:after="0" w:line="24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The Company settled its 2025 obligations under the Paramora Option Obligation by issuing Paramora 628,302 warrants to purchase Common Stock, with a per share exercise price equal to $23.01. As of December 31, 2025, none of the warrants issued under the Paramora Option Obligation have been exercised. See Note 4 for additional information on the Paramora Option Obligation.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24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Holders of Common Stock are entitled to one vote for each share of Common Stock held of record for the election of directors and on all matters submitted to a vote of stockholders. A majority vote of the holders of Common Stock is generally required to take action under our amended and restated certificate of incorporation, as amended, and amended and restated by-laws, as amended . Holders of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Common Stock are entitled to share ratably in our net assets legally available after the payment of all our debts and other liabilities, subject to the preferential rights of any preferred stock then outstanding. Holders of Common Stock have no preemptive, subscription, redemption or conversion rights and no sinking fund provisions are applicable to Common Stock. The rights, preferences and privileges of holders of Common Stock are subject to, and may be adversely affected by, the rights of the holders of shares of any series of preferred stock that we have designated or may designate and issue in the future.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Preferred stock</w:t>
      </w:r>
    </w:p>
    <w:p>
      <w:pPr>
        <w:spacing w:after="0" w:line="24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Our board of directors has the authority, without action by the stockholders, to designate and issue up to an aggregate of 10,000,000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Common Stock, diluting the voting power of Common Stock, impairing the liquidation rights of Common Stock, or delaying, deferring or preventing a change in control of us, which might harm the market price of our Common Stock.</w:t>
      </w:r>
    </w:p>
    <w:p>
      <w:pPr>
        <w:spacing w:after="0" w:line="202"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color w:val="auto"/>
        </w:rPr>
        <w:t>Our board of directors will make any determination to issue such shares of preferred stock based on its judgment as to our best interests and the best interests of our stockholders.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Series A preferred stock</w:t>
      </w:r>
    </w:p>
    <w:p>
      <w:pPr>
        <w:spacing w:after="0" w:line="238"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20"/>
          <w:szCs w:val="20"/>
          <w:color w:val="auto"/>
        </w:rPr>
        <w:t>The Company has designated 200 shares of Series A Preferred Stock. As of December 31, 2025, 158.361 shares of Series A Preferred Stock were issued and outstanding. As of December 31, 2024, approximately 161 shares of Series A Preferred Stock were issued and outstanding. The Series A Preferred Stock is classified as mezzanine equity (temporary equity) because it is convertible at the option of the holder and contains provisions that could require the Company to issue a variable number of shares of Common Stock.</w:t>
      </w:r>
    </w:p>
    <w:p>
      <w:pPr>
        <w:spacing w:after="0" w:line="194"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The Series A Preferred Stock was issued on October 7, 2024 in connection with an asset purchase agreement with Bridge Medicines LLC. Each share is convertible at the option of the holder into 1,000 shares of Common Stock, subject to a beneficial ownership limitation (the holder may not beneficially own more than a specified percentage, between 0% and 19.99%, of total outstanding Common Stock after giving effect to conversion). Stockholder approval for purposes of Nasdaq Stock Market Rules was obtained on June 18, 2025 (the “Series A Stockholder Approval”). Following that approval, certain shares were automatically converted into Common Stock on the third business day thereafter, subject to beneficial ownership limitations, and the remaining shares became convertible at the holder’s election. Upon conversion, Series A Preferred Stock is cancelled and retired and resumes the status of authorized but unissued preferred stock.</w:t>
      </w:r>
    </w:p>
    <w:p>
      <w:pPr>
        <w:spacing w:after="0" w:line="192"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0"/>
          <w:szCs w:val="20"/>
          <w:color w:val="auto"/>
        </w:rPr>
        <w:t>The Series A Preferred Stock has no voting rights, except as required by law or to protect the rights of the holders of Series A Preferred Stock. No liquidation preference applies. Dividends, if declared on Common Stock, are payable to holders of Series A Preferred Stock on an as-if-converted-to-common-stock basis in the same form.</w:t>
      </w:r>
    </w:p>
    <w:p>
      <w:pPr>
        <w:sectPr>
          <w:pgSz w:w="12960" w:h="17280" w:orient="portrait"/>
          <w:cols w:equalWidth="0" w:num="1">
            <w:col w:w="10780"/>
          </w:cols>
          <w:pgMar w:left="1080" w:top="1440" w:right="110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F-22</w:t>
      </w:r>
    </w:p>
    <w:p>
      <w:pPr>
        <w:sectPr>
          <w:pgSz w:w="12960" w:h="17280" w:orient="portrait"/>
          <w:cols w:equalWidth="0" w:num="1">
            <w:col w:w="10780"/>
          </w:cols>
          <w:pgMar w:left="1080" w:top="1440" w:right="1100" w:bottom="906" w:gutter="0" w:footer="0" w:header="0"/>
          <w:type w:val="continuous"/>
        </w:sectPr>
      </w:pPr>
    </w:p>
    <w:bookmarkStart w:id="119" w:name="page120"/>
    <w:bookmarkEnd w:id="119"/>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Series B preferred stock</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In connection with the Asset Acquisition completed on November 10, 2025, the Company issued 16,366 shares of Series B Preferred Stock. As of December 31, 2025, 16,366 shares of Series B Preferred Stock were issued and outstanding. The Series B Preferred Stock is classified within permanent stockholders’ equity.</w:t>
      </w:r>
    </w:p>
    <w:p>
      <w:pPr>
        <w:spacing w:after="0" w:line="188"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20"/>
          <w:szCs w:val="20"/>
          <w:color w:val="auto"/>
        </w:rPr>
        <w:t>Each share of Series B Preferred Stock is convertible at the option of the holder into 1,000 shares of Common Stock (representing 16,366,000 shares of Common Stock in aggregate on an as-converted basis), subject to beneficial ownership limitations. The stockholder approval required for Nasdaq purposes (“Series B Stockholder Approval”) was obtained on February 9, 2026. Upon conversion, the Series B Preferred Stock is cancelled and retired and resumes the status of authorized but unissued preferred stock.</w:t>
      </w:r>
    </w:p>
    <w:p>
      <w:pPr>
        <w:spacing w:after="0" w:line="18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color w:val="auto"/>
        </w:rPr>
        <w:t>The Series B Preferred Stock does not have general voting rights; however, for so long as at least 30% of the originally issued Series B Preferred Stock remains outstanding, the Company may not, without the affirmative vote of a majority of the then-outstanding Series B shares: (i) consummate a Fundamental Transaction (as defined) or a merger or consolidation resulting in a change of control;</w:t>
      </w:r>
    </w:p>
    <w:p>
      <w:pPr>
        <w:spacing w:after="0" w:line="2" w:lineRule="exact"/>
        <w:rPr>
          <w:sz w:val="20"/>
          <w:szCs w:val="20"/>
          <w:color w:val="auto"/>
        </w:rPr>
      </w:pPr>
    </w:p>
    <w:p>
      <w:pPr>
        <w:ind w:right="160"/>
        <w:spacing w:after="0" w:line="242" w:lineRule="auto"/>
        <w:tabs>
          <w:tab w:leader="none" w:pos="29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size of the board of directors; (iii) adopt, amend, or repeal certain corporate authority policies unless approved unanimously by the board of directors; or (iv) replace the Company’s registered independent public accounting firm, independent compensation consultant, or corporate counsel. The Series B Preferred Stock has no liquidation preference. Dividends, if declared on Common Stock, are payable to holders Series B Preferred Stock on an as-if-converted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Series C preferred stock</w:t>
      </w:r>
    </w:p>
    <w:p>
      <w:pPr>
        <w:spacing w:after="0" w:line="2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In connection with the Asset Acquisition and a concurrent PIPE transaction completed in November 2025, the Company issued 43,882 shares of Series C Preferred Stock in aggregate (4,241 shares in the Asset Acquisition and 39,641 shares in the PIPE). As of December 31, 2025, 43,882 shares of Series C Preferred Stock were issued and outstanding. The Series C Preferred Stock is classified within permanent stockholders’ equity.</w:t>
      </w:r>
    </w:p>
    <w:p>
      <w:pPr>
        <w:spacing w:after="0" w:line="19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Each share of Series C Preferred Stock is convertible into 1,000 shares of Common Stock (43,882,000 shares in aggregate on an as-converted basis), subject to beneficial ownership limitations. On February 9, 2026, the Company obtained the stockholder approval required for Nasdaq purposes (“Series C Stockholder Approval”). Following that approval, 42,005 shares of Series C Preferred Stock were automatically converted into 42,005,000 shares of Common Stock (the “Automatic Conversion”), with 1,877 shares remaining outstanding as of February 9, 2026. Each remaining share of Series C Preferred Stock may be converted at the option of the holder, subject to applicable beneficial ownership limitations. Upon conversion, shares are cancelled and retired.</w:t>
      </w:r>
    </w:p>
    <w:p>
      <w:pPr>
        <w:spacing w:after="0" w:line="190"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0"/>
          <w:szCs w:val="20"/>
          <w:color w:val="auto"/>
        </w:rPr>
        <w:t>The Series C Preferred Stock does not have general voting rights, except as required by law or to protect the rights of the Series C Preferred Stock. No liquidation preference applies. Dividends, if declared on Common Stock, are payable to holders of Series C Preferred Stock on an as-if-converted basis.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STOCK-BASED COMPENSATION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equity plan</w:t>
      </w: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March 2020, the Company’s board of directors and stockholders approved the 2020 Stock Option and Grant Plan (“2020 Plan”). Holders of stock options under the 2020 Plan are entitled to exercise the vested portion of the stock option during the term of the grant. If a qualified exit, as defined in the 2020 Plan, occurs before the stock option vests, then all of the holders’ unvested options shall vest immediately.</w:t>
      </w:r>
    </w:p>
    <w:p>
      <w:pPr>
        <w:spacing w:after="0" w:line="18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0"/>
          <w:szCs w:val="20"/>
          <w:color w:val="auto"/>
        </w:rPr>
        <w:t>In October 2020, the Company’s board of directors and stockholders approved the 2020 Equity Incentive Plan (“2020 Equity Plan”). Following the adoption of the 2020 Equity Plan, no further options are available to be issued under the 2020 Plan. Stock-based awards granted under the 2020 Equity Plan generally vest over a four- year period and expire ten years from the grant date. Shares available for grant under the 2020 Equity Plan cumulatively increase by 5% of the number of shares of Common Stock issued and outstanding on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each year until 2030. At December 31, 2025, the Company had 174,141 options available for future grant under the 2020 Equity Plan.</w:t>
      </w:r>
    </w:p>
    <w:p>
      <w:pPr>
        <w:sectPr>
          <w:pgSz w:w="12960" w:h="17280" w:orient="portrait"/>
          <w:cols w:equalWidth="0" w:num="1">
            <w:col w:w="10800"/>
          </w:cols>
          <w:pgMar w:left="1080" w:top="1440" w:right="108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960" w:h="17280" w:orient="portrait"/>
          <w:cols w:equalWidth="0" w:num="1">
            <w:col w:w="10800"/>
          </w:cols>
          <w:pgMar w:left="1080" w:top="1440" w:right="1080" w:bottom="906" w:gutter="0" w:footer="0" w:header="0"/>
          <w:type w:val="continuous"/>
        </w:sectPr>
      </w:pPr>
    </w:p>
    <w:bookmarkStart w:id="120" w:name="page121"/>
    <w:bookmarkEnd w:id="120"/>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activity for the Company’s stock options during the periods presented:</w:t>
      </w:r>
    </w:p>
    <w:p>
      <w:pPr>
        <w:spacing w:after="0" w:line="290"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average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6"/>
                <w:szCs w:val="16"/>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6"/>
                <w:szCs w:val="16"/>
                <w:color w:val="auto"/>
              </w:rPr>
            </w:pPr>
          </w:p>
        </w:tc>
        <w:tc>
          <w:tcPr>
            <w:tcW w:w="92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term</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7"/>
                <w:szCs w:val="17"/>
                <w:color w:val="auto"/>
              </w:rPr>
            </w:pPr>
          </w:p>
        </w:tc>
        <w:tc>
          <w:tcPr>
            <w:tcW w:w="92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88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Outstanding at December 31, 2023</w:t>
            </w:r>
          </w:p>
        </w:tc>
        <w:tc>
          <w:tcPr>
            <w:tcW w:w="10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275,476</w:t>
            </w:r>
          </w:p>
        </w:tc>
        <w:tc>
          <w:tcPr>
            <w:tcW w:w="22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114.38</w:t>
            </w:r>
          </w:p>
        </w:tc>
        <w:tc>
          <w:tcPr>
            <w:tcW w:w="200" w:type="dxa"/>
            <w:vAlign w:val="bottom"/>
            <w:tcBorders>
              <w:top w:val="single" w:sz="8" w:color="D5EEEE"/>
            </w:tcBorders>
            <w:shd w:val="clear" w:color="auto" w:fill="D5EEEE"/>
          </w:tcPr>
          <w:p>
            <w:pPr>
              <w:spacing w:after="0"/>
              <w:rPr>
                <w:sz w:val="20"/>
                <w:szCs w:val="20"/>
                <w:color w:val="auto"/>
              </w:rPr>
            </w:pPr>
          </w:p>
        </w:tc>
        <w:tc>
          <w:tcPr>
            <w:tcW w:w="10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0" w:type="dxa"/>
            <w:vAlign w:val="bottom"/>
            <w:tcBorders>
              <w:top w:val="single" w:sz="8" w:color="D5EEEE"/>
            </w:tcBorders>
            <w:shd w:val="clear" w:color="auto" w:fill="D5EEEE"/>
          </w:tcPr>
          <w:p>
            <w:pPr>
              <w:spacing w:after="0"/>
              <w:rPr>
                <w:sz w:val="20"/>
                <w:szCs w:val="20"/>
                <w:color w:val="auto"/>
              </w:rPr>
            </w:pPr>
          </w:p>
        </w:tc>
        <w:tc>
          <w:tcPr>
            <w:tcW w:w="1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D5EEEE"/>
            </w:tcBorders>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90,020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Cancelled</w:t>
            </w:r>
          </w:p>
        </w:tc>
        <w:tc>
          <w:tcPr>
            <w:tcW w:w="124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(143,417)</w:t>
            </w:r>
          </w:p>
        </w:tc>
        <w:tc>
          <w:tcPr>
            <w:tcW w:w="12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103.19</w:t>
            </w:r>
          </w:p>
        </w:tc>
        <w:tc>
          <w:tcPr>
            <w:tcW w:w="20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222,079</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78.37</w:t>
            </w:r>
          </w:p>
        </w:tc>
        <w:tc>
          <w:tcPr>
            <w:tcW w:w="2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473,948</w:t>
            </w:r>
          </w:p>
        </w:tc>
        <w:tc>
          <w:tcPr>
            <w:tcW w:w="2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7.04</w:t>
            </w:r>
          </w:p>
        </w:tc>
        <w:tc>
          <w:tcPr>
            <w:tcW w:w="20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(4,800)</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Cancelled</w:t>
            </w:r>
          </w:p>
        </w:tc>
        <w:tc>
          <w:tcPr>
            <w:tcW w:w="124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(20,387)</w:t>
            </w:r>
          </w:p>
        </w:tc>
        <w:tc>
          <w:tcPr>
            <w:tcW w:w="120" w:type="dxa"/>
            <w:vAlign w:val="bottom"/>
            <w:shd w:val="clear" w:color="auto" w:fill="D5EEEE"/>
          </w:tcPr>
          <w:p>
            <w:pPr>
              <w:spacing w:after="0"/>
              <w:rPr>
                <w:sz w:val="21"/>
                <w:szCs w:val="21"/>
                <w:color w:val="auto"/>
              </w:rPr>
            </w:pP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137.39</w:t>
            </w:r>
          </w:p>
        </w:tc>
        <w:tc>
          <w:tcPr>
            <w:tcW w:w="200" w:type="dxa"/>
            <w:vAlign w:val="bottom"/>
            <w:shd w:val="clear" w:color="auto" w:fill="D5EEEE"/>
          </w:tcPr>
          <w:p>
            <w:pPr>
              <w:spacing w:after="0"/>
              <w:rPr>
                <w:sz w:val="21"/>
                <w:szCs w:val="21"/>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Outstanding at December 31, 2025</w:t>
            </w:r>
          </w:p>
        </w:tc>
        <w:tc>
          <w:tcPr>
            <w:tcW w:w="102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670,840</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26.69</w:t>
            </w:r>
          </w:p>
        </w:tc>
        <w:tc>
          <w:tcPr>
            <w:tcW w:w="200" w:type="dxa"/>
            <w:vAlign w:val="bottom"/>
            <w:vMerge w:val="restart"/>
          </w:tcPr>
          <w:p>
            <w:pPr>
              <w:spacing w:after="0" w:line="20" w:lineRule="exact"/>
              <w:rPr>
                <w:sz w:val="1"/>
                <w:szCs w:val="1"/>
                <w:color w:val="auto"/>
              </w:rPr>
            </w:pPr>
          </w:p>
        </w:tc>
        <w:tc>
          <w:tcPr>
            <w:tcW w:w="10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880" w:type="dxa"/>
            <w:vAlign w:val="bottom"/>
            <w:tcBorders>
              <w:bottom w:val="single" w:sz="8" w:color="D5EEEE"/>
            </w:tcBorders>
            <w:vMerge w:val="continue"/>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220" w:type="dxa"/>
            <w:vAlign w:val="bottom"/>
            <w:tcBorders>
              <w:bottom w:val="single" w:sz="8" w:color="D5EEEE"/>
            </w:tcBorders>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920" w:type="dxa"/>
            <w:vAlign w:val="bottom"/>
            <w:tcBorders>
              <w:bottom w:val="single" w:sz="8" w:color="auto"/>
            </w:tcBorders>
            <w:vMerge w:val="continue"/>
          </w:tcPr>
          <w:p>
            <w:pPr>
              <w:spacing w:after="0"/>
              <w:rPr>
                <w:sz w:val="23"/>
                <w:szCs w:val="23"/>
                <w:color w:val="auto"/>
              </w:rPr>
            </w:pPr>
          </w:p>
        </w:tc>
        <w:tc>
          <w:tcPr>
            <w:tcW w:w="200" w:type="dxa"/>
            <w:vAlign w:val="bottom"/>
            <w:tcBorders>
              <w:bottom w:val="single" w:sz="8" w:color="D5EEEE"/>
            </w:tcBorders>
            <w:vMerge w:val="continue"/>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200" w:type="dxa"/>
            <w:vAlign w:val="bottom"/>
            <w:tcBorders>
              <w:bottom w:val="single" w:sz="8" w:color="D5EEEE"/>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8,477,387</w:t>
            </w:r>
          </w:p>
        </w:tc>
        <w:tc>
          <w:tcPr>
            <w:tcW w:w="60" w:type="dxa"/>
            <w:vAlign w:val="bottom"/>
            <w:tcBorders>
              <w:bottom w:val="single" w:sz="8" w:color="D5EEEE"/>
            </w:tcBorders>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88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Vested and exercisable at December 31, 2025</w:t>
            </w:r>
          </w:p>
        </w:tc>
        <w:tc>
          <w:tcPr>
            <w:tcW w:w="10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543,867</w:t>
            </w:r>
          </w:p>
        </w:tc>
        <w:tc>
          <w:tcPr>
            <w:tcW w:w="220" w:type="dxa"/>
            <w:vAlign w:val="bottom"/>
            <w:tcBorders>
              <w:bottom w:val="single" w:sz="8" w:color="D5EEEE"/>
            </w:tcBorders>
            <w:shd w:val="clear" w:color="auto" w:fill="D5EEEE"/>
          </w:tcPr>
          <w:p>
            <w:pPr>
              <w:spacing w:after="0"/>
              <w:rPr>
                <w:sz w:val="21"/>
                <w:szCs w:val="21"/>
                <w:color w:val="auto"/>
              </w:rPr>
            </w:pP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30.45</w:t>
            </w:r>
          </w:p>
        </w:tc>
        <w:tc>
          <w:tcPr>
            <w:tcW w:w="200" w:type="dxa"/>
            <w:vAlign w:val="bottom"/>
            <w:tcBorders>
              <w:bottom w:val="single" w:sz="8" w:color="D5EEEE"/>
            </w:tcBorders>
            <w:shd w:val="clear" w:color="auto" w:fill="D5EEEE"/>
          </w:tcPr>
          <w:p>
            <w:pPr>
              <w:spacing w:after="0"/>
              <w:rPr>
                <w:sz w:val="21"/>
                <w:szCs w:val="21"/>
                <w:color w:val="auto"/>
              </w:rPr>
            </w:pPr>
          </w:p>
        </w:tc>
        <w:tc>
          <w:tcPr>
            <w:tcW w:w="10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200" w:type="dxa"/>
            <w:vAlign w:val="bottom"/>
            <w:tcBorders>
              <w:bottom w:val="single" w:sz="8" w:color="D5EEEE"/>
            </w:tcBorders>
            <w:shd w:val="clear" w:color="auto" w:fill="D5EEEE"/>
          </w:tcPr>
          <w:p>
            <w:pPr>
              <w:spacing w:after="0"/>
              <w:rPr>
                <w:sz w:val="21"/>
                <w:szCs w:val="21"/>
                <w:color w:val="auto"/>
              </w:rPr>
            </w:pPr>
          </w:p>
        </w:tc>
        <w:tc>
          <w:tcPr>
            <w:tcW w:w="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9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6,763,679</w:t>
            </w:r>
          </w:p>
        </w:tc>
        <w:tc>
          <w:tcPr>
            <w:tcW w:w="60" w:type="dxa"/>
            <w:vAlign w:val="bottom"/>
            <w:tcBorders>
              <w:bottom w:val="single" w:sz="8" w:color="D5EEEE"/>
            </w:tcBorders>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On November 10, 2025, in connection with the Asset Acquisition, the Company assumed the Damora Therapeutics, Inc. 2025 Equity Incentive Plan (the “Damora Equity Plan”) and its outstanding and unexercised stock options, which were converted to options to purchase 434,508 shares of Common Stock. The acquisition-date fair value of these grants will be recognized as an expense on a pro-rata basis over the vesting period.</w:t>
      </w:r>
    </w:p>
    <w:p>
      <w:pPr>
        <w:spacing w:after="0" w:line="230"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20"/>
          <w:szCs w:val="20"/>
          <w:color w:val="auto"/>
        </w:rPr>
        <w:t>The weighted-average grant date fair value of all stock options granted during the year ended December 31, 2025 was $14.37. The intrinsic value at December 31, 2025 and 2024 is based on the closing price of the Common Stock on that date of $23.01 and $4.65 per share, respectively.</w:t>
      </w:r>
    </w:p>
    <w:p>
      <w:pPr>
        <w:spacing w:after="0" w:line="188"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The Company uses a Black-Scholes option pricing model to determine fair value of its stock options. The Black-Scholes option pricing model includes various assumptions, including the fair value of common shares, expected life of stock options, the expected volatility based on the historical volatility of a publicly traded set of peer companies and the expected risk -free interest rate based on the implied yield on a U.S. Treasury security. The fair values of the options granted were estimated based on the Black-Scholes model, using the following assumptions: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4359910</wp:posOffset>
                </wp:positionH>
                <wp:positionV relativeFrom="paragraph">
                  <wp:posOffset>141605</wp:posOffset>
                </wp:positionV>
                <wp:extent cx="72771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771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3pt,11.15pt" to="400.6pt,11.1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5222240</wp:posOffset>
                </wp:positionH>
                <wp:positionV relativeFrom="paragraph">
                  <wp:posOffset>141605</wp:posOffset>
                </wp:positionV>
                <wp:extent cx="81470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470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2pt,11.15pt" to="475.35pt,11.15pt" o:allowincell="f" strokecolor="#000000" strokeweight="0.75pt"/>
            </w:pict>
          </mc:Fallback>
        </mc:AlternateContent>
      </w:r>
    </w:p>
    <w:p>
      <w:pPr>
        <w:spacing w:after="0" w:line="206"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780" w:type="dxa"/>
            <w:vAlign w:val="bottom"/>
            <w:tcBorders>
              <w:bottom w:val="single" w:sz="8" w:color="D5EEEE"/>
            </w:tcBorders>
          </w:tcPr>
          <w:p>
            <w:pPr>
              <w:spacing w:after="0"/>
              <w:rPr>
                <w:sz w:val="17"/>
                <w:szCs w:val="17"/>
                <w:color w:val="auto"/>
              </w:rPr>
            </w:pPr>
          </w:p>
        </w:tc>
        <w:tc>
          <w:tcPr>
            <w:tcW w:w="11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7"/>
                <w:szCs w:val="17"/>
                <w:color w:val="auto"/>
              </w:rPr>
            </w:pPr>
          </w:p>
        </w:tc>
        <w:tc>
          <w:tcPr>
            <w:tcW w:w="11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r>
      <w:tr>
        <w:trPr>
          <w:trHeight w:val="239"/>
        </w:trPr>
        <w:tc>
          <w:tcPr>
            <w:tcW w:w="57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3.9%</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4.0%</w:t>
            </w:r>
          </w:p>
        </w:tc>
      </w:tr>
      <w:tr>
        <w:trPr>
          <w:trHeight w:val="244"/>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20" w:type="dxa"/>
            <w:vAlign w:val="bottom"/>
          </w:tcPr>
          <w:p>
            <w:pPr>
              <w:spacing w:after="0"/>
              <w:rPr>
                <w:sz w:val="21"/>
                <w:szCs w:val="21"/>
                <w:color w:val="auto"/>
              </w:rPr>
            </w:pPr>
          </w:p>
        </w:tc>
      </w:tr>
      <w:tr>
        <w:trPr>
          <w:trHeight w:val="244"/>
        </w:trPr>
        <w:tc>
          <w:tcPr>
            <w:tcW w:w="57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500" w:type="dxa"/>
            <w:vAlign w:val="bottom"/>
            <w:gridSpan w:val="2"/>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102.1%</w:t>
            </w:r>
          </w:p>
        </w:tc>
        <w:tc>
          <w:tcPr>
            <w:tcW w:w="136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95.3%</w:t>
            </w:r>
          </w:p>
        </w:tc>
      </w:tr>
      <w:tr>
        <w:trPr>
          <w:trHeight w:val="266"/>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340" w:type="dxa"/>
            <w:vAlign w:val="bottom"/>
          </w:tcPr>
          <w:p>
            <w:pPr>
              <w:spacing w:after="0"/>
              <w:rPr>
                <w:sz w:val="23"/>
                <w:szCs w:val="23"/>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4359910</wp:posOffset>
                </wp:positionH>
                <wp:positionV relativeFrom="paragraph">
                  <wp:posOffset>-633095</wp:posOffset>
                </wp:positionV>
                <wp:extent cx="727710" cy="15494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7710" cy="154940"/>
                        </a:xfrm>
                        <a:prstGeom prst="rect">
                          <a:avLst/>
                        </a:prstGeom>
                        <a:solidFill>
                          <a:srgbClr val="D5EEEE"/>
                        </a:solidFill>
                      </wps:spPr>
                      <wps:bodyPr/>
                    </wps:wsp>
                  </a:graphicData>
                </a:graphic>
              </wp:anchor>
            </w:drawing>
          </mc:Choice>
          <mc:Fallback>
            <w:pict>
              <v:rect id="Shape 35" o:spid="_x0000_s1060" style="position:absolute;margin-left:343.3pt;margin-top:-49.8499pt;width:57.3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5087620</wp:posOffset>
                </wp:positionH>
                <wp:positionV relativeFrom="paragraph">
                  <wp:posOffset>-642620</wp:posOffset>
                </wp:positionV>
                <wp:extent cx="222250" cy="16446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250" cy="164465"/>
                        </a:xfrm>
                        <a:prstGeom prst="rect">
                          <a:avLst/>
                        </a:prstGeom>
                        <a:solidFill>
                          <a:srgbClr val="D5EEEE"/>
                        </a:solidFill>
                      </wps:spPr>
                      <wps:bodyPr/>
                    </wps:wsp>
                  </a:graphicData>
                </a:graphic>
              </wp:anchor>
            </w:drawing>
          </mc:Choice>
          <mc:Fallback>
            <w:pict>
              <v:rect id="Shape 36" o:spid="_x0000_s1061" style="position:absolute;margin-left:400.6pt;margin-top:-50.5999pt;width:17.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5309870</wp:posOffset>
                </wp:positionH>
                <wp:positionV relativeFrom="paragraph">
                  <wp:posOffset>-633095</wp:posOffset>
                </wp:positionV>
                <wp:extent cx="727075" cy="15494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7075" cy="154940"/>
                        </a:xfrm>
                        <a:prstGeom prst="rect">
                          <a:avLst/>
                        </a:prstGeom>
                        <a:solidFill>
                          <a:srgbClr val="D5EEEE"/>
                        </a:solidFill>
                      </wps:spPr>
                      <wps:bodyPr/>
                    </wps:wsp>
                  </a:graphicData>
                </a:graphic>
              </wp:anchor>
            </w:drawing>
          </mc:Choice>
          <mc:Fallback>
            <w:pict>
              <v:rect id="Shape 37" o:spid="_x0000_s1062" style="position:absolute;margin-left:418.1pt;margin-top:-49.8499pt;width:57.2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line="17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In November 2022, the Company’s board of directors approved the 2022 Inducement Plan (the “Inducement Plan”), which allows for the grant of equity awards to be made to new employees where the equity award is a material inducement to an employee entering into employment with the Company. The Inducement Plan was adopted by the Company’s board of directors without stockholder approval pursuant to Nasdaq Listing Rule 5635(c)(4). In December 2025, the Company’s board of directors approved an increase of 7,990,000 shares of Common Stock reserved for issuance under the Inducement Plan. A total of 8,000,000 shares of the Common Stock have been reserved for issuance under the Inducement Plan. During the period ended December 31, 2025, 312,535 shares have been issued under the Inducement Plan at a weighted average exercise price of $32.00. The weighted average remaining contractual terms for the shares is 10 years. No shares were issues during the period ended December 31,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Paramora option obligation</w:t>
      </w:r>
    </w:p>
    <w:p>
      <w:pPr>
        <w:spacing w:after="0" w:line="24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On November 10, 2025, in connection with the Asset Acquisition, the Company assumed the Paramora Option Obligation which provided for an annual equity grant of warrants for Paramora to purchase 1% of the then outstanding shares of Common Stock, on a fully diluted basis, on the last business day of each calendar year during the term of the Paragon Option Agreement, at the fair market value determined by the board of directors of the Company. The Company determined that the 2025 and 2026 grants are two separate grants, as there would be no obligation for the 2026 grant had the Company exercised or terminated all of the options under the Paragon Option Agreement prior to December 31, 2026. The service inception period for the grant precedes the grant date, with the full award being vested as of the grant date with no post-grant date service requirement. Accordingly, a liability related to the Paramora Option Obligation was recorded pursuant to the amended Paragon Option Agreement during 2025 interim periods. The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F-24</w:t>
      </w:r>
    </w:p>
    <w:p>
      <w:pPr>
        <w:sectPr>
          <w:pgSz w:w="12960" w:h="17280" w:orient="portrait"/>
          <w:cols w:equalWidth="0" w:num="1">
            <w:col w:w="10780"/>
          </w:cols>
          <w:pgMar w:left="1080" w:top="1440" w:right="1100" w:bottom="895" w:gutter="0" w:footer="0" w:header="0"/>
        </w:sectPr>
      </w:pPr>
    </w:p>
    <w:bookmarkStart w:id="121" w:name="page122"/>
    <w:bookmarkEnd w:id="121"/>
    <w:p>
      <w:pPr>
        <w:spacing w:after="0" w:line="21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Company determined that the grant date of the award was December 31, 2025, as all terms of the award, including number of shares and exercise price, were known by all parties. Accordingly, the Company measured the grant-date fair value of the warrants granted at approximately $13.1 million as an equity-classified award, of which $3.7 million was recognized as part of the liabilities assumed with the Asset Acquisition on November 10, 2025. For the year ended December 31, 2025, $9.4 million was recognized as stock compensation expense related to the Paramora Option Obligation. There was no similar expense for the year ended December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there was no unamortized expense related to the Paramora Option Obligation.</w:t>
      </w:r>
    </w:p>
    <w:p>
      <w:pPr>
        <w:spacing w:after="0" w:line="2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Company settled its 2025 obligations under the Paramora Option Obligation by issuing Paramora 628,302 warrants to purchase Common Stock, less the $23.01 per share exercise price of each warrant. As of December 31, 2025, none of the warrants issued under the Paramora Option Obligation have been exercised.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assumptions used in calculating the fair value of the warrant obligation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62"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6120" w:type="dxa"/>
            <w:vAlign w:val="bottom"/>
            <w:tcBorders>
              <w:bottom w:val="single" w:sz="8" w:color="D5EEEE"/>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2025</w:t>
            </w:r>
          </w:p>
        </w:tc>
        <w:tc>
          <w:tcPr>
            <w:tcW w:w="220" w:type="dxa"/>
            <w:vAlign w:val="bottom"/>
          </w:tcPr>
          <w:p>
            <w:pPr>
              <w:spacing w:after="0"/>
              <w:rPr>
                <w:sz w:val="17"/>
                <w:szCs w:val="17"/>
                <w:color w:val="auto"/>
              </w:rPr>
            </w:pPr>
          </w:p>
        </w:tc>
      </w:tr>
      <w:tr>
        <w:trPr>
          <w:trHeight w:val="239"/>
        </w:trPr>
        <w:tc>
          <w:tcPr>
            <w:tcW w:w="61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100.0%</w:t>
            </w: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20" w:type="dxa"/>
            <w:vAlign w:val="bottom"/>
          </w:tcPr>
          <w:p>
            <w:pPr>
              <w:spacing w:after="0"/>
              <w:rPr>
                <w:sz w:val="21"/>
                <w:szCs w:val="21"/>
                <w:color w:val="auto"/>
              </w:rPr>
            </w:pPr>
          </w:p>
        </w:tc>
      </w:tr>
      <w:tr>
        <w:trPr>
          <w:trHeight w:val="244"/>
        </w:trPr>
        <w:tc>
          <w:tcPr>
            <w:tcW w:w="61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44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4.2%</w:t>
            </w:r>
          </w:p>
        </w:tc>
      </w:tr>
      <w:tr>
        <w:trPr>
          <w:trHeight w:val="266"/>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4912360</wp:posOffset>
                </wp:positionH>
                <wp:positionV relativeFrom="paragraph">
                  <wp:posOffset>-633095</wp:posOffset>
                </wp:positionV>
                <wp:extent cx="781685" cy="15494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1685" cy="154940"/>
                        </a:xfrm>
                        <a:prstGeom prst="rect">
                          <a:avLst/>
                        </a:prstGeom>
                        <a:solidFill>
                          <a:srgbClr val="D5EEEE"/>
                        </a:solidFill>
                      </wps:spPr>
                      <wps:bodyPr/>
                    </wps:wsp>
                  </a:graphicData>
                </a:graphic>
              </wp:anchor>
            </w:drawing>
          </mc:Choice>
          <mc:Fallback>
            <w:pict>
              <v:rect id="Shape 38" o:spid="_x0000_s1063" style="position:absolute;margin-left:386.8pt;margin-top:-49.8499pt;width:61.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4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January 2024, the Company granted 34,200 restricted stock units (“RSUs”) to its employees under the 2020 Equity Plan. The weighted average grant date fair value of the time-based RSUs was $17.75 for the year ended December 31, 2025. The RSUs vest 33% after one-year from the grant date and 17% every six-months thereafter, subject to continued service to the Company through the applicable vesting dates. For the year ended December 31, 2025, the Company recognized $0.2 million in expense related to the RSUs.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activity for the Company’s RSUs during the periods presented:</w:t>
      </w:r>
    </w:p>
    <w:p>
      <w:pPr>
        <w:spacing w:after="0" w:line="254"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84"/>
        </w:trPr>
        <w:tc>
          <w:tcPr>
            <w:tcW w:w="5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84"/>
        </w:trPr>
        <w:tc>
          <w:tcPr>
            <w:tcW w:w="584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03"/>
        </w:trPr>
        <w:tc>
          <w:tcPr>
            <w:tcW w:w="5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nonvested units at December 31, 2023</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0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0" w:type="dxa"/>
            <w:vAlign w:val="bottom"/>
          </w:tcPr>
          <w:p>
            <w:pPr>
              <w:spacing w:after="0"/>
              <w:rPr>
                <w:sz w:val="1"/>
                <w:szCs w:val="1"/>
                <w:color w:val="auto"/>
              </w:rPr>
            </w:pPr>
          </w:p>
        </w:tc>
      </w:tr>
      <w:tr>
        <w:trPr>
          <w:trHeight w:val="239"/>
        </w:trPr>
        <w:tc>
          <w:tcPr>
            <w:tcW w:w="5840" w:type="dxa"/>
            <w:vAlign w:val="bottom"/>
            <w:vMerge w:val="continue"/>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8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34,200</w:t>
            </w:r>
          </w:p>
        </w:tc>
        <w:tc>
          <w:tcPr>
            <w:tcW w:w="220" w:type="dxa"/>
            <w:vAlign w:val="bottom"/>
            <w:shd w:val="clear" w:color="auto" w:fill="D5EEEE"/>
          </w:tcPr>
          <w:p>
            <w:pPr>
              <w:spacing w:after="0"/>
              <w:rPr>
                <w:sz w:val="21"/>
                <w:szCs w:val="21"/>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17.75</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(7,050)</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8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Cancelled</w:t>
            </w:r>
          </w:p>
        </w:tc>
        <w:tc>
          <w:tcPr>
            <w:tcW w:w="148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(11,550)</w:t>
            </w:r>
          </w:p>
        </w:tc>
        <w:tc>
          <w:tcPr>
            <w:tcW w:w="10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17.75</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8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Total nonvested units at December 31,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15,600</w:t>
            </w:r>
          </w:p>
        </w:tc>
        <w:tc>
          <w:tcPr>
            <w:tcW w:w="220" w:type="dxa"/>
            <w:vAlign w:val="bottom"/>
            <w:tcBorders>
              <w:bottom w:val="single" w:sz="8" w:color="D5EEEE"/>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17.75</w:t>
            </w:r>
          </w:p>
        </w:tc>
        <w:tc>
          <w:tcPr>
            <w:tcW w:w="60" w:type="dxa"/>
            <w:vAlign w:val="bottom"/>
            <w:tcBorders>
              <w:bottom w:val="single" w:sz="8" w:color="D5EEEE"/>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84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Cancelled</w:t>
            </w:r>
          </w:p>
        </w:tc>
        <w:tc>
          <w:tcPr>
            <w:tcW w:w="1480" w:type="dxa"/>
            <w:vAlign w:val="bottom"/>
            <w:gridSpan w:val="2"/>
            <w:shd w:val="clear" w:color="auto" w:fill="D5EEEE"/>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EEE"/>
          </w:tcPr>
          <w:p>
            <w:pPr>
              <w:spacing w:after="0"/>
              <w:rPr>
                <w:sz w:val="21"/>
                <w:szCs w:val="21"/>
                <w:color w:val="auto"/>
              </w:rPr>
            </w:pPr>
          </w:p>
        </w:tc>
        <w:tc>
          <w:tcPr>
            <w:tcW w:w="122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Total nonvested units at December 31, 2025</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7,800</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grant date fair value of stock awards vested during the years ended December 31, 2025 and 2024 was $0.8 million and $3.1 million, respectively. Total unrecognized compensation expense related to unvested options granted under the Company’s stock-based compensation plan was $15.5 million at December 31, 2025, which is expected to be recognized over a weighted average period of 4.8 years. The Company recorded stock-based compensation expense related to the issuance of stock as follows (in thousands):</w:t>
      </w:r>
    </w:p>
    <w:p>
      <w:pPr>
        <w:sectPr>
          <w:pgSz w:w="12960" w:h="17280" w:orient="portrait"/>
          <w:cols w:equalWidth="0" w:num="1">
            <w:col w:w="10800"/>
          </w:cols>
          <w:pgMar w:left="1080" w:top="1440" w:right="108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960" w:h="17280" w:orient="portrait"/>
          <w:cols w:equalWidth="0" w:num="1">
            <w:col w:w="10800"/>
          </w:cols>
          <w:pgMar w:left="1080" w:top="1440" w:right="1080" w:bottom="906" w:gutter="0" w:footer="0" w:header="0"/>
          <w:type w:val="continuous"/>
        </w:sectPr>
      </w:pPr>
    </w:p>
    <w:bookmarkStart w:id="122" w:name="page123"/>
    <w:bookmarkEnd w:id="122"/>
    <w:p>
      <w:pPr>
        <w:spacing w:after="0" w:line="309"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740" w:type="dxa"/>
            <w:vAlign w:val="bottom"/>
            <w:tcBorders>
              <w:bottom w:val="single" w:sz="8" w:color="auto"/>
            </w:tcBorders>
            <w:gridSpan w:val="5"/>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60" w:type="dxa"/>
            <w:vAlign w:val="bottom"/>
          </w:tcPr>
          <w:p>
            <w:pPr>
              <w:spacing w:after="0"/>
              <w:rPr>
                <w:sz w:val="17"/>
                <w:szCs w:val="17"/>
                <w:color w:val="auto"/>
              </w:rPr>
            </w:pPr>
          </w:p>
        </w:tc>
      </w:tr>
      <w:tr>
        <w:trPr>
          <w:trHeight w:val="239"/>
        </w:trPr>
        <w:tc>
          <w:tcPr>
            <w:tcW w:w="5840" w:type="dxa"/>
            <w:vAlign w:val="bottom"/>
            <w:tcBorders>
              <w:bottom w:val="single" w:sz="8" w:color="D5EEEE"/>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D5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5EEEE"/>
            </w:tcBorders>
          </w:tcPr>
          <w:p>
            <w:pPr>
              <w:spacing w:after="0"/>
              <w:rPr>
                <w:sz w:val="20"/>
                <w:szCs w:val="20"/>
                <w:color w:val="auto"/>
              </w:rPr>
            </w:pPr>
          </w:p>
        </w:tc>
      </w:tr>
      <w:tr>
        <w:trPr>
          <w:trHeight w:val="239"/>
        </w:trPr>
        <w:tc>
          <w:tcPr>
            <w:tcW w:w="58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860" w:type="dxa"/>
            <w:vAlign w:val="bottom"/>
            <w:shd w:val="clear" w:color="auto" w:fill="D5EEEE"/>
          </w:tcPr>
          <w:p>
            <w:pPr>
              <w:spacing w:after="0"/>
              <w:rPr>
                <w:sz w:val="20"/>
                <w:szCs w:val="20"/>
                <w:color w:val="auto"/>
              </w:rPr>
            </w:pPr>
          </w:p>
        </w:tc>
        <w:tc>
          <w:tcPr>
            <w:tcW w:w="4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220" w:type="dxa"/>
            <w:vAlign w:val="bottom"/>
            <w:shd w:val="clear" w:color="auto" w:fill="D5EEEE"/>
          </w:tcPr>
          <w:p>
            <w:pPr>
              <w:spacing w:after="0"/>
              <w:rPr>
                <w:sz w:val="20"/>
                <w:szCs w:val="20"/>
                <w:color w:val="auto"/>
              </w:rPr>
            </w:pPr>
          </w:p>
        </w:tc>
        <w:tc>
          <w:tcPr>
            <w:tcW w:w="2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896</w:t>
            </w:r>
          </w:p>
        </w:tc>
        <w:tc>
          <w:tcPr>
            <w:tcW w:w="60" w:type="dxa"/>
            <w:vAlign w:val="bottom"/>
            <w:shd w:val="clear" w:color="auto" w:fill="D5EEEE"/>
          </w:tcPr>
          <w:p>
            <w:pPr>
              <w:spacing w:after="0"/>
              <w:rPr>
                <w:sz w:val="20"/>
                <w:szCs w:val="20"/>
                <w:color w:val="auto"/>
              </w:rPr>
            </w:pPr>
          </w:p>
        </w:tc>
      </w:tr>
      <w:tr>
        <w:trPr>
          <w:trHeight w:val="244"/>
        </w:trPr>
        <w:tc>
          <w:tcPr>
            <w:tcW w:w="58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8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220" w:type="dxa"/>
            <w:vAlign w:val="bottom"/>
            <w:tcBorders>
              <w:bottom w:val="single" w:sz="8" w:color="D5EEEE"/>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2,343</w:t>
            </w:r>
          </w:p>
        </w:tc>
        <w:tc>
          <w:tcPr>
            <w:tcW w:w="60" w:type="dxa"/>
            <w:vAlign w:val="bottom"/>
            <w:tcBorders>
              <w:bottom w:val="single" w:sz="8" w:color="D5EEEE"/>
            </w:tcBorders>
          </w:tcPr>
          <w:p>
            <w:pPr>
              <w:spacing w:after="0"/>
              <w:rPr>
                <w:sz w:val="21"/>
                <w:szCs w:val="21"/>
                <w:color w:val="auto"/>
              </w:rPr>
            </w:pPr>
          </w:p>
        </w:tc>
      </w:tr>
      <w:tr>
        <w:trPr>
          <w:trHeight w:val="259"/>
        </w:trPr>
        <w:tc>
          <w:tcPr>
            <w:tcW w:w="584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Stock-based compensation</w:t>
            </w:r>
          </w:p>
        </w:tc>
        <w:tc>
          <w:tcPr>
            <w:tcW w:w="860" w:type="dxa"/>
            <w:vAlign w:val="bottom"/>
            <w:tcBorders>
              <w:bottom w:val="single" w:sz="8" w:color="auto"/>
            </w:tcBorders>
            <w:shd w:val="clear" w:color="auto" w:fill="D5EEEE"/>
          </w:tcPr>
          <w:p>
            <w:pPr>
              <w:jc w:val="right"/>
              <w:ind w:right="673"/>
              <w:spacing w:after="0"/>
              <w:rPr>
                <w:sz w:val="20"/>
                <w:szCs w:val="20"/>
                <w:color w:val="auto"/>
              </w:rPr>
            </w:pPr>
            <w:r>
              <w:rPr>
                <w:rFonts w:ascii="Times New Roman" w:cs="Times New Roman" w:eastAsia="Times New Roman" w:hAnsi="Times New Roman"/>
                <w:sz w:val="20"/>
                <w:szCs w:val="20"/>
                <w:color w:val="auto"/>
                <w:w w:val="79"/>
              </w:rPr>
              <w:t>$</w:t>
            </w:r>
          </w:p>
        </w:tc>
        <w:tc>
          <w:tcPr>
            <w:tcW w:w="4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998</w:t>
            </w:r>
          </w:p>
        </w:tc>
        <w:tc>
          <w:tcPr>
            <w:tcW w:w="220" w:type="dxa"/>
            <w:vAlign w:val="bottom"/>
            <w:tcBorders>
              <w:bottom w:val="single" w:sz="8" w:color="D5EEEE"/>
            </w:tcBorders>
            <w:shd w:val="clear" w:color="auto" w:fill="D5EEEE"/>
          </w:tcPr>
          <w:p>
            <w:pPr>
              <w:spacing w:after="0"/>
              <w:rPr>
                <w:sz w:val="22"/>
                <w:szCs w:val="22"/>
                <w:color w:val="auto"/>
              </w:rPr>
            </w:pPr>
          </w:p>
        </w:tc>
        <w:tc>
          <w:tcPr>
            <w:tcW w:w="28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3,239</w:t>
            </w:r>
          </w:p>
        </w:tc>
        <w:tc>
          <w:tcPr>
            <w:tcW w:w="60" w:type="dxa"/>
            <w:vAlign w:val="bottom"/>
            <w:tcBorders>
              <w:bottom w:val="single" w:sz="8" w:color="D5EEEE"/>
            </w:tcBorders>
            <w:shd w:val="clear" w:color="auto" w:fill="D5EEEE"/>
          </w:tcPr>
          <w:p>
            <w:pPr>
              <w:spacing w:after="0"/>
              <w:rPr>
                <w:sz w:val="22"/>
                <w:szCs w:val="22"/>
                <w:color w:val="auto"/>
              </w:rPr>
            </w:pPr>
          </w:p>
        </w:tc>
      </w:tr>
      <w:tr>
        <w:trPr>
          <w:trHeight w:val="20"/>
        </w:trPr>
        <w:tc>
          <w:tcPr>
            <w:tcW w:w="5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INCOME TAXES</w:t>
      </w:r>
    </w:p>
    <w:p>
      <w:pPr>
        <w:spacing w:after="0" w:line="24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As further described in Note 2, Summary of Significant Accounting Policies, the Company has elected to prospectively adopt the guidance in ASU No. 2023-09, Income Taxes (Topic 740): Improvements to Income Tax Disclosures or ASU 2023-09. The following table is a reconciliation of the U.S. federal statutory rate of 21% to the Company’s effective tax rate for the year ended December 31, 2025 in accordance with the guidance in ASU No. 2023-09: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center"/>
              <w:ind w:left="43"/>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5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04"/>
        </w:trPr>
        <w:tc>
          <w:tcPr>
            <w:tcW w:w="72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78"/>
        </w:trPr>
        <w:tc>
          <w:tcPr>
            <w:tcW w:w="72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Provision for income taxes at U.S. federal statutory rate</w:t>
            </w:r>
          </w:p>
        </w:tc>
        <w:tc>
          <w:tcPr>
            <w:tcW w:w="38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(44,056)</w:t>
            </w:r>
          </w:p>
        </w:tc>
        <w:tc>
          <w:tcPr>
            <w:tcW w:w="100" w:type="dxa"/>
            <w:vAlign w:val="bottom"/>
            <w:shd w:val="clear" w:color="auto" w:fill="D5EEE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21.0%</w:t>
            </w:r>
          </w:p>
        </w:tc>
      </w:tr>
      <w:tr>
        <w:trPr>
          <w:trHeight w:val="283"/>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tax benefit</w:t>
            </w:r>
          </w:p>
        </w:tc>
        <w:tc>
          <w:tcPr>
            <w:tcW w:w="380" w:type="dxa"/>
            <w:vAlign w:val="bottom"/>
          </w:tcPr>
          <w:p>
            <w:pPr>
              <w:spacing w:after="0"/>
              <w:rPr>
                <w:sz w:val="24"/>
                <w:szCs w:val="24"/>
                <w:color w:val="auto"/>
              </w:rPr>
            </w:pPr>
          </w:p>
        </w:tc>
        <w:tc>
          <w:tcPr>
            <w:tcW w:w="2200" w:type="dxa"/>
            <w:vAlign w:val="bottom"/>
            <w:gridSpan w:val="4"/>
          </w:tcPr>
          <w:p>
            <w:pPr>
              <w:jc w:val="right"/>
              <w:ind w:right="1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r>
      <w:tr>
        <w:trPr>
          <w:trHeight w:val="283"/>
        </w:trPr>
        <w:tc>
          <w:tcPr>
            <w:tcW w:w="72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Changes in valuation allowances</w:t>
            </w:r>
          </w:p>
        </w:tc>
        <w:tc>
          <w:tcPr>
            <w:tcW w:w="380" w:type="dxa"/>
            <w:vAlign w:val="bottom"/>
            <w:shd w:val="clear" w:color="auto" w:fill="D5EEEE"/>
          </w:tcPr>
          <w:p>
            <w:pPr>
              <w:spacing w:after="0"/>
              <w:rPr>
                <w:sz w:val="24"/>
                <w:szCs w:val="24"/>
                <w:color w:val="auto"/>
              </w:rPr>
            </w:pP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4,648</w:t>
            </w:r>
          </w:p>
        </w:tc>
        <w:tc>
          <w:tcPr>
            <w:tcW w:w="100" w:type="dxa"/>
            <w:vAlign w:val="bottom"/>
            <w:shd w:val="clear" w:color="auto" w:fill="D5EEEE"/>
          </w:tcPr>
          <w:p>
            <w:pPr>
              <w:spacing w:after="0"/>
              <w:rPr>
                <w:sz w:val="24"/>
                <w:szCs w:val="24"/>
                <w:color w:val="auto"/>
              </w:rPr>
            </w:pPr>
          </w:p>
        </w:tc>
        <w:tc>
          <w:tcPr>
            <w:tcW w:w="180" w:type="dxa"/>
            <w:vAlign w:val="bottom"/>
            <w:shd w:val="clear" w:color="auto" w:fill="D5EEEE"/>
          </w:tcPr>
          <w:p>
            <w:pPr>
              <w:spacing w:after="0"/>
              <w:rPr>
                <w:sz w:val="24"/>
                <w:szCs w:val="24"/>
                <w:color w:val="auto"/>
              </w:rPr>
            </w:pPr>
          </w:p>
        </w:tc>
        <w:tc>
          <w:tcPr>
            <w:tcW w:w="800" w:type="dxa"/>
            <w:vAlign w:val="bottom"/>
            <w:shd w:val="clear" w:color="auto" w:fill="D5EEEE"/>
          </w:tcPr>
          <w:p>
            <w:pPr>
              <w:spacing w:after="0"/>
              <w:rPr>
                <w:sz w:val="24"/>
                <w:szCs w:val="24"/>
                <w:color w:val="auto"/>
              </w:rPr>
            </w:pPr>
          </w:p>
        </w:tc>
        <w:tc>
          <w:tcPr>
            <w:tcW w:w="80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(2.2)</w:t>
            </w:r>
          </w:p>
        </w:tc>
      </w:tr>
      <w:tr>
        <w:trPr>
          <w:trHeight w:val="274"/>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91"/>
        </w:trPr>
        <w:tc>
          <w:tcPr>
            <w:tcW w:w="7200" w:type="dxa"/>
            <w:vAlign w:val="bottom"/>
            <w:shd w:val="clear" w:color="auto" w:fill="D5EEEE"/>
          </w:tcPr>
          <w:p>
            <w:pPr>
              <w:ind w:left="260"/>
              <w:spacing w:after="0"/>
              <w:rPr>
                <w:sz w:val="20"/>
                <w:szCs w:val="20"/>
                <w:color w:val="auto"/>
              </w:rPr>
            </w:pPr>
            <w:r>
              <w:rPr>
                <w:rFonts w:ascii="Times New Roman" w:cs="Times New Roman" w:eastAsia="Times New Roman" w:hAnsi="Times New Roman"/>
                <w:sz w:val="20"/>
                <w:szCs w:val="20"/>
                <w:color w:val="auto"/>
              </w:rPr>
              <w:t>Acquired IPR&amp;D</w:t>
            </w:r>
          </w:p>
        </w:tc>
        <w:tc>
          <w:tcPr>
            <w:tcW w:w="380" w:type="dxa"/>
            <w:vAlign w:val="bottom"/>
            <w:shd w:val="clear" w:color="auto" w:fill="D5EEEE"/>
          </w:tcPr>
          <w:p>
            <w:pPr>
              <w:spacing w:after="0"/>
              <w:rPr>
                <w:sz w:val="24"/>
                <w:szCs w:val="24"/>
                <w:color w:val="auto"/>
              </w:rPr>
            </w:pP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36,605</w:t>
            </w:r>
          </w:p>
        </w:tc>
        <w:tc>
          <w:tcPr>
            <w:tcW w:w="100" w:type="dxa"/>
            <w:vAlign w:val="bottom"/>
            <w:shd w:val="clear" w:color="auto" w:fill="D5EEEE"/>
          </w:tcPr>
          <w:p>
            <w:pPr>
              <w:spacing w:after="0"/>
              <w:rPr>
                <w:sz w:val="24"/>
                <w:szCs w:val="24"/>
                <w:color w:val="auto"/>
              </w:rPr>
            </w:pPr>
          </w:p>
        </w:tc>
        <w:tc>
          <w:tcPr>
            <w:tcW w:w="180" w:type="dxa"/>
            <w:vAlign w:val="bottom"/>
            <w:shd w:val="clear" w:color="auto" w:fill="D5EEEE"/>
          </w:tcPr>
          <w:p>
            <w:pPr>
              <w:spacing w:after="0"/>
              <w:rPr>
                <w:sz w:val="24"/>
                <w:szCs w:val="24"/>
                <w:color w:val="auto"/>
              </w:rPr>
            </w:pPr>
          </w:p>
        </w:tc>
        <w:tc>
          <w:tcPr>
            <w:tcW w:w="800" w:type="dxa"/>
            <w:vAlign w:val="bottom"/>
            <w:shd w:val="clear" w:color="auto" w:fill="D5EEEE"/>
          </w:tcPr>
          <w:p>
            <w:pPr>
              <w:spacing w:after="0"/>
              <w:rPr>
                <w:sz w:val="24"/>
                <w:szCs w:val="24"/>
                <w:color w:val="auto"/>
              </w:rPr>
            </w:pPr>
          </w:p>
        </w:tc>
        <w:tc>
          <w:tcPr>
            <w:tcW w:w="80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(17.5)</w:t>
            </w:r>
          </w:p>
        </w:tc>
      </w:tr>
      <w:tr>
        <w:trPr>
          <w:trHeight w:val="283"/>
        </w:trPr>
        <w:tc>
          <w:tcPr>
            <w:tcW w:w="72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 reconciling Items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(0.9)</w:t>
            </w:r>
          </w:p>
        </w:tc>
      </w:tr>
      <w:tr>
        <w:trPr>
          <w:trHeight w:val="283"/>
        </w:trPr>
        <w:tc>
          <w:tcPr>
            <w:tcW w:w="72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380" w:type="dxa"/>
            <w:vAlign w:val="bottom"/>
            <w:shd w:val="clear" w:color="auto" w:fill="D5EEEE"/>
          </w:tcPr>
          <w:p>
            <w:pPr>
              <w:spacing w:after="0"/>
              <w:rPr>
                <w:sz w:val="24"/>
                <w:szCs w:val="24"/>
                <w:color w:val="auto"/>
              </w:rPr>
            </w:pPr>
          </w:p>
        </w:tc>
        <w:tc>
          <w:tcPr>
            <w:tcW w:w="1120" w:type="dxa"/>
            <w:vAlign w:val="bottom"/>
            <w:shd w:val="clear" w:color="auto" w:fill="D5EEEE"/>
          </w:tcPr>
          <w:p>
            <w:pPr>
              <w:spacing w:after="0"/>
              <w:rPr>
                <w:sz w:val="24"/>
                <w:szCs w:val="24"/>
                <w:color w:val="auto"/>
              </w:rPr>
            </w:pPr>
          </w:p>
        </w:tc>
        <w:tc>
          <w:tcPr>
            <w:tcW w:w="100" w:type="dxa"/>
            <w:vAlign w:val="bottom"/>
            <w:shd w:val="clear" w:color="auto" w:fill="D5EEEE"/>
          </w:tcPr>
          <w:p>
            <w:pPr>
              <w:spacing w:after="0"/>
              <w:rPr>
                <w:sz w:val="24"/>
                <w:szCs w:val="24"/>
                <w:color w:val="auto"/>
              </w:rPr>
            </w:pPr>
          </w:p>
        </w:tc>
        <w:tc>
          <w:tcPr>
            <w:tcW w:w="180" w:type="dxa"/>
            <w:vAlign w:val="bottom"/>
            <w:shd w:val="clear" w:color="auto" w:fill="D5EEEE"/>
          </w:tcPr>
          <w:p>
            <w:pPr>
              <w:spacing w:after="0"/>
              <w:rPr>
                <w:sz w:val="24"/>
                <w:szCs w:val="24"/>
                <w:color w:val="auto"/>
              </w:rPr>
            </w:pPr>
          </w:p>
        </w:tc>
        <w:tc>
          <w:tcPr>
            <w:tcW w:w="800" w:type="dxa"/>
            <w:vAlign w:val="bottom"/>
            <w:shd w:val="clear" w:color="auto" w:fill="D5EEEE"/>
          </w:tcPr>
          <w:p>
            <w:pPr>
              <w:spacing w:after="0"/>
              <w:rPr>
                <w:sz w:val="24"/>
                <w:szCs w:val="24"/>
                <w:color w:val="auto"/>
              </w:rPr>
            </w:pPr>
          </w:p>
        </w:tc>
        <w:tc>
          <w:tcPr>
            <w:tcW w:w="540" w:type="dxa"/>
            <w:vAlign w:val="bottom"/>
            <w:shd w:val="clear" w:color="auto" w:fill="D5EEEE"/>
          </w:tcPr>
          <w:p>
            <w:pPr>
              <w:spacing w:after="0"/>
              <w:rPr>
                <w:sz w:val="24"/>
                <w:szCs w:val="24"/>
                <w:color w:val="auto"/>
              </w:rPr>
            </w:pPr>
          </w:p>
        </w:tc>
        <w:tc>
          <w:tcPr>
            <w:tcW w:w="260" w:type="dxa"/>
            <w:vAlign w:val="bottom"/>
            <w:shd w:val="clear" w:color="auto" w:fill="D5EEEE"/>
          </w:tcPr>
          <w:p>
            <w:pPr>
              <w:spacing w:after="0"/>
              <w:rPr>
                <w:sz w:val="24"/>
                <w:szCs w:val="24"/>
                <w:color w:val="auto"/>
              </w:rPr>
            </w:pPr>
          </w:p>
        </w:tc>
      </w:tr>
      <w:tr>
        <w:trPr>
          <w:trHeight w:val="274"/>
        </w:trPr>
        <w:tc>
          <w:tcPr>
            <w:tcW w:w="72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Denmark</w:t>
            </w: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91"/>
        </w:trPr>
        <w:tc>
          <w:tcPr>
            <w:tcW w:w="7200" w:type="dxa"/>
            <w:vAlign w:val="bottom"/>
            <w:shd w:val="clear" w:color="auto" w:fill="D5EEEE"/>
          </w:tcPr>
          <w:p>
            <w:pPr>
              <w:ind w:left="500"/>
              <w:spacing w:after="0"/>
              <w:rPr>
                <w:sz w:val="20"/>
                <w:szCs w:val="20"/>
                <w:color w:val="auto"/>
              </w:rPr>
            </w:pPr>
            <w:r>
              <w:rPr>
                <w:rFonts w:ascii="Times New Roman" w:cs="Times New Roman" w:eastAsia="Times New Roman" w:hAnsi="Times New Roman"/>
                <w:sz w:val="20"/>
                <w:szCs w:val="20"/>
                <w:color w:val="auto"/>
              </w:rPr>
              <w:t>Nondeductible expenses</w:t>
            </w:r>
          </w:p>
        </w:tc>
        <w:tc>
          <w:tcPr>
            <w:tcW w:w="380" w:type="dxa"/>
            <w:vAlign w:val="bottom"/>
            <w:shd w:val="clear" w:color="auto" w:fill="D5EEEE"/>
          </w:tcPr>
          <w:p>
            <w:pPr>
              <w:spacing w:after="0"/>
              <w:rPr>
                <w:sz w:val="24"/>
                <w:szCs w:val="24"/>
                <w:color w:val="auto"/>
              </w:rPr>
            </w:pP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543</w:t>
            </w:r>
          </w:p>
        </w:tc>
        <w:tc>
          <w:tcPr>
            <w:tcW w:w="100" w:type="dxa"/>
            <w:vAlign w:val="bottom"/>
            <w:shd w:val="clear" w:color="auto" w:fill="D5EEEE"/>
          </w:tcPr>
          <w:p>
            <w:pPr>
              <w:spacing w:after="0"/>
              <w:rPr>
                <w:sz w:val="24"/>
                <w:szCs w:val="24"/>
                <w:color w:val="auto"/>
              </w:rPr>
            </w:pPr>
          </w:p>
        </w:tc>
        <w:tc>
          <w:tcPr>
            <w:tcW w:w="180" w:type="dxa"/>
            <w:vAlign w:val="bottom"/>
            <w:shd w:val="clear" w:color="auto" w:fill="D5EEEE"/>
          </w:tcPr>
          <w:p>
            <w:pPr>
              <w:spacing w:after="0"/>
              <w:rPr>
                <w:sz w:val="24"/>
                <w:szCs w:val="24"/>
                <w:color w:val="auto"/>
              </w:rPr>
            </w:pPr>
          </w:p>
        </w:tc>
        <w:tc>
          <w:tcPr>
            <w:tcW w:w="800" w:type="dxa"/>
            <w:vAlign w:val="bottom"/>
            <w:shd w:val="clear" w:color="auto" w:fill="D5EEEE"/>
          </w:tcPr>
          <w:p>
            <w:pPr>
              <w:spacing w:after="0"/>
              <w:rPr>
                <w:sz w:val="24"/>
                <w:szCs w:val="24"/>
                <w:color w:val="auto"/>
              </w:rPr>
            </w:pPr>
          </w:p>
        </w:tc>
        <w:tc>
          <w:tcPr>
            <w:tcW w:w="80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(0.3)</w:t>
            </w:r>
          </w:p>
        </w:tc>
      </w:tr>
      <w:tr>
        <w:trPr>
          <w:trHeight w:val="283"/>
        </w:trPr>
        <w:tc>
          <w:tcPr>
            <w:tcW w:w="72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Foreign rate differential</w:t>
            </w:r>
          </w:p>
        </w:tc>
        <w:tc>
          <w:tcPr>
            <w:tcW w:w="38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(39)</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r>
      <w:tr>
        <w:trPr>
          <w:trHeight w:val="283"/>
        </w:trPr>
        <w:tc>
          <w:tcPr>
            <w:tcW w:w="7200" w:type="dxa"/>
            <w:vAlign w:val="bottom"/>
            <w:shd w:val="clear" w:color="auto" w:fill="D5EEEE"/>
          </w:tcPr>
          <w:p>
            <w:pPr>
              <w:ind w:left="500"/>
              <w:spacing w:after="0"/>
              <w:rPr>
                <w:sz w:val="20"/>
                <w:szCs w:val="20"/>
                <w:color w:val="auto"/>
              </w:rPr>
            </w:pPr>
            <w:r>
              <w:rPr>
                <w:rFonts w:ascii="Times New Roman" w:cs="Times New Roman" w:eastAsia="Times New Roman" w:hAnsi="Times New Roman"/>
                <w:sz w:val="20"/>
                <w:szCs w:val="20"/>
                <w:color w:val="auto"/>
              </w:rPr>
              <w:t>Valuation allowance</w:t>
            </w:r>
          </w:p>
        </w:tc>
        <w:tc>
          <w:tcPr>
            <w:tcW w:w="380" w:type="dxa"/>
            <w:vAlign w:val="bottom"/>
            <w:shd w:val="clear" w:color="auto" w:fill="D5EEEE"/>
          </w:tcPr>
          <w:p>
            <w:pPr>
              <w:spacing w:after="0"/>
              <w:rPr>
                <w:sz w:val="24"/>
                <w:szCs w:val="24"/>
                <w:color w:val="auto"/>
              </w:rPr>
            </w:pP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100" w:type="dxa"/>
            <w:vAlign w:val="bottom"/>
            <w:shd w:val="clear" w:color="auto" w:fill="D5EEEE"/>
          </w:tcPr>
          <w:p>
            <w:pPr>
              <w:spacing w:after="0"/>
              <w:rPr>
                <w:sz w:val="24"/>
                <w:szCs w:val="24"/>
                <w:color w:val="auto"/>
              </w:rPr>
            </w:pPr>
          </w:p>
        </w:tc>
        <w:tc>
          <w:tcPr>
            <w:tcW w:w="180" w:type="dxa"/>
            <w:vAlign w:val="bottom"/>
            <w:shd w:val="clear" w:color="auto" w:fill="D5EEEE"/>
          </w:tcPr>
          <w:p>
            <w:pPr>
              <w:spacing w:after="0"/>
              <w:rPr>
                <w:sz w:val="24"/>
                <w:szCs w:val="24"/>
                <w:color w:val="auto"/>
              </w:rPr>
            </w:pPr>
          </w:p>
        </w:tc>
        <w:tc>
          <w:tcPr>
            <w:tcW w:w="800" w:type="dxa"/>
            <w:vAlign w:val="bottom"/>
            <w:shd w:val="clear" w:color="auto" w:fill="D5EEEE"/>
          </w:tcPr>
          <w:p>
            <w:pPr>
              <w:spacing w:after="0"/>
              <w:rPr>
                <w:sz w:val="24"/>
                <w:szCs w:val="24"/>
                <w:color w:val="auto"/>
              </w:rPr>
            </w:pPr>
          </w:p>
        </w:tc>
        <w:tc>
          <w:tcPr>
            <w:tcW w:w="80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20"/>
                <w:szCs w:val="20"/>
                <w:color w:val="auto"/>
              </w:rPr>
              <w:t>(0.1)</w:t>
            </w:r>
          </w:p>
        </w:tc>
      </w:tr>
      <w:tr>
        <w:trPr>
          <w:trHeight w:val="283"/>
        </w:trPr>
        <w:tc>
          <w:tcPr>
            <w:tcW w:w="7200" w:type="dxa"/>
            <w:vAlign w:val="bottom"/>
            <w:tcBorders>
              <w:bottom w:val="single" w:sz="8" w:color="D5EEEE"/>
            </w:tcBorders>
          </w:tcPr>
          <w:p>
            <w:pPr>
              <w:ind w:left="500"/>
              <w:spacing w:after="0"/>
              <w:rPr>
                <w:sz w:val="20"/>
                <w:szCs w:val="20"/>
                <w:color w:val="auto"/>
              </w:rPr>
            </w:pPr>
            <w:r>
              <w:rPr>
                <w:rFonts w:ascii="Times New Roman" w:cs="Times New Roman" w:eastAsia="Times New Roman" w:hAnsi="Times New Roman"/>
                <w:sz w:val="20"/>
                <w:szCs w:val="20"/>
                <w:color w:val="auto"/>
              </w:rPr>
              <w:t>Other reconciling Items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D5EEEE"/>
            </w:tcBorders>
          </w:tcPr>
          <w:p>
            <w:pPr>
              <w:spacing w:after="0"/>
              <w:rPr>
                <w:sz w:val="24"/>
                <w:szCs w:val="24"/>
                <w:color w:val="auto"/>
              </w:rPr>
            </w:pPr>
          </w:p>
        </w:tc>
        <w:tc>
          <w:tcPr>
            <w:tcW w:w="180" w:type="dxa"/>
            <w:vAlign w:val="bottom"/>
            <w:tcBorders>
              <w:bottom w:val="single" w:sz="8" w:color="D5EEEE"/>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r>
      <w:tr>
        <w:trPr>
          <w:trHeight w:val="298"/>
        </w:trPr>
        <w:tc>
          <w:tcPr>
            <w:tcW w:w="72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38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shd w:val="clear" w:color="auto" w:fill="D5EEEE"/>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200" w:type="dxa"/>
            <w:vAlign w:val="bottom"/>
            <w:tcBorders>
              <w:top w:val="single" w:sz="8" w:color="D5EEEE"/>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EEE"/>
            </w:tcBorders>
          </w:tcPr>
          <w:p>
            <w:pPr>
              <w:spacing w:after="0" w:line="20" w:lineRule="exact"/>
              <w:rPr>
                <w:sz w:val="1"/>
                <w:szCs w:val="1"/>
                <w:color w:val="auto"/>
              </w:rPr>
            </w:pPr>
          </w:p>
        </w:tc>
        <w:tc>
          <w:tcPr>
            <w:tcW w:w="180" w:type="dxa"/>
            <w:vAlign w:val="bottom"/>
            <w:tcBorders>
              <w:top w:val="single" w:sz="8" w:color="D5EEEE"/>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5591175</wp:posOffset>
                </wp:positionH>
                <wp:positionV relativeFrom="paragraph">
                  <wp:posOffset>-2370455</wp:posOffset>
                </wp:positionV>
                <wp:extent cx="963295" cy="17970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3295" cy="179705"/>
                        </a:xfrm>
                        <a:prstGeom prst="rect">
                          <a:avLst/>
                        </a:prstGeom>
                        <a:solidFill>
                          <a:srgbClr val="D5EEEE"/>
                        </a:solidFill>
                      </wps:spPr>
                      <wps:bodyPr/>
                    </wps:wsp>
                  </a:graphicData>
                </a:graphic>
              </wp:anchor>
            </w:drawing>
          </mc:Choice>
          <mc:Fallback>
            <w:pict>
              <v:rect id="Shape 39" o:spid="_x0000_s1064" style="position:absolute;margin-left:440.25pt;margin-top:-186.6499pt;width:75.85pt;height:14.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6554470</wp:posOffset>
                </wp:positionH>
                <wp:positionV relativeFrom="paragraph">
                  <wp:posOffset>-2379980</wp:posOffset>
                </wp:positionV>
                <wp:extent cx="168275" cy="18923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275" cy="189230"/>
                        </a:xfrm>
                        <a:prstGeom prst="rect">
                          <a:avLst/>
                        </a:prstGeom>
                        <a:solidFill>
                          <a:srgbClr val="D5EEEE"/>
                        </a:solidFill>
                      </wps:spPr>
                      <wps:bodyPr/>
                    </wps:wsp>
                  </a:graphicData>
                </a:graphic>
              </wp:anchor>
            </w:drawing>
          </mc:Choice>
          <mc:Fallback>
            <w:pict>
              <v:rect id="Shape 40" o:spid="_x0000_s1065" style="position:absolute;margin-left:516.1pt;margin-top:-187.3999pt;width:13.25pt;height:14.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5699760</wp:posOffset>
                </wp:positionH>
                <wp:positionV relativeFrom="paragraph">
                  <wp:posOffset>-207645</wp:posOffset>
                </wp:positionV>
                <wp:extent cx="854710" cy="17970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4710" cy="179705"/>
                        </a:xfrm>
                        <a:prstGeom prst="rect">
                          <a:avLst/>
                        </a:prstGeom>
                        <a:solidFill>
                          <a:srgbClr val="D5EEEE"/>
                        </a:solidFill>
                      </wps:spPr>
                      <wps:bodyPr/>
                    </wps:wsp>
                  </a:graphicData>
                </a:graphic>
              </wp:anchor>
            </w:drawing>
          </mc:Choice>
          <mc:Fallback>
            <w:pict>
              <v:rect id="Shape 41" o:spid="_x0000_s1066" style="position:absolute;margin-left:448.8pt;margin-top:-16.3499pt;width:67.3pt;height:14.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6554470</wp:posOffset>
                </wp:positionH>
                <wp:positionV relativeFrom="paragraph">
                  <wp:posOffset>-217170</wp:posOffset>
                </wp:positionV>
                <wp:extent cx="168275" cy="18923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275" cy="189230"/>
                        </a:xfrm>
                        <a:prstGeom prst="rect">
                          <a:avLst/>
                        </a:prstGeom>
                        <a:solidFill>
                          <a:srgbClr val="D5EEEE"/>
                        </a:solidFill>
                      </wps:spPr>
                      <wps:bodyPr/>
                    </wps:wsp>
                  </a:graphicData>
                </a:graphic>
              </wp:anchor>
            </w:drawing>
          </mc:Choice>
          <mc:Fallback>
            <w:pict>
              <v:rect id="Shape 42" o:spid="_x0000_s1067" style="position:absolute;margin-left:516.1pt;margin-top:-17.0999pt;width:13.25pt;height:14.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reconciliation of the U.S. federal statutory rate of 21% to the Company’s effective rate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in accordance with the guidance prior to the adoption of ASU 2023-09: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20" w:type="dxa"/>
            <w:vAlign w:val="bottom"/>
          </w:tcPr>
          <w:p>
            <w:pPr>
              <w:spacing w:after="0"/>
              <w:rPr>
                <w:sz w:val="16"/>
                <w:szCs w:val="16"/>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8820" w:type="dxa"/>
            <w:vAlign w:val="bottom"/>
          </w:tcPr>
          <w:p>
            <w:pPr>
              <w:spacing w:after="0"/>
              <w:rPr>
                <w:sz w:val="17"/>
                <w:szCs w:val="17"/>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3"/>
        </w:trPr>
        <w:tc>
          <w:tcPr>
            <w:tcW w:w="8820" w:type="dxa"/>
            <w:vAlign w:val="bottom"/>
            <w:tcBorders>
              <w:bottom w:val="single" w:sz="8" w:color="D5EEEE"/>
            </w:tcBorders>
          </w:tcPr>
          <w:p>
            <w:pPr>
              <w:spacing w:after="0"/>
              <w:rPr>
                <w:sz w:val="16"/>
                <w:szCs w:val="16"/>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Income tax benefit at the statutory rate</w:t>
            </w: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44"/>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Orphan Drug Credit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Permanent differences</w:t>
            </w:r>
          </w:p>
        </w:tc>
        <w:tc>
          <w:tcPr>
            <w:tcW w:w="198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44"/>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8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Foreign rate differential</w:t>
            </w:r>
          </w:p>
        </w:tc>
        <w:tc>
          <w:tcPr>
            <w:tcW w:w="1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22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(18.8)</w:t>
            </w:r>
          </w:p>
        </w:tc>
        <w:tc>
          <w:tcPr>
            <w:tcW w:w="0" w:type="dxa"/>
            <w:vAlign w:val="bottom"/>
          </w:tcPr>
          <w:p>
            <w:pPr>
              <w:spacing w:after="0"/>
              <w:rPr>
                <w:sz w:val="1"/>
                <w:szCs w:val="1"/>
                <w:color w:val="auto"/>
              </w:rPr>
            </w:pPr>
          </w:p>
        </w:tc>
      </w:tr>
      <w:tr>
        <w:trPr>
          <w:trHeight w:val="20"/>
        </w:trPr>
        <w:tc>
          <w:tcPr>
            <w:tcW w:w="882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w:t>
            </w:r>
          </w:p>
        </w:tc>
        <w:tc>
          <w:tcPr>
            <w:tcW w:w="1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820" w:type="dxa"/>
            <w:vAlign w:val="bottom"/>
            <w:vMerge w:val="continue"/>
            <w:shd w:val="clear" w:color="auto" w:fill="D5EEEE"/>
          </w:tcPr>
          <w:p>
            <w:pPr>
              <w:spacing w:after="0"/>
              <w:rPr>
                <w:sz w:val="22"/>
                <w:szCs w:val="22"/>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8820" w:type="dxa"/>
            <w:vAlign w:val="bottom"/>
            <w:tcBorders>
              <w:top w:val="single" w:sz="8" w:color="D5EEEE"/>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5595620</wp:posOffset>
                </wp:positionH>
                <wp:positionV relativeFrom="paragraph">
                  <wp:posOffset>-1122045</wp:posOffset>
                </wp:positionV>
                <wp:extent cx="1125855" cy="15494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25855" cy="154940"/>
                        </a:xfrm>
                        <a:prstGeom prst="rect">
                          <a:avLst/>
                        </a:prstGeom>
                        <a:solidFill>
                          <a:srgbClr val="D5EEEE"/>
                        </a:solidFill>
                      </wps:spPr>
                      <wps:bodyPr/>
                    </wps:wsp>
                  </a:graphicData>
                </a:graphic>
              </wp:anchor>
            </w:drawing>
          </mc:Choice>
          <mc:Fallback>
            <w:pict>
              <v:rect id="Shape 43" o:spid="_x0000_s1068" style="position:absolute;margin-left:440.6pt;margin-top:-88.3499pt;width:88.6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5595620</wp:posOffset>
                </wp:positionH>
                <wp:positionV relativeFrom="paragraph">
                  <wp:posOffset>-182880</wp:posOffset>
                </wp:positionV>
                <wp:extent cx="1125855" cy="15494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25855" cy="154940"/>
                        </a:xfrm>
                        <a:prstGeom prst="rect">
                          <a:avLst/>
                        </a:prstGeom>
                        <a:solidFill>
                          <a:srgbClr val="D5EEEE"/>
                        </a:solidFill>
                      </wps:spPr>
                      <wps:bodyPr/>
                    </wps:wsp>
                  </a:graphicData>
                </a:graphic>
              </wp:anchor>
            </w:drawing>
          </mc:Choice>
          <mc:Fallback>
            <w:pict>
              <v:rect id="Shape 44" o:spid="_x0000_s1069" style="position:absolute;margin-left:440.6pt;margin-top:-14.3999pt;width:88.6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line="20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The Company had income tax expense of approximately $50,000 and $ 41,000 for the year ended December 31, 2025 and 2024, respectively. The Company has incurred net operating losses for all the periods presented. The Company has not reflected the benefit of any such net operating loss carryforwards in the accompanying financial statements. In 2019, the domicile of the reporting entity has changed from Denmark to the United States resulting in a tax rate of 21% in 2025 and 2024. This is discussed further below.</w:t>
      </w:r>
    </w:p>
    <w:p>
      <w:pPr>
        <w:sectPr>
          <w:pgSz w:w="12960" w:h="17280" w:orient="portrait"/>
          <w:cols w:equalWidth="0" w:num="1">
            <w:col w:w="10800"/>
          </w:cols>
          <w:pgMar w:left="1080" w:top="1440" w:right="108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960" w:h="17280" w:orient="portrait"/>
          <w:cols w:equalWidth="0" w:num="1">
            <w:col w:w="10800"/>
          </w:cols>
          <w:pgMar w:left="1080" w:top="1440" w:right="1080" w:bottom="906" w:gutter="0" w:footer="0" w:header="0"/>
          <w:type w:val="continuous"/>
        </w:sectPr>
      </w:pPr>
    </w:p>
    <w:bookmarkStart w:id="123" w:name="page124"/>
    <w:bookmarkEnd w:id="123"/>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net loss are as follows (in thousands):</w:t>
      </w:r>
    </w:p>
    <w:p>
      <w:pPr>
        <w:spacing w:after="0" w:line="254"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3"/>
        </w:trPr>
        <w:tc>
          <w:tcPr>
            <w:tcW w:w="5080" w:type="dxa"/>
            <w:vAlign w:val="bottom"/>
            <w:tcBorders>
              <w:bottom w:val="single" w:sz="8" w:color="D5EEEE"/>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bottom w:val="single" w:sz="8" w:color="D5EEEE"/>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5EEEE"/>
            </w:tcBorders>
          </w:tcPr>
          <w:p>
            <w:pPr>
              <w:spacing w:after="0"/>
              <w:rPr>
                <w:sz w:val="16"/>
                <w:szCs w:val="16"/>
                <w:color w:val="auto"/>
              </w:rPr>
            </w:pPr>
          </w:p>
        </w:tc>
      </w:tr>
      <w:tr>
        <w:trPr>
          <w:trHeight w:val="239"/>
        </w:trPr>
        <w:tc>
          <w:tcPr>
            <w:tcW w:w="50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Domestic</w:t>
            </w:r>
          </w:p>
        </w:tc>
        <w:tc>
          <w:tcPr>
            <w:tcW w:w="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(205,929</w:t>
            </w:r>
          </w:p>
        </w:tc>
        <w:tc>
          <w:tcPr>
            <w:tcW w:w="20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(11,386)</w:t>
            </w:r>
          </w:p>
        </w:tc>
        <w:tc>
          <w:tcPr>
            <w:tcW w:w="80" w:type="dxa"/>
            <w:vAlign w:val="bottom"/>
            <w:shd w:val="clear" w:color="auto" w:fill="D5EEEE"/>
          </w:tcPr>
          <w:p>
            <w:pPr>
              <w:spacing w:after="0"/>
              <w:rPr>
                <w:sz w:val="20"/>
                <w:szCs w:val="20"/>
                <w:color w:val="auto"/>
              </w:rPr>
            </w:pPr>
          </w:p>
        </w:tc>
      </w:tr>
      <w:tr>
        <w:trPr>
          <w:trHeight w:val="244"/>
        </w:trPr>
        <w:tc>
          <w:tcPr>
            <w:tcW w:w="508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Foreign</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(3,910)</w:t>
            </w:r>
          </w:p>
        </w:tc>
        <w:tc>
          <w:tcPr>
            <w:tcW w:w="200" w:type="dxa"/>
            <w:vAlign w:val="bottom"/>
            <w:tcBorders>
              <w:bottom w:val="single" w:sz="8" w:color="D5EEEE"/>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(10,053)</w:t>
            </w:r>
          </w:p>
        </w:tc>
        <w:tc>
          <w:tcPr>
            <w:tcW w:w="80" w:type="dxa"/>
            <w:vAlign w:val="bottom"/>
            <w:tcBorders>
              <w:bottom w:val="single" w:sz="8" w:color="D5EEEE"/>
            </w:tcBorders>
          </w:tcPr>
          <w:p>
            <w:pPr>
              <w:spacing w:after="0"/>
              <w:rPr>
                <w:sz w:val="21"/>
                <w:szCs w:val="21"/>
                <w:color w:val="auto"/>
              </w:rPr>
            </w:pPr>
          </w:p>
        </w:tc>
      </w:tr>
      <w:tr>
        <w:trPr>
          <w:trHeight w:val="239"/>
        </w:trPr>
        <w:tc>
          <w:tcPr>
            <w:tcW w:w="50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(209,839</w:t>
            </w:r>
          </w:p>
        </w:tc>
        <w:tc>
          <w:tcPr>
            <w:tcW w:w="20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(21,439)</w:t>
            </w:r>
          </w:p>
        </w:tc>
        <w:tc>
          <w:tcPr>
            <w:tcW w:w="80" w:type="dxa"/>
            <w:vAlign w:val="bottom"/>
            <w:shd w:val="clear" w:color="auto" w:fill="D5EEEE"/>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taxes</w:t>
      </w:r>
    </w:p>
    <w:p>
      <w:pPr>
        <w:spacing w:after="0" w:line="2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Deferred income taxes reflect the net effects of temporary differences between the carrying amounts of assets and liabilities for financial reporting purposes and the amounts used for income tax purposes. The principal components of the Company’s deferred tax assets and liabilities consisted of the following (in thousands):</w:t>
      </w:r>
    </w:p>
    <w:p>
      <w:pPr>
        <w:spacing w:after="0" w:line="239"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5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80" w:type="dxa"/>
            <w:vAlign w:val="bottom"/>
            <w:tcBorders>
              <w:bottom w:val="single" w:sz="8" w:color="D5EEEE"/>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D5EEEE"/>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80" w:type="dxa"/>
            <w:vAlign w:val="bottom"/>
            <w:shd w:val="clear" w:color="auto" w:fill="D5EEEE"/>
          </w:tcPr>
          <w:p>
            <w:pPr>
              <w:ind w:left="26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24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63,200</w:t>
            </w:r>
          </w:p>
        </w:tc>
        <w:tc>
          <w:tcPr>
            <w:tcW w:w="12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36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55,193</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0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Orphan Drug Credit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80" w:type="dxa"/>
            <w:vAlign w:val="bottom"/>
            <w:shd w:val="clear" w:color="auto" w:fill="D5EEEE"/>
          </w:tcPr>
          <w:p>
            <w:pPr>
              <w:ind w:left="260"/>
              <w:spacing w:after="0"/>
              <w:rPr>
                <w:sz w:val="20"/>
                <w:szCs w:val="20"/>
                <w:color w:val="auto"/>
              </w:rPr>
            </w:pPr>
            <w:r>
              <w:rPr>
                <w:rFonts w:ascii="Times New Roman" w:cs="Times New Roman" w:eastAsia="Times New Roman" w:hAnsi="Times New Roman"/>
                <w:sz w:val="20"/>
                <w:szCs w:val="20"/>
                <w:color w:val="auto"/>
              </w:rPr>
              <w:t>U.S. research and development credits</w:t>
            </w:r>
          </w:p>
        </w:tc>
        <w:tc>
          <w:tcPr>
            <w:tcW w:w="240" w:type="dxa"/>
            <w:vAlign w:val="bottom"/>
            <w:shd w:val="clear" w:color="auto" w:fill="D5EEEE"/>
          </w:tcPr>
          <w:p>
            <w:pPr>
              <w:spacing w:after="0"/>
              <w:rPr>
                <w:sz w:val="21"/>
                <w:szCs w:val="21"/>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1,191</w:t>
            </w:r>
          </w:p>
        </w:tc>
        <w:tc>
          <w:tcPr>
            <w:tcW w:w="1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1,191</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Stock-based compensation</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80" w:type="dxa"/>
            <w:vAlign w:val="bottom"/>
            <w:shd w:val="clear" w:color="auto" w:fill="D5EEEE"/>
          </w:tcPr>
          <w:p>
            <w:pPr>
              <w:ind w:left="260"/>
              <w:spacing w:after="0"/>
              <w:rPr>
                <w:sz w:val="20"/>
                <w:szCs w:val="20"/>
                <w:color w:val="auto"/>
              </w:rPr>
            </w:pPr>
            <w:r>
              <w:rPr>
                <w:rFonts w:ascii="Times New Roman" w:cs="Times New Roman" w:eastAsia="Times New Roman" w:hAnsi="Times New Roman"/>
                <w:sz w:val="20"/>
                <w:szCs w:val="20"/>
                <w:color w:val="auto"/>
              </w:rPr>
              <w:t>Section 174 R&amp;D costs</w:t>
            </w:r>
          </w:p>
        </w:tc>
        <w:tc>
          <w:tcPr>
            <w:tcW w:w="240" w:type="dxa"/>
            <w:vAlign w:val="bottom"/>
            <w:shd w:val="clear" w:color="auto" w:fill="D5EEEE"/>
          </w:tcPr>
          <w:p>
            <w:pPr>
              <w:spacing w:after="0"/>
              <w:rPr>
                <w:sz w:val="21"/>
                <w:szCs w:val="21"/>
                <w:color w:val="auto"/>
              </w:rPr>
            </w:pPr>
          </w:p>
        </w:tc>
        <w:tc>
          <w:tcPr>
            <w:tcW w:w="98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Amortization</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80" w:type="dxa"/>
            <w:vAlign w:val="bottom"/>
            <w:shd w:val="clear" w:color="auto" w:fill="D5EEEE"/>
          </w:tcPr>
          <w:p>
            <w:pPr>
              <w:ind w:left="260"/>
              <w:spacing w:after="0"/>
              <w:rPr>
                <w:sz w:val="20"/>
                <w:szCs w:val="20"/>
                <w:color w:val="auto"/>
              </w:rPr>
            </w:pPr>
            <w:r>
              <w:rPr>
                <w:rFonts w:ascii="Times New Roman" w:cs="Times New Roman" w:eastAsia="Times New Roman" w:hAnsi="Times New Roman"/>
                <w:sz w:val="20"/>
                <w:szCs w:val="20"/>
                <w:color w:val="auto"/>
              </w:rPr>
              <w:t>Fixed assets</w:t>
            </w:r>
          </w:p>
        </w:tc>
        <w:tc>
          <w:tcPr>
            <w:tcW w:w="240" w:type="dxa"/>
            <w:vAlign w:val="bottom"/>
            <w:shd w:val="clear" w:color="auto" w:fill="D5EEEE"/>
          </w:tcPr>
          <w:p>
            <w:pPr>
              <w:spacing w:after="0"/>
              <w:rPr>
                <w:sz w:val="21"/>
                <w:szCs w:val="21"/>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D5EEEE"/>
            </w:tcBorders>
          </w:tcPr>
          <w:p>
            <w:pPr>
              <w:ind w:left="260"/>
              <w:spacing w:after="0"/>
              <w:rPr>
                <w:sz w:val="20"/>
                <w:szCs w:val="20"/>
                <w:color w:val="auto"/>
              </w:rPr>
            </w:pPr>
            <w:r>
              <w:rPr>
                <w:rFonts w:ascii="Times New Roman" w:cs="Times New Roman" w:eastAsia="Times New Roman" w:hAnsi="Times New Roman"/>
                <w:sz w:val="20"/>
                <w:szCs w:val="20"/>
                <w:color w:val="auto"/>
              </w:rPr>
              <w:t>Accruals</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1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24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75,428</w:t>
            </w:r>
          </w:p>
        </w:tc>
        <w:tc>
          <w:tcPr>
            <w:tcW w:w="12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360" w:type="dxa"/>
            <w:vAlign w:val="bottom"/>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67,226</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(75,428)</w:t>
            </w:r>
          </w:p>
        </w:tc>
        <w:tc>
          <w:tcPr>
            <w:tcW w:w="1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(67,226)</w:t>
            </w: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08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24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5EEEE"/>
            </w:tcBorders>
            <w:shd w:val="clear" w:color="auto" w:fill="D5EEEE"/>
          </w:tcPr>
          <w:p>
            <w:pPr>
              <w:spacing w:after="0"/>
              <w:rPr>
                <w:sz w:val="22"/>
                <w:szCs w:val="22"/>
                <w:color w:val="auto"/>
              </w:rPr>
            </w:pPr>
          </w:p>
        </w:tc>
        <w:tc>
          <w:tcPr>
            <w:tcW w:w="80" w:type="dxa"/>
            <w:vAlign w:val="bottom"/>
            <w:tcBorders>
              <w:bottom w:val="single" w:sz="8" w:color="D5EEEE"/>
            </w:tcBorders>
            <w:shd w:val="clear" w:color="auto" w:fill="D5EEEE"/>
          </w:tcPr>
          <w:p>
            <w:pPr>
              <w:spacing w:after="0"/>
              <w:rPr>
                <w:sz w:val="22"/>
                <w:szCs w:val="22"/>
                <w:color w:val="auto"/>
              </w:rPr>
            </w:pPr>
          </w:p>
        </w:tc>
        <w:tc>
          <w:tcPr>
            <w:tcW w:w="360" w:type="dxa"/>
            <w:vAlign w:val="bottom"/>
            <w:tcBorders>
              <w:bottom w:val="single" w:sz="8" w:color="auto"/>
            </w:tcBorders>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assessing the realizability of deferred tax assets, management considers whether it is more-likely-than-not that some portion or all of the deferred tax assets will not be realized. The Company regularly assesses the likelihood that the deferred tax assets will be recovered from future taxable income. The Company considers projected future taxable income and ongoing tax planning strategies, then records a valuation allowance to reduce the carrying value of the net deferred taxes to an amount that is more-likely-than-not able to be realized. Based upon the Company’s assessment of all available evidence, including the previous three years of taxable income and loss after permanent items, estimates of future profitability, the Company’s overall prospects of future business and pursuant to the pursuit of strategic alternatives, the Company determined that it is more-likely-than-not that the Company will not be able to realize a portion of the deferred tax assets in the future. The Company will continue to assess the potential realization of deferred tax assets on an annual basis, or an interim basis if circumstances warrant. If the Company’s actual results and updated projections vary significantly from the projections used as a basis for this determination, the Company may need to change the valuation allowance against the gross deferred tax assets. On the basis of this evaluation, a full valuation allowance at December 31, 2025 and December 31, 2024 was recorded of $75.4 million and $67.2 million, respectively, to reduce the net deferred tax assets to their estimated realizable value. The change in valuation allowance was $8.2 million.</w:t>
      </w:r>
    </w:p>
    <w:p>
      <w:pPr>
        <w:spacing w:after="0" w:line="20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The Company is subject to taxation in the United States, United Kingdom and Denmark. As of December 31, 2025, tax years 2019 and forward were generally open to examination by the United States and foreign tax authorities. There Company is not under examination by any taxing authorities.</w:t>
      </w:r>
    </w:p>
    <w:p>
      <w:pPr>
        <w:spacing w:after="0" w:line="18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As of December 31, 2025, the Company had gross U.S. federal net operating losses (“NOLs”) of $65.6 million and federal research and development credits (“R&amp;D credits”) of $1.2 million and Orphan Drug Credit (“ODC”) of $ 9.0 million to offset tax liabilities. The federal R&amp;D credit and ODC carryforwards begin to expire in 2033 and 2042, respectively. All of the federal NOLs have an infinite life. The Company also had gross state NOLs of $57.0 million, which are available to offset state tax liabilities. The state NOLs begin to expire in 2040. The Company also had NOLs in Denmark of $208.2 million which have an indefinite life. Federal and state NOLs and R&amp;D credit and ODC carryforwards are also subject to annual limitations in the event that cumulative changes in the ownership interests of significant stockholders exceed 50% over a three-year period, as defined under Sections 382 and 383 of the Internal Revenue Code of 1986 (the “Code”). The Company has not completed an analysis to determine if the NOLs and R&amp;D credits are limited due to a change in ownership.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July 4, 2025, the One Big Beautiful Bill Act (“OBBBA”) was enacted, reinstating full expensing of domestic R&amp;D expenditures</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F-27</w:t>
      </w:r>
    </w:p>
    <w:p>
      <w:pPr>
        <w:sectPr>
          <w:pgSz w:w="12960" w:h="17280" w:orient="portrait"/>
          <w:cols w:equalWidth="0" w:num="1">
            <w:col w:w="10760"/>
          </w:cols>
          <w:pgMar w:left="1080" w:top="1440" w:right="1120" w:bottom="895" w:gutter="0" w:footer="0" w:header="0"/>
        </w:sectPr>
      </w:pPr>
    </w:p>
    <w:bookmarkStart w:id="124" w:name="page125"/>
    <w:bookmarkEnd w:id="124"/>
    <w:p>
      <w:pPr>
        <w:spacing w:after="0" w:line="211"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under new Internal Revenue Code Section 174A, effective for tax years beginning after December 31, 2024. The legislation also provides taxpayers with the option to accelerate deductions for unamortized domestic R&amp;D costs incurred during the 2022 to 2024 period. The Company intends to elect full expensing of 2025 costs and acceleration of prior-year unamortized costs in its 2025 tax return. As a result, the Company recorded a $0.03 million reduction in deferred tax liabilities in the year ended December 31, 2025. Final elections will be made with the 2025 tax return filing.</w:t>
      </w:r>
    </w:p>
    <w:p>
      <w:pPr>
        <w:spacing w:after="0" w:line="19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The Company recognizes accrued interest related to unrecognized tax benefits and penalties as income tax expense. The Company does not have any material unrecognized tax benefits which would affect the effective tax rate if recognized. The Company does not have any unrecognized tax benefits which would reverse within the next twelve months.</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The Company is eligible for the Danish enhanced research and development tax allowance, providing for an increase in the deductible value of the amount of certain R&amp;D expenditures. The deduction for R&amp;D expenditures is set at 101.5% for 2019, 130% for 2020 through 2022, 108% for 2023 through 2025 and 114% for 2026.</w:t>
      </w:r>
    </w:p>
    <w:p>
      <w:pPr>
        <w:spacing w:after="0" w:line="18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Company has qualified for the R&amp;D Expenditure Credit (“RDEC”) in United Kingdom for preclinical laboratory and in-patient clinical trials. The RDEC net tax benefit is reported as a reduction to research and development expense in the consolidated statements of operations. For the year ended December 31, 2024, the Company recorded an overall reduction for the RDEC, net of the UK corporation tax rate of $0.06 million. The amount recorded as of December 31, 2024 includes relief for the tax years December 31, 2021 through December 31, 2024. The Company recorded no RDEC amount for the year ending December 31,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RESTRUCTURING ACTIVITIES</w:t>
      </w:r>
    </w:p>
    <w:p>
      <w:pPr>
        <w:spacing w:after="0" w:line="24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In May 2024, the Company’s board of directors approved a reduction of eight employees in an effort to conserve cash resources (the “May RIF”).</w:t>
      </w:r>
    </w:p>
    <w:p>
      <w:pPr>
        <w:spacing w:after="0" w:line="16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Employees affected by the May RIF obtained involuntary termination benefits pursuant to a one-time benefit arrangement. For employees who have no requirements to provide future service, the Company recognized the liability for the termination benefits in full at fair value at the time of termination. For employees who are required to render services beyond a minimum retention period to receive their one-time termination benefits, the Company recognized the termination benefits ratably over their future service periods. For the May RIF, the Company recorded employee termination benefit charges during the year ended December 31, 2024 of $1.0 million and has included such charges as operating expenses in the Consolidated Statements of Operations and Comprehensive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Restructuring costs pertaining to the Restructuring Plan consist of the following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1180" w:type="dxa"/>
        <w:tblCellMar>
          <w:top w:w="0" w:type="dxa"/>
          <w:left w:w="0" w:type="dxa"/>
          <w:bottom w:w="0" w:type="dxa"/>
          <w:right w:w="0" w:type="dxa"/>
        </w:tblCellMar>
      </w:tblPr>
      <w:tr>
        <w:trPr>
          <w:trHeight w:val="244"/>
        </w:trPr>
        <w:tc>
          <w:tcPr>
            <w:tcW w:w="68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520" w:type="dxa"/>
            <w:vAlign w:val="bottom"/>
            <w:shd w:val="clear" w:color="auto" w:fill="D5EEEE"/>
          </w:tcPr>
          <w:p>
            <w:pPr>
              <w:jc w:val="right"/>
              <w:ind w:right="32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1,734</w:t>
            </w:r>
          </w:p>
        </w:tc>
        <w:tc>
          <w:tcPr>
            <w:tcW w:w="100" w:type="dxa"/>
            <w:vAlign w:val="bottom"/>
            <w:shd w:val="clear" w:color="auto" w:fill="D5EEEE"/>
          </w:tcPr>
          <w:p>
            <w:pPr>
              <w:spacing w:after="0"/>
              <w:rPr>
                <w:sz w:val="21"/>
                <w:szCs w:val="21"/>
                <w:color w:val="auto"/>
              </w:rPr>
            </w:pPr>
          </w:p>
        </w:tc>
      </w:tr>
      <w:tr>
        <w:trPr>
          <w:trHeight w:val="244"/>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expenses incurred</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w:t>
            </w:r>
          </w:p>
        </w:tc>
        <w:tc>
          <w:tcPr>
            <w:tcW w:w="100" w:type="dxa"/>
            <w:vAlign w:val="bottom"/>
          </w:tcPr>
          <w:p>
            <w:pPr>
              <w:spacing w:after="0"/>
              <w:rPr>
                <w:sz w:val="21"/>
                <w:szCs w:val="21"/>
                <w:color w:val="auto"/>
              </w:rPr>
            </w:pPr>
          </w:p>
        </w:tc>
      </w:tr>
      <w:tr>
        <w:trPr>
          <w:trHeight w:val="244"/>
        </w:trPr>
        <w:tc>
          <w:tcPr>
            <w:tcW w:w="68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Payments</w:t>
            </w:r>
          </w:p>
        </w:tc>
        <w:tc>
          <w:tcPr>
            <w:tcW w:w="520" w:type="dxa"/>
            <w:vAlign w:val="bottom"/>
            <w:shd w:val="clear" w:color="auto" w:fill="D5EEEE"/>
          </w:tcPr>
          <w:p>
            <w:pPr>
              <w:spacing w:after="0"/>
              <w:rPr>
                <w:sz w:val="21"/>
                <w:szCs w:val="21"/>
                <w:color w:val="auto"/>
              </w:rPr>
            </w:pPr>
          </w:p>
        </w:tc>
        <w:tc>
          <w:tcPr>
            <w:tcW w:w="104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(2,702)</w:t>
            </w: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5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September 2023, the board of directors approved arrangements designed to provide that the Company will have the continued dedication and commitment of its remaining employees, including executives, determined to be key to the Company’s planned go-forward operations. The board of directors approved, and management implemented, a retention program for employees remaining with the Company which includes cash retention bonuses totaling $ 1.2 million for certain retained employees, provided that they remain within the Company through various requisite service periods. As a result, these cash retention bonuses were accrued over the requisite service period. The Company’s arrangement with its then Chief Executive Officer specified that he was only entitled to a cash bonus upon the timely achievement of certain corporate and strategic milestones for the Company, which were not achieved by December 31, 2024.</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October 2024, the board of directors approved arrangements designed to provide that the Company will have the continued dedication and commitment of its remaining employees, including executives, determined to be key to the Company’s planned go-forward operations. The board of directors approved, and management implemented, a retention program for employees remaining with the Company which includes cash retention bonuses totaling $ 0.6 million for certain retained employees, provided that they remain within the Company through various requisite service periods. As a result, these cash retention bonuses were accrued over the requisite service period. During the year ended December 31, 2024, the Company’s retention accrual was $0.1 million.</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November 2025, the board of directors approved a retention program for employees remaining with the Company which includes cash retention bonuses totaling $0.8 million for certain retained employees, provided that they remain within the Company through</w:t>
      </w:r>
    </w:p>
    <w:p>
      <w:pPr>
        <w:sectPr>
          <w:pgSz w:w="12960" w:h="17280" w:orient="portrait"/>
          <w:cols w:equalWidth="0" w:num="1">
            <w:col w:w="10800"/>
          </w:cols>
          <w:pgMar w:left="1080" w:top="1440" w:right="1080" w:bottom="906" w:gutter="0" w:footer="0" w:header="0"/>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960" w:h="17280" w:orient="portrait"/>
          <w:cols w:equalWidth="0" w:num="1">
            <w:col w:w="10800"/>
          </w:cols>
          <w:pgMar w:left="1080" w:top="1440" w:right="1080" w:bottom="906" w:gutter="0" w:footer="0" w:header="0"/>
          <w:type w:val="continuous"/>
        </w:sectPr>
      </w:pPr>
    </w:p>
    <w:bookmarkStart w:id="125" w:name="page126"/>
    <w:bookmarkEnd w:id="125"/>
    <w:p>
      <w:pPr>
        <w:spacing w:after="0" w:line="21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various requisite service periods. As a result, these cash retention bonuses were accrued over the requisite service period. During the year ended December 31, 2025, the Company’s retention accrual was $0.3 million.</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NET LOSS PER SHARE</w:t>
      </w:r>
    </w:p>
    <w:p>
      <w:pPr>
        <w:spacing w:after="0" w:line="24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Basic and diluted net loss per share of common stock, Series B Preferred Stock and Series C Preferred Stock is calculated as follows (in thousands except share and per share amounts):</w:t>
      </w:r>
    </w:p>
    <w:p>
      <w:pPr>
        <w:spacing w:after="0" w:line="183" w:lineRule="exact"/>
        <w:rPr>
          <w:sz w:val="20"/>
          <w:szCs w:val="20"/>
          <w:color w:val="auto"/>
        </w:rPr>
      </w:pPr>
    </w:p>
    <w:tbl>
      <w:tblPr>
        <w:tblLayout w:type="fixed"/>
        <w:tblInd w:w="1300" w:type="dxa"/>
        <w:tblCellMar>
          <w:top w:w="0" w:type="dxa"/>
          <w:left w:w="0" w:type="dxa"/>
          <w:bottom w:w="0" w:type="dxa"/>
          <w:right w:w="0" w:type="dxa"/>
        </w:tblCellMar>
      </w:tblPr>
      <w:tr>
        <w:trPr>
          <w:trHeight w:val="213"/>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gridSpan w:val="9"/>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285"/>
              <w:spacing w:after="0"/>
              <w:rPr>
                <w:sz w:val="20"/>
                <w:szCs w:val="20"/>
                <w:color w:val="auto"/>
              </w:rPr>
            </w:pPr>
            <w:r>
              <w:rPr>
                <w:rFonts w:ascii="Times New Roman" w:cs="Times New Roman" w:eastAsia="Times New Roman" w:hAnsi="Times New Roman"/>
                <w:sz w:val="16"/>
                <w:szCs w:val="16"/>
                <w:b w:val="1"/>
                <w:bCs w:val="1"/>
                <w:color w:val="auto"/>
                <w:w w:val="97"/>
              </w:rPr>
              <w:t>Series B</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Series C</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1380" w:type="dxa"/>
            <w:vAlign w:val="bottom"/>
            <w:gridSpan w:val="3"/>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0" w:type="dxa"/>
            <w:vAlign w:val="bottom"/>
          </w:tcPr>
          <w:p>
            <w:pPr>
              <w:spacing w:after="0"/>
              <w:rPr>
                <w:sz w:val="1"/>
                <w:szCs w:val="1"/>
                <w:color w:val="auto"/>
              </w:rPr>
            </w:pPr>
          </w:p>
        </w:tc>
      </w:tr>
      <w:tr>
        <w:trPr>
          <w:trHeight w:val="239"/>
        </w:trPr>
        <w:tc>
          <w:tcPr>
            <w:tcW w:w="4000" w:type="dxa"/>
            <w:vAlign w:val="bottom"/>
            <w:vMerge w:val="continue"/>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D5EEEE"/>
          </w:tcPr>
          <w:p>
            <w:pPr>
              <w:ind w:left="140"/>
              <w:spacing w:after="0"/>
              <w:rPr>
                <w:sz w:val="20"/>
                <w:szCs w:val="20"/>
                <w:color w:val="auto"/>
              </w:rPr>
            </w:pPr>
            <w:r>
              <w:rPr>
                <w:rFonts w:ascii="Times New Roman" w:cs="Times New Roman" w:eastAsia="Times New Roman" w:hAnsi="Times New Roman"/>
                <w:sz w:val="20"/>
                <w:szCs w:val="20"/>
                <w:color w:val="auto"/>
              </w:rPr>
              <w:t>Numerator</w:t>
            </w:r>
          </w:p>
        </w:tc>
        <w:tc>
          <w:tcPr>
            <w:tcW w:w="220" w:type="dxa"/>
            <w:vAlign w:val="bottom"/>
            <w:shd w:val="clear" w:color="auto" w:fill="D5EEEE"/>
          </w:tcPr>
          <w:p>
            <w:pPr>
              <w:spacing w:after="0"/>
              <w:rPr>
                <w:sz w:val="21"/>
                <w:szCs w:val="21"/>
                <w:color w:val="auto"/>
              </w:rPr>
            </w:pPr>
          </w:p>
        </w:tc>
        <w:tc>
          <w:tcPr>
            <w:tcW w:w="100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940" w:type="dxa"/>
            <w:vAlign w:val="bottom"/>
            <w:shd w:val="clear" w:color="auto" w:fill="D5EEEE"/>
          </w:tcPr>
          <w:p>
            <w:pPr>
              <w:spacing w:after="0"/>
              <w:rPr>
                <w:sz w:val="21"/>
                <w:szCs w:val="21"/>
                <w:color w:val="auto"/>
              </w:rPr>
            </w:pPr>
          </w:p>
        </w:tc>
        <w:tc>
          <w:tcPr>
            <w:tcW w:w="22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18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Allocation of losses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(55,529)</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9"/>
                <w:szCs w:val="19"/>
                <w:color w:val="auto"/>
              </w:rPr>
              <w:t>(148,890)</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(5,420)</w:t>
            </w:r>
          </w:p>
        </w:tc>
        <w:tc>
          <w:tcPr>
            <w:tcW w:w="0" w:type="dxa"/>
            <w:vAlign w:val="bottom"/>
          </w:tcPr>
          <w:p>
            <w:pPr>
              <w:spacing w:after="0"/>
              <w:rPr>
                <w:sz w:val="1"/>
                <w:szCs w:val="1"/>
                <w:color w:val="auto"/>
              </w:rPr>
            </w:pPr>
          </w:p>
        </w:tc>
      </w:tr>
      <w:tr>
        <w:trPr>
          <w:trHeight w:val="229"/>
        </w:trPr>
        <w:tc>
          <w:tcPr>
            <w:tcW w:w="4000" w:type="dxa"/>
            <w:vAlign w:val="bottom"/>
            <w:tcBorders>
              <w:top w:val="single" w:sz="8" w:color="D5EEEE"/>
            </w:tcBorders>
            <w:shd w:val="clear" w:color="auto" w:fill="D5EEEE"/>
          </w:tcPr>
          <w:p>
            <w:pPr>
              <w:ind w:left="140"/>
              <w:spacing w:after="0"/>
              <w:rPr>
                <w:sz w:val="20"/>
                <w:szCs w:val="20"/>
                <w:color w:val="auto"/>
              </w:rPr>
            </w:pPr>
            <w:r>
              <w:rPr>
                <w:rFonts w:ascii="Times New Roman" w:cs="Times New Roman" w:eastAsia="Times New Roman" w:hAnsi="Times New Roman"/>
                <w:sz w:val="20"/>
                <w:szCs w:val="20"/>
                <w:color w:val="auto"/>
              </w:rPr>
              <w:t>Denominator</w:t>
            </w:r>
          </w:p>
        </w:tc>
        <w:tc>
          <w:tcPr>
            <w:tcW w:w="220" w:type="dxa"/>
            <w:vAlign w:val="bottom"/>
            <w:tcBorders>
              <w:top w:val="single" w:sz="8" w:color="auto"/>
            </w:tcBorders>
            <w:shd w:val="clear" w:color="auto" w:fill="D5EEEE"/>
          </w:tcPr>
          <w:p>
            <w:pPr>
              <w:spacing w:after="0"/>
              <w:rPr>
                <w:sz w:val="19"/>
                <w:szCs w:val="19"/>
                <w:color w:val="auto"/>
              </w:rPr>
            </w:pPr>
          </w:p>
        </w:tc>
        <w:tc>
          <w:tcPr>
            <w:tcW w:w="1000" w:type="dxa"/>
            <w:vAlign w:val="bottom"/>
            <w:tcBorders>
              <w:top w:val="single" w:sz="8" w:color="auto"/>
            </w:tcBorders>
            <w:shd w:val="clear" w:color="auto" w:fill="D5EEEE"/>
          </w:tcPr>
          <w:p>
            <w:pPr>
              <w:spacing w:after="0"/>
              <w:rPr>
                <w:sz w:val="19"/>
                <w:szCs w:val="19"/>
                <w:color w:val="auto"/>
              </w:rPr>
            </w:pPr>
          </w:p>
        </w:tc>
        <w:tc>
          <w:tcPr>
            <w:tcW w:w="160" w:type="dxa"/>
            <w:vAlign w:val="bottom"/>
            <w:tcBorders>
              <w:top w:val="single" w:sz="8" w:color="D5EEEE"/>
            </w:tcBorders>
            <w:shd w:val="clear" w:color="auto" w:fill="D5EEEE"/>
          </w:tcPr>
          <w:p>
            <w:pPr>
              <w:spacing w:after="0"/>
              <w:rPr>
                <w:sz w:val="19"/>
                <w:szCs w:val="19"/>
                <w:color w:val="auto"/>
              </w:rPr>
            </w:pPr>
          </w:p>
        </w:tc>
        <w:tc>
          <w:tcPr>
            <w:tcW w:w="80" w:type="dxa"/>
            <w:vAlign w:val="bottom"/>
            <w:tcBorders>
              <w:top w:val="single" w:sz="8" w:color="D5EEEE"/>
            </w:tcBorders>
            <w:shd w:val="clear" w:color="auto" w:fill="D5EEEE"/>
          </w:tcPr>
          <w:p>
            <w:pPr>
              <w:spacing w:after="0"/>
              <w:rPr>
                <w:sz w:val="19"/>
                <w:szCs w:val="19"/>
                <w:color w:val="auto"/>
              </w:rPr>
            </w:pPr>
          </w:p>
        </w:tc>
        <w:tc>
          <w:tcPr>
            <w:tcW w:w="180" w:type="dxa"/>
            <w:vAlign w:val="bottom"/>
            <w:tcBorders>
              <w:top w:val="single" w:sz="8" w:color="auto"/>
            </w:tcBorders>
            <w:shd w:val="clear" w:color="auto" w:fill="D5EEEE"/>
          </w:tcPr>
          <w:p>
            <w:pPr>
              <w:spacing w:after="0"/>
              <w:rPr>
                <w:sz w:val="19"/>
                <w:szCs w:val="19"/>
                <w:color w:val="auto"/>
              </w:rPr>
            </w:pPr>
          </w:p>
        </w:tc>
        <w:tc>
          <w:tcPr>
            <w:tcW w:w="940" w:type="dxa"/>
            <w:vAlign w:val="bottom"/>
            <w:tcBorders>
              <w:top w:val="single" w:sz="8" w:color="auto"/>
            </w:tcBorders>
            <w:shd w:val="clear" w:color="auto" w:fill="D5EEEE"/>
          </w:tcPr>
          <w:p>
            <w:pPr>
              <w:spacing w:after="0"/>
              <w:rPr>
                <w:sz w:val="19"/>
                <w:szCs w:val="19"/>
                <w:color w:val="auto"/>
              </w:rPr>
            </w:pPr>
          </w:p>
        </w:tc>
        <w:tc>
          <w:tcPr>
            <w:tcW w:w="220" w:type="dxa"/>
            <w:vAlign w:val="bottom"/>
            <w:tcBorders>
              <w:top w:val="single" w:sz="8" w:color="D5EEEE"/>
            </w:tcBorders>
            <w:shd w:val="clear" w:color="auto" w:fill="D5EEEE"/>
          </w:tcPr>
          <w:p>
            <w:pPr>
              <w:spacing w:after="0"/>
              <w:rPr>
                <w:sz w:val="19"/>
                <w:szCs w:val="19"/>
                <w:color w:val="auto"/>
              </w:rPr>
            </w:pPr>
          </w:p>
        </w:tc>
        <w:tc>
          <w:tcPr>
            <w:tcW w:w="100" w:type="dxa"/>
            <w:vAlign w:val="bottom"/>
            <w:tcBorders>
              <w:top w:val="single" w:sz="8" w:color="auto"/>
            </w:tcBorders>
            <w:shd w:val="clear" w:color="auto" w:fill="D5EEEE"/>
          </w:tcPr>
          <w:p>
            <w:pPr>
              <w:spacing w:after="0"/>
              <w:rPr>
                <w:sz w:val="19"/>
                <w:szCs w:val="19"/>
                <w:color w:val="auto"/>
              </w:rPr>
            </w:pPr>
          </w:p>
        </w:tc>
        <w:tc>
          <w:tcPr>
            <w:tcW w:w="1180" w:type="dxa"/>
            <w:vAlign w:val="bottom"/>
            <w:tcBorders>
              <w:top w:val="single" w:sz="8" w:color="auto"/>
            </w:tcBorders>
            <w:shd w:val="clear" w:color="auto" w:fill="D5EEEE"/>
          </w:tcPr>
          <w:p>
            <w:pPr>
              <w:spacing w:after="0"/>
              <w:rPr>
                <w:sz w:val="19"/>
                <w:szCs w:val="19"/>
                <w:color w:val="auto"/>
              </w:rPr>
            </w:pPr>
          </w:p>
        </w:tc>
        <w:tc>
          <w:tcPr>
            <w:tcW w:w="120" w:type="dxa"/>
            <w:vAlign w:val="bottom"/>
            <w:tcBorders>
              <w:top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000" w:type="dxa"/>
            <w:vAlign w:val="bottom"/>
            <w:tcBorders>
              <w:bottom w:val="single" w:sz="8" w:color="D5EEEE"/>
            </w:tcBorders>
          </w:tcPr>
          <w:p>
            <w:pPr>
              <w:ind w:left="240"/>
              <w:spacing w:after="0"/>
              <w:rPr>
                <w:sz w:val="20"/>
                <w:szCs w:val="20"/>
                <w:color w:val="auto"/>
              </w:rPr>
            </w:pPr>
            <w:r>
              <w:rPr>
                <w:rFonts w:ascii="Times New Roman" w:cs="Times New Roman" w:eastAsia="Times New Roman" w:hAnsi="Times New Roman"/>
                <w:sz w:val="20"/>
                <w:szCs w:val="20"/>
                <w:color w:val="auto"/>
              </w:rPr>
              <w:t>Weighted-average shares outstanding</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2,332</w:t>
            </w:r>
          </w:p>
        </w:tc>
        <w:tc>
          <w:tcPr>
            <w:tcW w:w="160" w:type="dxa"/>
            <w:vAlign w:val="bottom"/>
            <w:tcBorders>
              <w:bottom w:val="single" w:sz="8" w:color="D5EEEE"/>
            </w:tcBorders>
          </w:tcPr>
          <w:p>
            <w:pPr>
              <w:spacing w:after="0"/>
              <w:rPr>
                <w:sz w:val="24"/>
                <w:szCs w:val="24"/>
                <w:color w:val="auto"/>
              </w:rPr>
            </w:pPr>
          </w:p>
        </w:tc>
        <w:tc>
          <w:tcPr>
            <w:tcW w:w="80" w:type="dxa"/>
            <w:vAlign w:val="bottom"/>
            <w:tcBorders>
              <w:bottom w:val="single" w:sz="8" w:color="D5EEEE"/>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6,252</w:t>
            </w:r>
          </w:p>
        </w:tc>
        <w:tc>
          <w:tcPr>
            <w:tcW w:w="220" w:type="dxa"/>
            <w:vAlign w:val="bottom"/>
            <w:tcBorders>
              <w:bottom w:val="single" w:sz="8" w:color="D5EEEE"/>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1,363,005</w:t>
            </w:r>
          </w:p>
        </w:tc>
        <w:tc>
          <w:tcPr>
            <w:tcW w:w="120" w:type="dxa"/>
            <w:vAlign w:val="bottom"/>
            <w:tcBorders>
              <w:bottom w:val="single" w:sz="8" w:color="D5EEEE"/>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00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220" w:type="dxa"/>
            <w:vAlign w:val="bottom"/>
            <w:tcBorders>
              <w:bottom w:val="single" w:sz="8" w:color="auto"/>
            </w:tcBorders>
            <w:shd w:val="clear" w:color="auto" w:fill="D5EEEE"/>
          </w:tcPr>
          <w:p>
            <w:pPr>
              <w:jc w:val="right"/>
              <w:ind w:right="30"/>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(23,816.00</w:t>
            </w:r>
          </w:p>
        </w:tc>
        <w:tc>
          <w:tcPr>
            <w:tcW w:w="16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94"/>
              </w:rPr>
              <w:t>)</w:t>
            </w:r>
          </w:p>
        </w:tc>
        <w:tc>
          <w:tcPr>
            <w:tcW w:w="80" w:type="dxa"/>
            <w:vAlign w:val="bottom"/>
            <w:tcBorders>
              <w:bottom w:val="single" w:sz="8" w:color="D5EEEE"/>
            </w:tcBorders>
            <w:shd w:val="clear" w:color="auto" w:fill="D5EEEE"/>
          </w:tcPr>
          <w:p>
            <w:pPr>
              <w:spacing w:after="0"/>
              <w:rPr>
                <w:sz w:val="21"/>
                <w:szCs w:val="21"/>
                <w:color w:val="auto"/>
              </w:rPr>
            </w:pPr>
          </w:p>
        </w:tc>
        <w:tc>
          <w:tcPr>
            <w:tcW w:w="1120" w:type="dxa"/>
            <w:vAlign w:val="bottom"/>
            <w:tcBorders>
              <w:bottom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shd w:val="clear" w:color="auto" w:fill="D5EEEE"/>
              </w:rPr>
              <w:t>$  (23,816.00</w:t>
            </w:r>
          </w:p>
        </w:tc>
        <w:tc>
          <w:tcPr>
            <w:tcW w:w="220" w:type="dxa"/>
            <w:vAlign w:val="bottom"/>
            <w:tcBorders>
              <w:bottom w:val="single" w:sz="8" w:color="D5EEEE"/>
            </w:tcBorders>
            <w:shd w:val="clear" w:color="auto" w:fill="D5EEEE"/>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(3.98)</w:t>
            </w:r>
          </w:p>
        </w:tc>
        <w:tc>
          <w:tcPr>
            <w:tcW w:w="120" w:type="dxa"/>
            <w:vAlign w:val="bottom"/>
            <w:tcBorders>
              <w:bottom w:val="single" w:sz="8" w:color="D5EEEE"/>
            </w:tcBorders>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gridSpan w:val="9"/>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285"/>
              <w:spacing w:after="0"/>
              <w:rPr>
                <w:sz w:val="20"/>
                <w:szCs w:val="20"/>
                <w:color w:val="auto"/>
              </w:rPr>
            </w:pPr>
            <w:r>
              <w:rPr>
                <w:rFonts w:ascii="Times New Roman" w:cs="Times New Roman" w:eastAsia="Times New Roman" w:hAnsi="Times New Roman"/>
                <w:sz w:val="16"/>
                <w:szCs w:val="16"/>
                <w:b w:val="1"/>
                <w:bCs w:val="1"/>
                <w:color w:val="auto"/>
                <w:w w:val="97"/>
              </w:rPr>
              <w:t>Series B</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Series C</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380" w:type="dxa"/>
            <w:vAlign w:val="bottom"/>
            <w:gridSpan w:val="3"/>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0" w:type="dxa"/>
            <w:vAlign w:val="bottom"/>
          </w:tcPr>
          <w:p>
            <w:pPr>
              <w:spacing w:after="0"/>
              <w:rPr>
                <w:sz w:val="1"/>
                <w:szCs w:val="1"/>
                <w:color w:val="auto"/>
              </w:rPr>
            </w:pPr>
          </w:p>
        </w:tc>
      </w:tr>
      <w:tr>
        <w:trPr>
          <w:trHeight w:val="239"/>
        </w:trPr>
        <w:tc>
          <w:tcPr>
            <w:tcW w:w="400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220" w:type="dxa"/>
            <w:vAlign w:val="bottom"/>
            <w:tcBorders>
              <w:top w:val="single" w:sz="8" w:color="auto"/>
            </w:tcBorders>
            <w:shd w:val="clear" w:color="auto" w:fill="D5EEEE"/>
          </w:tcPr>
          <w:p>
            <w:pPr>
              <w:spacing w:after="0"/>
              <w:rPr>
                <w:sz w:val="20"/>
                <w:szCs w:val="20"/>
                <w:color w:val="auto"/>
              </w:rPr>
            </w:pPr>
          </w:p>
        </w:tc>
        <w:tc>
          <w:tcPr>
            <w:tcW w:w="1000" w:type="dxa"/>
            <w:vAlign w:val="bottom"/>
            <w:tcBorders>
              <w:top w:val="single" w:sz="8" w:color="auto"/>
            </w:tcBorders>
            <w:shd w:val="clear" w:color="auto" w:fill="D5EEEE"/>
          </w:tcPr>
          <w:p>
            <w:pPr>
              <w:spacing w:after="0"/>
              <w:rPr>
                <w:sz w:val="20"/>
                <w:szCs w:val="20"/>
                <w:color w:val="auto"/>
              </w:rPr>
            </w:pPr>
          </w:p>
        </w:tc>
        <w:tc>
          <w:tcPr>
            <w:tcW w:w="160" w:type="dxa"/>
            <w:vAlign w:val="bottom"/>
            <w:tcBorders>
              <w:top w:val="single" w:sz="8" w:color="D5EEEE"/>
            </w:tcBorders>
            <w:shd w:val="clear" w:color="auto" w:fill="D5EEEE"/>
          </w:tcPr>
          <w:p>
            <w:pPr>
              <w:spacing w:after="0"/>
              <w:rPr>
                <w:sz w:val="20"/>
                <w:szCs w:val="20"/>
                <w:color w:val="auto"/>
              </w:rPr>
            </w:pPr>
          </w:p>
        </w:tc>
        <w:tc>
          <w:tcPr>
            <w:tcW w:w="80" w:type="dxa"/>
            <w:vAlign w:val="bottom"/>
            <w:tcBorders>
              <w:top w:val="single" w:sz="8" w:color="D5EEEE"/>
            </w:tcBorders>
            <w:shd w:val="clear" w:color="auto" w:fill="D5EEEE"/>
          </w:tcPr>
          <w:p>
            <w:pPr>
              <w:spacing w:after="0"/>
              <w:rPr>
                <w:sz w:val="20"/>
                <w:szCs w:val="20"/>
                <w:color w:val="auto"/>
              </w:rPr>
            </w:pPr>
          </w:p>
        </w:tc>
        <w:tc>
          <w:tcPr>
            <w:tcW w:w="180" w:type="dxa"/>
            <w:vAlign w:val="bottom"/>
            <w:tcBorders>
              <w:top w:val="single" w:sz="8" w:color="auto"/>
            </w:tcBorders>
            <w:shd w:val="clear" w:color="auto" w:fill="D5EEEE"/>
          </w:tcPr>
          <w:p>
            <w:pPr>
              <w:spacing w:after="0"/>
              <w:rPr>
                <w:sz w:val="20"/>
                <w:szCs w:val="20"/>
                <w:color w:val="auto"/>
              </w:rPr>
            </w:pPr>
          </w:p>
        </w:tc>
        <w:tc>
          <w:tcPr>
            <w:tcW w:w="940" w:type="dxa"/>
            <w:vAlign w:val="bottom"/>
            <w:tcBorders>
              <w:top w:val="single" w:sz="8" w:color="auto"/>
            </w:tcBorders>
            <w:shd w:val="clear" w:color="auto" w:fill="D5EEEE"/>
          </w:tcPr>
          <w:p>
            <w:pPr>
              <w:spacing w:after="0"/>
              <w:rPr>
                <w:sz w:val="20"/>
                <w:szCs w:val="20"/>
                <w:color w:val="auto"/>
              </w:rPr>
            </w:pPr>
          </w:p>
        </w:tc>
        <w:tc>
          <w:tcPr>
            <w:tcW w:w="22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auto"/>
            </w:tcBorders>
            <w:shd w:val="clear" w:color="auto" w:fill="D5EEEE"/>
          </w:tcPr>
          <w:p>
            <w:pPr>
              <w:spacing w:after="0"/>
              <w:rPr>
                <w:sz w:val="20"/>
                <w:szCs w:val="20"/>
                <w:color w:val="auto"/>
              </w:rPr>
            </w:pPr>
          </w:p>
        </w:tc>
        <w:tc>
          <w:tcPr>
            <w:tcW w:w="1180" w:type="dxa"/>
            <w:vAlign w:val="bottom"/>
            <w:tcBorders>
              <w:top w:val="single" w:sz="8" w:color="auto"/>
            </w:tcBorders>
            <w:shd w:val="clear" w:color="auto" w:fill="D5EEEE"/>
          </w:tcPr>
          <w:p>
            <w:pPr>
              <w:spacing w:after="0"/>
              <w:rPr>
                <w:sz w:val="20"/>
                <w:szCs w:val="20"/>
                <w:color w:val="auto"/>
              </w:rPr>
            </w:pPr>
          </w:p>
        </w:tc>
        <w:tc>
          <w:tcPr>
            <w:tcW w:w="120" w:type="dxa"/>
            <w:vAlign w:val="bottom"/>
            <w:tcBorders>
              <w:top w:val="single" w:sz="8" w:color="D5EEEE"/>
            </w:tcBorders>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Numerator</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D5EEEE"/>
          </w:tcPr>
          <w:p>
            <w:pPr>
              <w:ind w:left="240"/>
              <w:spacing w:after="0"/>
              <w:rPr>
                <w:sz w:val="20"/>
                <w:szCs w:val="20"/>
                <w:color w:val="auto"/>
              </w:rPr>
            </w:pPr>
            <w:r>
              <w:rPr>
                <w:rFonts w:ascii="Times New Roman" w:cs="Times New Roman" w:eastAsia="Times New Roman" w:hAnsi="Times New Roman"/>
                <w:sz w:val="20"/>
                <w:szCs w:val="20"/>
                <w:color w:val="auto"/>
              </w:rPr>
              <w:t>Allocation of losses</w:t>
            </w:r>
          </w:p>
        </w:tc>
        <w:tc>
          <w:tcPr>
            <w:tcW w:w="220" w:type="dxa"/>
            <w:vAlign w:val="bottom"/>
            <w:shd w:val="clear" w:color="auto" w:fill="D5EEEE"/>
          </w:tcPr>
          <w:p>
            <w:pPr>
              <w:jc w:val="right"/>
              <w:ind w:right="30"/>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gridSpan w:val="2"/>
            <w:shd w:val="clear" w:color="auto" w:fill="D5EEEE"/>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gridSpan w:val="2"/>
            <w:shd w:val="clear" w:color="auto" w:fill="D5EEEE"/>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gridSpan w:val="2"/>
            <w:shd w:val="clear" w:color="auto" w:fill="D5EEEE"/>
          </w:tcPr>
          <w:p>
            <w:pPr>
              <w:jc w:val="right"/>
              <w:ind w:right="161"/>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0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19"/>
                <w:szCs w:val="19"/>
                <w:color w:val="auto"/>
              </w:rPr>
              <w:t>(21,439)</w:t>
            </w:r>
          </w:p>
        </w:tc>
        <w:tc>
          <w:tcPr>
            <w:tcW w:w="0" w:type="dxa"/>
            <w:vAlign w:val="bottom"/>
          </w:tcPr>
          <w:p>
            <w:pPr>
              <w:spacing w:after="0"/>
              <w:rPr>
                <w:sz w:val="1"/>
                <w:szCs w:val="1"/>
                <w:color w:val="auto"/>
              </w:rPr>
            </w:pPr>
          </w:p>
        </w:tc>
      </w:tr>
      <w:tr>
        <w:trPr>
          <w:trHeight w:val="20"/>
        </w:trPr>
        <w:tc>
          <w:tcPr>
            <w:tcW w:w="4000" w:type="dxa"/>
            <w:vAlign w:val="bottom"/>
            <w:tcBorders>
              <w:top w:val="single" w:sz="8" w:color="D5EEEE"/>
              <w:bottom w:val="single" w:sz="8" w:color="D5EEEE"/>
            </w:tcBorders>
            <w:vMerge w:val="restart"/>
          </w:tcPr>
          <w:p>
            <w:pPr>
              <w:ind w:left="140"/>
              <w:spacing w:after="0"/>
              <w:rPr>
                <w:sz w:val="20"/>
                <w:szCs w:val="20"/>
                <w:color w:val="auto"/>
              </w:rPr>
            </w:pPr>
            <w:r>
              <w:rPr>
                <w:rFonts w:ascii="Times New Roman" w:cs="Times New Roman" w:eastAsia="Times New Roman" w:hAnsi="Times New Roman"/>
                <w:sz w:val="20"/>
                <w:szCs w:val="20"/>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5EEEE"/>
            </w:tcBorders>
          </w:tcPr>
          <w:p>
            <w:pPr>
              <w:spacing w:after="0" w:line="20" w:lineRule="exact"/>
              <w:rPr>
                <w:sz w:val="1"/>
                <w:szCs w:val="1"/>
                <w:color w:val="auto"/>
              </w:rPr>
            </w:pPr>
          </w:p>
        </w:tc>
        <w:tc>
          <w:tcPr>
            <w:tcW w:w="80" w:type="dxa"/>
            <w:vAlign w:val="bottom"/>
            <w:tcBorders>
              <w:top w:val="single" w:sz="8" w:color="D5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D5EEEE"/>
            </w:tcBorders>
            <w:shd w:val="clear" w:color="auto" w:fill="D5EEEE"/>
          </w:tcPr>
          <w:p>
            <w:pPr>
              <w:ind w:left="240"/>
              <w:spacing w:after="0"/>
              <w:rPr>
                <w:sz w:val="20"/>
                <w:szCs w:val="20"/>
                <w:color w:val="auto"/>
              </w:rPr>
            </w:pPr>
            <w:r>
              <w:rPr>
                <w:rFonts w:ascii="Times New Roman" w:cs="Times New Roman" w:eastAsia="Times New Roman" w:hAnsi="Times New Roman"/>
                <w:sz w:val="20"/>
                <w:szCs w:val="20"/>
                <w:color w:val="auto"/>
              </w:rPr>
              <w:t>Weighted-average shares outstanding</w:t>
            </w:r>
          </w:p>
        </w:tc>
        <w:tc>
          <w:tcPr>
            <w:tcW w:w="220" w:type="dxa"/>
            <w:vAlign w:val="bottom"/>
            <w:tcBorders>
              <w:bottom w:val="single" w:sz="8" w:color="auto"/>
            </w:tcBorders>
            <w:shd w:val="clear" w:color="auto" w:fill="D5EEEE"/>
          </w:tcPr>
          <w:p>
            <w:pPr>
              <w:spacing w:after="0"/>
              <w:rPr>
                <w:sz w:val="22"/>
                <w:szCs w:val="22"/>
                <w:color w:val="auto"/>
              </w:rPr>
            </w:pPr>
          </w:p>
        </w:tc>
        <w:tc>
          <w:tcPr>
            <w:tcW w:w="10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Borders>
              <w:bottom w:val="single" w:sz="8" w:color="D5EEEE"/>
            </w:tcBorders>
            <w:shd w:val="clear" w:color="auto" w:fill="D5EEEE"/>
          </w:tcPr>
          <w:p>
            <w:pPr>
              <w:spacing w:after="0"/>
              <w:rPr>
                <w:sz w:val="22"/>
                <w:szCs w:val="22"/>
                <w:color w:val="auto"/>
              </w:rPr>
            </w:pPr>
          </w:p>
        </w:tc>
        <w:tc>
          <w:tcPr>
            <w:tcW w:w="80" w:type="dxa"/>
            <w:vAlign w:val="bottom"/>
            <w:tcBorders>
              <w:bottom w:val="single" w:sz="8" w:color="D5EEEE"/>
            </w:tcBorders>
            <w:shd w:val="clear" w:color="auto" w:fill="D5EEEE"/>
          </w:tcPr>
          <w:p>
            <w:pPr>
              <w:spacing w:after="0"/>
              <w:rPr>
                <w:sz w:val="22"/>
                <w:szCs w:val="22"/>
                <w:color w:val="auto"/>
              </w:rPr>
            </w:pPr>
          </w:p>
        </w:tc>
        <w:tc>
          <w:tcPr>
            <w:tcW w:w="180" w:type="dxa"/>
            <w:vAlign w:val="bottom"/>
            <w:tcBorders>
              <w:bottom w:val="single" w:sz="8" w:color="auto"/>
            </w:tcBorders>
            <w:shd w:val="clear" w:color="auto" w:fill="D5EEEE"/>
          </w:tcPr>
          <w:p>
            <w:pPr>
              <w:spacing w:after="0"/>
              <w:rPr>
                <w:sz w:val="22"/>
                <w:szCs w:val="22"/>
                <w:color w:val="auto"/>
              </w:rPr>
            </w:pPr>
          </w:p>
        </w:tc>
        <w:tc>
          <w:tcPr>
            <w:tcW w:w="9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Borders>
              <w:bottom w:val="single" w:sz="8" w:color="D5EEEE"/>
            </w:tcBorders>
            <w:shd w:val="clear" w:color="auto" w:fill="D5EEEE"/>
          </w:tcPr>
          <w:p>
            <w:pPr>
              <w:spacing w:after="0"/>
              <w:rPr>
                <w:sz w:val="22"/>
                <w:szCs w:val="22"/>
                <w:color w:val="auto"/>
              </w:rPr>
            </w:pPr>
          </w:p>
        </w:tc>
        <w:tc>
          <w:tcPr>
            <w:tcW w:w="100" w:type="dxa"/>
            <w:vAlign w:val="bottom"/>
            <w:tcBorders>
              <w:bottom w:val="single" w:sz="8" w:color="auto"/>
            </w:tcBorders>
            <w:shd w:val="clear" w:color="auto" w:fill="D5EEEE"/>
          </w:tcPr>
          <w:p>
            <w:pPr>
              <w:spacing w:after="0"/>
              <w:rPr>
                <w:sz w:val="22"/>
                <w:szCs w:val="22"/>
                <w:color w:val="auto"/>
              </w:rPr>
            </w:pPr>
          </w:p>
        </w:tc>
        <w:tc>
          <w:tcPr>
            <w:tcW w:w="1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1,157,149</w:t>
            </w:r>
          </w:p>
        </w:tc>
        <w:tc>
          <w:tcPr>
            <w:tcW w:w="12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vMerge w:val="continue"/>
          </w:tcPr>
          <w:p>
            <w:pPr>
              <w:spacing w:after="0"/>
              <w:rPr>
                <w:sz w:val="18"/>
                <w:szCs w:val="18"/>
                <w:color w:val="auto"/>
              </w:rPr>
            </w:pPr>
          </w:p>
        </w:tc>
        <w:tc>
          <w:tcPr>
            <w:tcW w:w="220" w:type="dxa"/>
            <w:vAlign w:val="bottom"/>
          </w:tcPr>
          <w:p>
            <w:pPr>
              <w:jc w:val="right"/>
              <w:ind w:right="30"/>
              <w:spacing w:after="0" w:line="209" w:lineRule="exact"/>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gridSpan w:val="2"/>
          </w:tcPr>
          <w:p>
            <w:pPr>
              <w:jc w:val="right"/>
              <w:ind w:right="65"/>
              <w:spacing w:after="0" w:line="209" w:lineRule="exact"/>
              <w:rPr>
                <w:sz w:val="20"/>
                <w:szCs w:val="20"/>
                <w:color w:val="auto"/>
              </w:rPr>
            </w:pPr>
            <w:r>
              <w:rPr>
                <w:rFonts w:ascii="Times New Roman" w:cs="Times New Roman" w:eastAsia="Times New Roman" w:hAnsi="Times New Roman"/>
                <w:sz w:val="19"/>
                <w:szCs w:val="19"/>
                <w:color w:val="auto"/>
              </w:rPr>
              <w:t>—</w:t>
            </w:r>
          </w:p>
        </w:tc>
        <w:tc>
          <w:tcPr>
            <w:tcW w:w="260" w:type="dxa"/>
            <w:vAlign w:val="bottom"/>
            <w:gridSpan w:val="2"/>
          </w:tcPr>
          <w:p>
            <w:pPr>
              <w:ind w:left="80"/>
              <w:spacing w:after="0" w:line="209" w:lineRule="exact"/>
              <w:rPr>
                <w:sz w:val="20"/>
                <w:szCs w:val="20"/>
                <w:color w:val="auto"/>
              </w:rPr>
            </w:pPr>
            <w:r>
              <w:rPr>
                <w:rFonts w:ascii="Times New Roman" w:cs="Times New Roman" w:eastAsia="Times New Roman" w:hAnsi="Times New Roman"/>
                <w:sz w:val="19"/>
                <w:szCs w:val="19"/>
                <w:color w:val="auto"/>
              </w:rPr>
              <w:t>$</w:t>
            </w:r>
          </w:p>
        </w:tc>
        <w:tc>
          <w:tcPr>
            <w:tcW w:w="1160" w:type="dxa"/>
            <w:vAlign w:val="bottom"/>
            <w:gridSpan w:val="2"/>
          </w:tcPr>
          <w:p>
            <w:pPr>
              <w:jc w:val="right"/>
              <w:ind w:right="161"/>
              <w:spacing w:after="0" w:line="209" w:lineRule="exact"/>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w w:val="83"/>
              </w:rPr>
              <w:t>$</w:t>
            </w:r>
          </w:p>
        </w:tc>
        <w:tc>
          <w:tcPr>
            <w:tcW w:w="1300" w:type="dxa"/>
            <w:vAlign w:val="bottom"/>
            <w:gridSpan w:val="2"/>
          </w:tcPr>
          <w:p>
            <w:pPr>
              <w:jc w:val="right"/>
              <w:ind w:right="40"/>
              <w:spacing w:after="0" w:line="209" w:lineRule="exact"/>
              <w:rPr>
                <w:sz w:val="20"/>
                <w:szCs w:val="20"/>
                <w:color w:val="auto"/>
              </w:rPr>
            </w:pPr>
            <w:r>
              <w:rPr>
                <w:rFonts w:ascii="Times New Roman" w:cs="Times New Roman" w:eastAsia="Times New Roman" w:hAnsi="Times New Roman"/>
                <w:sz w:val="19"/>
                <w:szCs w:val="19"/>
                <w:color w:val="auto"/>
              </w:rPr>
              <w:t>(18.53)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-2877185</wp:posOffset>
            </wp:positionV>
            <wp:extent cx="263207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7">
                      <a:extLst>
                        <a:ext uri="{28A0092B-C50C-407E-A947-70E740481C1C}"/>
                      </a:extLst>
                    </a:blip>
                    <a:srcRect/>
                    <a:stretch>
                      <a:fillRect/>
                    </a:stretch>
                  </pic:blipFill>
                  <pic:spPr bwMode="auto">
                    <a:xfrm>
                      <a:off x="0" y="0"/>
                      <a:ext cx="2632075" cy="3810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-1290955</wp:posOffset>
            </wp:positionV>
            <wp:extent cx="263207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8">
                      <a:extLst>
                        <a:ext uri="{28A0092B-C50C-407E-A947-70E740481C1C}"/>
                      </a:extLst>
                    </a:blip>
                    <a:srcRect/>
                    <a:stretch>
                      <a:fillRect/>
                    </a:stretch>
                  </pic:blipFill>
                  <pic:spPr bwMode="auto">
                    <a:xfrm>
                      <a:off x="0" y="0"/>
                      <a:ext cx="2632075" cy="381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The following outstanding potentially dilutive securities have been excluded from the calculation of diluted net loss per share, as their effect is anti-dilutive:</w:t>
      </w:r>
    </w:p>
    <w:p>
      <w:pPr>
        <w:spacing w:after="0" w:line="63"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7"/>
                <w:szCs w:val="17"/>
                <w:color w:val="auto"/>
              </w:rPr>
            </w:pPr>
          </w:p>
        </w:tc>
      </w:tr>
      <w:tr>
        <w:trPr>
          <w:trHeight w:val="193"/>
        </w:trPr>
        <w:tc>
          <w:tcPr>
            <w:tcW w:w="5100" w:type="dxa"/>
            <w:vAlign w:val="bottom"/>
          </w:tcPr>
          <w:p>
            <w:pPr>
              <w:spacing w:after="0"/>
              <w:rPr>
                <w:sz w:val="16"/>
                <w:szCs w:val="16"/>
                <w:color w:val="auto"/>
              </w:rPr>
            </w:pPr>
          </w:p>
        </w:tc>
        <w:tc>
          <w:tcPr>
            <w:tcW w:w="1100" w:type="dxa"/>
            <w:vAlign w:val="bottom"/>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6"/>
                <w:szCs w:val="16"/>
                <w:color w:val="auto"/>
              </w:rPr>
            </w:pPr>
          </w:p>
        </w:tc>
      </w:tr>
      <w:tr>
        <w:trPr>
          <w:trHeight w:val="239"/>
        </w:trPr>
        <w:tc>
          <w:tcPr>
            <w:tcW w:w="510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Stock options to purchase Common Stock</w:t>
            </w:r>
          </w:p>
        </w:tc>
        <w:tc>
          <w:tcPr>
            <w:tcW w:w="11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983,375</w:t>
            </w:r>
          </w:p>
        </w:tc>
        <w:tc>
          <w:tcPr>
            <w:tcW w:w="200" w:type="dxa"/>
            <w:vAlign w:val="bottom"/>
            <w:tcBorders>
              <w:top w:val="single" w:sz="8" w:color="D5EEEE"/>
            </w:tcBorders>
            <w:shd w:val="clear" w:color="auto" w:fill="D5EEEE"/>
          </w:tcPr>
          <w:p>
            <w:pPr>
              <w:spacing w:after="0"/>
              <w:rPr>
                <w:sz w:val="20"/>
                <w:szCs w:val="20"/>
                <w:color w:val="auto"/>
              </w:rPr>
            </w:pPr>
          </w:p>
        </w:tc>
        <w:tc>
          <w:tcPr>
            <w:tcW w:w="11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222,079</w:t>
            </w:r>
          </w:p>
        </w:tc>
        <w:tc>
          <w:tcPr>
            <w:tcW w:w="60" w:type="dxa"/>
            <w:vAlign w:val="bottom"/>
            <w:tcBorders>
              <w:top w:val="single" w:sz="8" w:color="D5EEEE"/>
            </w:tcBorders>
            <w:shd w:val="clear" w:color="auto" w:fill="D5EEEE"/>
          </w:tcPr>
          <w:p>
            <w:pPr>
              <w:spacing w:after="0"/>
              <w:rPr>
                <w:sz w:val="20"/>
                <w:szCs w:val="20"/>
                <w:color w:val="auto"/>
              </w:rPr>
            </w:pPr>
          </w:p>
        </w:tc>
      </w:tr>
      <w:tr>
        <w:trPr>
          <w:trHeight w:val="244"/>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7,800</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15,600</w:t>
            </w:r>
          </w:p>
        </w:tc>
        <w:tc>
          <w:tcPr>
            <w:tcW w:w="60" w:type="dxa"/>
            <w:vAlign w:val="bottom"/>
          </w:tcPr>
          <w:p>
            <w:pPr>
              <w:spacing w:after="0"/>
              <w:rPr>
                <w:sz w:val="21"/>
                <w:szCs w:val="21"/>
                <w:color w:val="auto"/>
              </w:rPr>
            </w:pPr>
          </w:p>
        </w:tc>
      </w:tr>
      <w:tr>
        <w:trPr>
          <w:trHeight w:val="244"/>
        </w:trPr>
        <w:tc>
          <w:tcPr>
            <w:tcW w:w="51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Outstanding Paramora Warrant</w:t>
            </w: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628,302</w:t>
            </w:r>
          </w:p>
        </w:tc>
        <w:tc>
          <w:tcPr>
            <w:tcW w:w="200" w:type="dxa"/>
            <w:vAlign w:val="bottom"/>
            <w:shd w:val="clear" w:color="auto" w:fill="D5EEEE"/>
          </w:tcPr>
          <w:p>
            <w:pPr>
              <w:spacing w:after="0"/>
              <w:rPr>
                <w:sz w:val="21"/>
                <w:szCs w:val="21"/>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5EEEE"/>
          </w:tcPr>
          <w:p>
            <w:pPr>
              <w:spacing w:after="0"/>
              <w:rPr>
                <w:sz w:val="21"/>
                <w:szCs w:val="2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DEFINED CONTRIBUTION PLAN</w:t>
      </w:r>
    </w:p>
    <w:p>
      <w:pPr>
        <w:spacing w:after="0" w:line="24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Company has a 401(k)-defined contribution plan (the “401(k) Plan”) for its U.S. based employees. Eligible employees may make pretax contributions to the 401(k) Plan up to statutory limits. At the discretion of its board of directors, the Company may elect to match employee contributions. For the years ended December 31, 2025 and 2024, the Company paid a match of up to 6%, up to the maximum permitted by the Code, which amounted to $0.1 million during both periods and is expensed as personnel costs when incurred.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SEGMENT REPORTING</w:t>
      </w:r>
    </w:p>
    <w:p>
      <w:pPr>
        <w:spacing w:after="0" w:line="244"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color w:val="auto"/>
        </w:rPr>
        <w:t>The Company has one reportable and one operating segment and manages its business activities primarily in Denmark and North America and on a consolidated basis. The Company’s singular focus is on the development of its mutCALR portfolio to address the full mutCALR myeloproliferative neoplasm disease spectrum. All of the Company’s tangible assets are held in Denmark and the United States.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accounting policies of the Company are the same as those described in the summary of significant accounting policies.</w:t>
      </w:r>
    </w:p>
    <w:p>
      <w:pPr>
        <w:sectPr>
          <w:pgSz w:w="12960" w:h="17280" w:orient="portrait"/>
          <w:cols w:equalWidth="0" w:num="1">
            <w:col w:w="10800"/>
          </w:cols>
          <w:pgMar w:left="1080" w:top="1440" w:right="108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960" w:h="17280" w:orient="portrait"/>
          <w:cols w:equalWidth="0" w:num="1">
            <w:col w:w="10800"/>
          </w:cols>
          <w:pgMar w:left="1080" w:top="1440" w:right="1080" w:bottom="906" w:gutter="0" w:footer="0" w:header="0"/>
          <w:type w:val="continuous"/>
        </w:sectPr>
      </w:pPr>
    </w:p>
    <w:bookmarkStart w:id="126" w:name="page127"/>
    <w:bookmarkEnd w:id="126"/>
    <w:p>
      <w:pPr>
        <w:spacing w:after="0" w:line="21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The CODM is its chief executive officer, or in the absence of a chief executive officer, its chief operating officer. The CODM assesses performance for the Company and decides how to allocate resources based on net loss as reported on the consolidated statements of operations. The annual budgeting process is the primary mechanism used to make these decisions. The financial information also helps in making performance assessments using budgeted versus actual results.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measure of segment assets is reported on the balance sheet as total consolidated assets.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SUBSEQUENT EVENTS</w:t>
      </w:r>
    </w:p>
    <w:p>
      <w:pPr>
        <w:spacing w:after="0" w:line="244"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0"/>
          <w:szCs w:val="20"/>
          <w:color w:val="auto"/>
        </w:rPr>
        <w:t>The Company has evaluated subsequent events through the date on which the consolidated financial statements were issued. The Company has concluded that no subsequent events, other than already disclosed or described below, have occurred that require disclosure to the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Shelf registration statement, ATM offering program and February 2026 public offering</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February 10, 2026, the Company filed the Registration Statement.</w:t>
      </w:r>
    </w:p>
    <w:p>
      <w:pPr>
        <w:spacing w:after="0" w:line="2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On February 10, 2026, the Company entered into the ATM Agreement, pursuant to which it may sell, from time-to-time, shares of Common Stock under an ATM offering program for up to $150.0 million. As of the date of this filing, the Company has made no sales of Common Stock under the ATM offering program and has $150.0 million in remaining capacity under the ATM offering program.</w:t>
      </w:r>
    </w:p>
    <w:p>
      <w:pPr>
        <w:spacing w:after="0" w:line="17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On February 10, 2026, the Company also entered into an underwriting agreement with certain underwriters to issue and sell 14,473,685 shares of Common Stock, including the full exercise by the underwriters of their option to purchase an additional 2,171,052 shares, at a public offering price of $19.00 per share. The underwritten offering closed on February 12, 2026. The net proceeds from this offering were approximately $297.3 million, after deducting underwriting discounts and commissions and expenses of the offering of $19.0 million.</w:t>
      </w:r>
    </w:p>
    <w:p>
      <w:pPr>
        <w:sectPr>
          <w:pgSz w:w="12960" w:h="17280" w:orient="portrait"/>
          <w:cols w:equalWidth="0" w:num="1">
            <w:col w:w="10800"/>
          </w:cols>
          <w:pgMar w:left="1080" w:top="1440" w:right="108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960" w:h="17280" w:orient="portrait"/>
          <w:cols w:equalWidth="0" w:num="1">
            <w:col w:w="10800"/>
          </w:cols>
          <w:pgMar w:left="1080" w:top="1440" w:right="1080" w:bottom="906" w:gutter="0" w:footer="0" w:header="0"/>
          <w:type w:val="continuous"/>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2634615</wp:posOffset>
            </wp:positionH>
            <wp:positionV relativeFrom="page">
              <wp:posOffset>1202055</wp:posOffset>
            </wp:positionV>
            <wp:extent cx="2955925" cy="803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955925" cy="80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20"/>
          <w:szCs w:val="20"/>
          <w:b w:val="1"/>
          <w:bCs w:val="1"/>
          <w:color w:val="auto"/>
        </w:rPr>
        <w:t>April 29, 2026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Stockholders:</w:t>
      </w:r>
    </w:p>
    <w:p>
      <w:pPr>
        <w:spacing w:after="0" w:line="2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You are cordially invited to attend the 2026 Annual Meeting of Stockholders (the “Annual Meeting”) of Damora Therapeutics, Inc. (the “Company” or “Damora Therapeutics”). The meeting will be held virtually on Wednesday, June 17, 2026 at 9:00 a.m. Eastern Time. You may attend the meeting virtually via the Internet at www.virtualshareholdermeeting.com/DMRA2026, where you will be able to vote electronically and submit questions. You will need the 16-digit control number, which is located on your Notice of Internet Availability that you received in the mail and proxy card, to attend the Annual Meeting. We are utilizing a virtual- only meeting format in order to leverage technology to enhance stockholder access to the Annual Meeting by enabling attendance and participation from any location. We believe that the virtual-only meeting format enhances stockholder participation, and we have designed the meeting to provide stockholders with the same rights and opportunities to participate as they would have at an in-person meeting.</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Details regarding admission to the Annual Meeting and the business to be conducted are more fully described in the accompanying Notice of Annual Meeting and Annual Meeting Proxy Statement (the “Proxy Statement”). Only Damora Therapeutics, Inc. stockholders of record at the close of business on April 22, 2026, will be entitled to vote at the Annual Meeting and any adjournments or postponements thereof.</w:t>
      </w:r>
    </w:p>
    <w:p>
      <w:pPr>
        <w:spacing w:after="0" w:line="194"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 xml:space="preserve">At the Annual Meeting, the agenda includes the election of two Class III directors for a three-year term ending at our 2029 Annual Meeting of Stockholders; the approval, on an advisory basis, of the compensation paid to our named executive officers; an advisory vote on </w:t>
      </w:r>
      <w:r>
        <w:rPr>
          <w:rFonts w:ascii="Times New Roman" w:cs="Times New Roman" w:eastAsia="Times New Roman" w:hAnsi="Times New Roman"/>
          <w:sz w:val="19"/>
          <w:szCs w:val="19"/>
          <w:color w:val="auto"/>
        </w:rPr>
        <w:t>the frequency of future advisory votes to approve the compensation paid to our named executive officers</w:t>
      </w:r>
      <w:r>
        <w:rPr>
          <w:rFonts w:ascii="Times New Roman" w:cs="Times New Roman" w:eastAsia="Times New Roman" w:hAnsi="Times New Roman"/>
          <w:sz w:val="20"/>
          <w:szCs w:val="20"/>
          <w:color w:val="auto"/>
        </w:rPr>
        <w:t>; and the ratification of the appointment of Ernst &amp; Young LLP as our independent registered public accounting firm for the fiscal year ending December 31, 2026.</w:t>
      </w:r>
    </w:p>
    <w:p>
      <w:pPr>
        <w:spacing w:after="0" w:line="19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Under Securities and Exchange Commission rules, the Company is providing access to the proxy materials for the Annual Meeting to stockholders via the Internet. This delivery process allows us to provide stockholders with the information they need, while at the same time conserving natural resources and lowering the cost of delivery. Accordingly, you can access the proxy materials and vote at www.proxyvote.com. Instructions for accessing the proxy materials and voting are described below and in the Notice of Internet Availability that you received in the mail. Your vote is very important. Whether or not you plan to attend the Annual Meeting, please carefully review the enclosed proxy statement and then cast your vote, regardless of the number of shares you hold. If you are a stockholder of record, you may vote over the Internet or, if you request to receive a printed set of the proxy materials, by telephone or by completing, signing, dating and mailing the accompanying proxy card in the return envelope. Submitting your vote via the Internet or by telephone or proxy card will not affect your right to vote online during the virtual meeting if you decide to attend the Annual Meeting. If your shares are held in street name (held for your account by a broker or other nominee), you will receive instructions from your broker or other nominee explaining how to vote your shares, and you will have the option to cast your vote by telephone or over the Internet if your voting instruction form from your broker or nominee includes instructions and a toll-free telephone number or Internet website to do so. In any event, to be sure that your vote will be received in time, please cast your vote by your choice of available means, at your earliest convenience.</w:t>
      </w:r>
    </w:p>
    <w:p>
      <w:pPr>
        <w:spacing w:after="0" w:line="213"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We hope that you will join us for the Annual Meeting on Wednesday, June 17, 2026. Your investment and continuing interest in the Company are very much appreciated.</w:t>
      </w:r>
    </w:p>
    <w:p>
      <w:pPr>
        <w:spacing w:after="0" w:line="16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Sincerely,</w:t>
      </w:r>
    </w:p>
    <w:p>
      <w:pPr>
        <w:spacing w:after="0" w:line="23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/s/ Jennifer Jarrett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4320540</wp:posOffset>
                </wp:positionH>
                <wp:positionV relativeFrom="paragraph">
                  <wp:posOffset>15240</wp:posOffset>
                </wp:positionV>
                <wp:extent cx="253746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74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2pt,1.2pt" to="540pt,1.2pt" o:allowincell="f" strokecolor="#000000" strokeweight="0.5pt"/>
            </w:pict>
          </mc:Fallback>
        </mc:AlternateContent>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Jennifer Jarrett</w:t>
      </w:r>
    </w:p>
    <w:p>
      <w:pPr>
        <w:spacing w:after="0" w:line="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p>
      <w:pPr>
        <w:sectPr>
          <w:pgSz w:w="12960" w:h="17280" w:orient="portrait"/>
          <w:cols w:equalWidth="0" w:num="1">
            <w:col w:w="10800"/>
          </w:cols>
          <w:pgMar w:left="1080" w:top="1440" w:right="1080" w:bottom="9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960" w:h="17280" w:orient="portrait"/>
          <w:cols w:equalWidth="0" w:num="1">
            <w:col w:w="10800"/>
          </w:cols>
          <w:pgMar w:left="1080" w:top="1440" w:right="1080" w:bottom="964" w:gutter="0" w:footer="0" w:header="0"/>
          <w:type w:val="continuous"/>
        </w:sectPr>
      </w:pPr>
    </w:p>
    <w:bookmarkStart w:id="128" w:name="page129"/>
    <w:bookmarkEnd w:id="128"/>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Damora Therapeutics, Inc.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2026 ANNUAL MEETING OF STOCKHOLDERS</w:t>
      </w:r>
    </w:p>
    <w:p>
      <w:pPr>
        <w:spacing w:after="0" w:line="16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TIME:</w:t>
      </w:r>
      <w:r>
        <w:rPr>
          <w:sz w:val="20"/>
          <w:szCs w:val="20"/>
          <w:color w:val="auto"/>
        </w:rPr>
        <w:tab/>
      </w:r>
      <w:r>
        <w:rPr>
          <w:rFonts w:ascii="Times New Roman" w:cs="Times New Roman" w:eastAsia="Times New Roman" w:hAnsi="Times New Roman"/>
          <w:sz w:val="20"/>
          <w:szCs w:val="20"/>
          <w:color w:val="auto"/>
        </w:rPr>
        <w:t>9:00 a.m. Eastern Time</w:t>
      </w:r>
    </w:p>
    <w:p>
      <w:pPr>
        <w:spacing w:after="0" w:line="16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Wednesday, June 17, 2026</w:t>
      </w:r>
    </w:p>
    <w:p>
      <w:pPr>
        <w:spacing w:after="0" w:line="27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PLACE:</w:t>
      </w:r>
      <w:r>
        <w:rPr>
          <w:sz w:val="20"/>
          <w:szCs w:val="20"/>
          <w:color w:val="auto"/>
        </w:rPr>
        <w:tab/>
      </w:r>
      <w:r>
        <w:rPr>
          <w:rFonts w:ascii="Times New Roman" w:cs="Times New Roman" w:eastAsia="Times New Roman" w:hAnsi="Times New Roman"/>
          <w:sz w:val="20"/>
          <w:szCs w:val="20"/>
          <w:color w:val="auto"/>
        </w:rPr>
        <w:t>The Annual Meeting will be conducted virtually at www.virtualshareholdermeeting.com/DMRA2026.</w:t>
      </w:r>
    </w:p>
    <w:p>
      <w:pPr>
        <w:spacing w:after="0" w:line="31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PURPOSES:</w:t>
      </w:r>
      <w:r>
        <w:rPr>
          <w:sz w:val="20"/>
          <w:szCs w:val="20"/>
          <w:color w:val="auto"/>
        </w:rPr>
        <w:tab/>
      </w:r>
      <w:r>
        <w:rPr>
          <w:rFonts w:ascii="Times New Roman" w:cs="Times New Roman" w:eastAsia="Times New Roman" w:hAnsi="Times New Roman"/>
          <w:sz w:val="20"/>
          <w:szCs w:val="20"/>
          <w:color w:val="auto"/>
        </w:rPr>
        <w:t>1. To elect Michael Landsittel and Cameron Turtle, D.Phil, as Class III members of the Board of Directors, to</w:t>
      </w:r>
    </w:p>
    <w:p>
      <w:pPr>
        <w:spacing w:after="0" w:line="28" w:lineRule="exact"/>
        <w:rPr>
          <w:sz w:val="20"/>
          <w:szCs w:val="20"/>
          <w:color w:val="auto"/>
        </w:rPr>
      </w:pPr>
    </w:p>
    <w:p>
      <w:pPr>
        <w:ind w:left="1560"/>
        <w:spacing w:after="0" w:line="248" w:lineRule="auto"/>
        <w:rPr>
          <w:sz w:val="20"/>
          <w:szCs w:val="20"/>
          <w:color w:val="auto"/>
        </w:rPr>
      </w:pPr>
      <w:r>
        <w:rPr>
          <w:rFonts w:ascii="Times New Roman" w:cs="Times New Roman" w:eastAsia="Times New Roman" w:hAnsi="Times New Roman"/>
          <w:sz w:val="20"/>
          <w:szCs w:val="20"/>
          <w:color w:val="auto"/>
        </w:rPr>
        <w:t>serve until the Company’s 2029 Annual Meeting of Stockholders and until their successors are duly elected and qualified, or until their earlier death, resignation or removal;</w:t>
      </w:r>
    </w:p>
    <w:p>
      <w:pPr>
        <w:spacing w:after="0" w:line="7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19"/>
          <w:szCs w:val="19"/>
          <w:color w:val="auto"/>
        </w:rPr>
        <w:t>To approve, on an advisory basis, the compensation paid to our named executive officers</w:t>
      </w:r>
      <w:r>
        <w:rPr>
          <w:rFonts w:ascii="Times New Roman" w:cs="Times New Roman" w:eastAsia="Times New Roman" w:hAnsi="Times New Roman"/>
          <w:sz w:val="20"/>
          <w:szCs w:val="20"/>
          <w:color w:val="auto"/>
        </w:rPr>
        <w:t>;</w:t>
      </w:r>
    </w:p>
    <w:p>
      <w:pPr>
        <w:spacing w:after="0" w:line="12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19"/>
          <w:szCs w:val="19"/>
          <w:color w:val="auto"/>
        </w:rPr>
        <w:t>To conduct an advisory vote on the frequency of future advisory votes to approve the compensation paid to our</w:t>
      </w:r>
    </w:p>
    <w:p>
      <w:pPr>
        <w:spacing w:after="0" w:line="2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named executive officers; and</w:t>
      </w:r>
    </w:p>
    <w:p>
      <w:pPr>
        <w:spacing w:after="0" w:line="92" w:lineRule="exact"/>
        <w:rPr>
          <w:sz w:val="20"/>
          <w:szCs w:val="20"/>
          <w:color w:val="auto"/>
        </w:rPr>
      </w:pPr>
    </w:p>
    <w:p>
      <w:pPr>
        <w:ind w:left="1560"/>
        <w:spacing w:after="0" w:line="277" w:lineRule="auto"/>
        <w:rPr>
          <w:sz w:val="20"/>
          <w:szCs w:val="20"/>
          <w:color w:val="auto"/>
        </w:rPr>
      </w:pPr>
      <w:r>
        <w:rPr>
          <w:rFonts w:ascii="Times New Roman" w:cs="Times New Roman" w:eastAsia="Times New Roman" w:hAnsi="Times New Roman"/>
          <w:sz w:val="20"/>
          <w:szCs w:val="20"/>
          <w:color w:val="auto"/>
        </w:rPr>
        <w:t>4. To ratify the selection of Ernst &amp; Young LLP as the Company’s independent registered public accounting firm for the fiscal year ending December 31, 2026.</w:t>
      </w:r>
    </w:p>
    <w:p>
      <w:pPr>
        <w:spacing w:after="0" w:line="261"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RECORD</w:t>
      </w:r>
      <w:r>
        <w:rPr>
          <w:sz w:val="20"/>
          <w:szCs w:val="20"/>
          <w:color w:val="auto"/>
        </w:rPr>
        <w:tab/>
      </w:r>
      <w:r>
        <w:rPr>
          <w:rFonts w:ascii="Times New Roman" w:cs="Times New Roman" w:eastAsia="Times New Roman" w:hAnsi="Times New Roman"/>
          <w:sz w:val="20"/>
          <w:szCs w:val="20"/>
          <w:color w:val="auto"/>
        </w:rPr>
        <w:t>The Board of Directors has fixed the close of business on April 22, 2026 as the record date for determining</w:t>
      </w:r>
    </w:p>
    <w:p>
      <w:pPr>
        <w:spacing w:after="0" w:line="28"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stockholders entitled to notice of and to vote at the meeting.</w:t>
      </w:r>
    </w:p>
    <w:p>
      <w:pPr>
        <w:spacing w:after="0" w:line="30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MEETING</w:t>
      </w:r>
      <w:r>
        <w:rPr>
          <w:sz w:val="20"/>
          <w:szCs w:val="20"/>
          <w:color w:val="auto"/>
        </w:rPr>
        <w:tab/>
      </w:r>
      <w:r>
        <w:rPr>
          <w:rFonts w:ascii="Times New Roman" w:cs="Times New Roman" w:eastAsia="Times New Roman" w:hAnsi="Times New Roman"/>
          <w:sz w:val="20"/>
          <w:szCs w:val="20"/>
          <w:color w:val="auto"/>
        </w:rPr>
        <w:t>All stockholders as of the record date, or their duly appointed proxies, may attend the meeting. In order to be able</w:t>
      </w:r>
    </w:p>
    <w:p>
      <w:pPr>
        <w:spacing w:after="0" w:line="28"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ADMISSION:</w:t>
      </w:r>
      <w:r>
        <w:rPr>
          <w:sz w:val="20"/>
          <w:szCs w:val="20"/>
          <w:color w:val="auto"/>
        </w:rPr>
        <w:tab/>
      </w:r>
      <w:r>
        <w:rPr>
          <w:rFonts w:ascii="Times New Roman" w:cs="Times New Roman" w:eastAsia="Times New Roman" w:hAnsi="Times New Roman"/>
          <w:sz w:val="20"/>
          <w:szCs w:val="20"/>
          <w:color w:val="auto"/>
        </w:rPr>
        <w:t>to attend the meeting, you will need the 16-digit control number, which is located on your Notice, on your proxy</w:t>
      </w:r>
    </w:p>
    <w:p>
      <w:pPr>
        <w:ind w:left="1560"/>
        <w:spacing w:after="0"/>
        <w:rPr>
          <w:sz w:val="20"/>
          <w:szCs w:val="20"/>
          <w:color w:val="auto"/>
        </w:rPr>
      </w:pPr>
      <w:r>
        <w:rPr>
          <w:rFonts w:ascii="Times New Roman" w:cs="Times New Roman" w:eastAsia="Times New Roman" w:hAnsi="Times New Roman"/>
          <w:sz w:val="20"/>
          <w:szCs w:val="20"/>
          <w:color w:val="auto"/>
        </w:rPr>
        <w:t>card, or in the instructions accompanying your proxy materials. Instructions on how to participate in the Annual</w:t>
      </w:r>
    </w:p>
    <w:p>
      <w:pPr>
        <w:ind w:left="1560"/>
        <w:spacing w:after="0"/>
        <w:rPr>
          <w:sz w:val="20"/>
          <w:szCs w:val="20"/>
          <w:color w:val="auto"/>
        </w:rPr>
      </w:pPr>
      <w:r>
        <w:rPr>
          <w:rFonts w:ascii="Times New Roman" w:cs="Times New Roman" w:eastAsia="Times New Roman" w:hAnsi="Times New Roman"/>
          <w:sz w:val="20"/>
          <w:szCs w:val="20"/>
          <w:color w:val="auto"/>
        </w:rPr>
        <w:t>Meeting are also posted online at www.proxyvote.com.</w:t>
      </w:r>
    </w:p>
    <w:p>
      <w:pPr>
        <w:spacing w:after="0" w:line="30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VOTING BY</w:t>
      </w:r>
      <w:r>
        <w:rPr>
          <w:sz w:val="20"/>
          <w:szCs w:val="20"/>
          <w:color w:val="auto"/>
        </w:rPr>
        <w:tab/>
      </w:r>
      <w:r>
        <w:rPr>
          <w:rFonts w:ascii="Times New Roman" w:cs="Times New Roman" w:eastAsia="Times New Roman" w:hAnsi="Times New Roman"/>
          <w:sz w:val="20"/>
          <w:szCs w:val="20"/>
          <w:color w:val="auto"/>
        </w:rPr>
        <w:t>If you are a stockholder of record, please vote via the Internet or, for shares held in street name, please vote in</w:t>
      </w:r>
    </w:p>
    <w:p>
      <w:pPr>
        <w:spacing w:after="0" w:line="28"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PROXY:</w:t>
      </w:r>
      <w:r>
        <w:rPr>
          <w:sz w:val="20"/>
          <w:szCs w:val="20"/>
          <w:color w:val="auto"/>
        </w:rPr>
        <w:tab/>
      </w:r>
      <w:r>
        <w:rPr>
          <w:rFonts w:ascii="Times New Roman" w:cs="Times New Roman" w:eastAsia="Times New Roman" w:hAnsi="Times New Roman"/>
          <w:sz w:val="20"/>
          <w:szCs w:val="20"/>
          <w:color w:val="auto"/>
        </w:rPr>
        <w:t>accordance with the voting instruction form you receive from your broker or nominee as soon as possible so your</w:t>
      </w:r>
    </w:p>
    <w:p>
      <w:pPr>
        <w:ind w:left="1560"/>
        <w:spacing w:after="0"/>
        <w:rPr>
          <w:sz w:val="20"/>
          <w:szCs w:val="20"/>
          <w:color w:val="auto"/>
        </w:rPr>
      </w:pPr>
      <w:r>
        <w:rPr>
          <w:rFonts w:ascii="Times New Roman" w:cs="Times New Roman" w:eastAsia="Times New Roman" w:hAnsi="Times New Roman"/>
          <w:sz w:val="20"/>
          <w:szCs w:val="20"/>
          <w:color w:val="auto"/>
        </w:rPr>
        <w:t>shares can be voted at the meeting. If you are a stockholder of record, you may also vote by telephone or by</w:t>
      </w:r>
    </w:p>
    <w:p>
      <w:pPr>
        <w:ind w:left="1560"/>
        <w:spacing w:after="0"/>
        <w:rPr>
          <w:sz w:val="20"/>
          <w:szCs w:val="20"/>
          <w:color w:val="auto"/>
        </w:rPr>
      </w:pPr>
      <w:r>
        <w:rPr>
          <w:rFonts w:ascii="Times New Roman" w:cs="Times New Roman" w:eastAsia="Times New Roman" w:hAnsi="Times New Roman"/>
          <w:sz w:val="20"/>
          <w:szCs w:val="20"/>
          <w:color w:val="auto"/>
        </w:rPr>
        <w:t>submitting a proxy card by mail. If your shares are held in street name, you will receive instructions from your</w:t>
      </w:r>
    </w:p>
    <w:p>
      <w:pPr>
        <w:ind w:left="1560"/>
        <w:spacing w:after="0"/>
        <w:rPr>
          <w:sz w:val="20"/>
          <w:szCs w:val="20"/>
          <w:color w:val="auto"/>
        </w:rPr>
      </w:pPr>
      <w:r>
        <w:rPr>
          <w:rFonts w:ascii="Times New Roman" w:cs="Times New Roman" w:eastAsia="Times New Roman" w:hAnsi="Times New Roman"/>
          <w:sz w:val="20"/>
          <w:szCs w:val="20"/>
          <w:color w:val="auto"/>
        </w:rPr>
        <w:t>broker or other nominee explaining how to vote your shares, and you may also have the choice of instructing the</w:t>
      </w:r>
    </w:p>
    <w:p>
      <w:pPr>
        <w:ind w:left="1560"/>
        <w:spacing w:after="0"/>
        <w:rPr>
          <w:sz w:val="20"/>
          <w:szCs w:val="20"/>
          <w:color w:val="auto"/>
        </w:rPr>
      </w:pPr>
      <w:r>
        <w:rPr>
          <w:rFonts w:ascii="Times New Roman" w:cs="Times New Roman" w:eastAsia="Times New Roman" w:hAnsi="Times New Roman"/>
          <w:sz w:val="20"/>
          <w:szCs w:val="20"/>
          <w:color w:val="auto"/>
        </w:rPr>
        <w:t>record holder as to the voting of your shares over the Internet or by telephone. Follow the instructions on the</w:t>
      </w:r>
    </w:p>
    <w:p>
      <w:pPr>
        <w:ind w:left="1560"/>
        <w:spacing w:after="0"/>
        <w:rPr>
          <w:sz w:val="20"/>
          <w:szCs w:val="20"/>
          <w:color w:val="auto"/>
        </w:rPr>
      </w:pPr>
      <w:r>
        <w:rPr>
          <w:rFonts w:ascii="Times New Roman" w:cs="Times New Roman" w:eastAsia="Times New Roman" w:hAnsi="Times New Roman"/>
          <w:sz w:val="20"/>
          <w:szCs w:val="20"/>
          <w:color w:val="auto"/>
        </w:rPr>
        <w:t>voting instruction form you received from your broker or nominee.</w:t>
      </w:r>
    </w:p>
    <w:p>
      <w:pPr>
        <w:spacing w:after="0" w:line="18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/s/ Jennifer Jarrett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4320540</wp:posOffset>
                </wp:positionH>
                <wp:positionV relativeFrom="paragraph">
                  <wp:posOffset>15240</wp:posOffset>
                </wp:positionV>
                <wp:extent cx="253746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74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2pt,1.2pt" to="540pt,1.2pt" o:allowincell="f" strokecolor="#000000" strokeweight="0.5pt"/>
            </w:pict>
          </mc:Fallback>
        </mc:AlternateContent>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Jennifer Jarrett</w:t>
      </w:r>
    </w:p>
    <w:p>
      <w:pPr>
        <w:spacing w:after="0" w:line="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Waltham, Massachusetts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29, 2026</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2960" w:h="17280" w:orient="portrait"/>
          <w:cols w:equalWidth="0" w:num="1">
            <w:col w:w="10800"/>
          </w:cols>
          <w:pgMar w:left="1080" w:top="1440" w:right="1080" w:bottom="895" w:gutter="0" w:footer="0" w:header="0"/>
          <w:type w:val="continuous"/>
        </w:sectPr>
      </w:pPr>
    </w:p>
    <w:bookmarkStart w:id="129" w:name="page130"/>
    <w:bookmarkEnd w:id="129"/>
    <w:p>
      <w:pPr>
        <w:spacing w:after="0" w:line="20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PAGE</w:t>
      </w:r>
    </w:p>
    <w:p>
      <w:pPr>
        <w:spacing w:after="0" w:line="148" w:lineRule="exact"/>
        <w:rPr>
          <w:sz w:val="20"/>
          <w:szCs w:val="20"/>
          <w:color w:val="auto"/>
        </w:rPr>
      </w:pPr>
    </w:p>
    <w:p>
      <w:pPr>
        <w:spacing w:after="0"/>
        <w:tabs>
          <w:tab w:leader="dot" w:pos="10460" w:val="left"/>
        </w:tabs>
        <w:rPr>
          <w:sz w:val="20"/>
          <w:szCs w:val="20"/>
          <w:color w:val="auto"/>
        </w:rPr>
      </w:pPr>
      <w:r>
        <w:rPr>
          <w:rFonts w:ascii="Times New Roman" w:cs="Times New Roman" w:eastAsia="Times New Roman" w:hAnsi="Times New Roman"/>
          <w:sz w:val="20"/>
          <w:szCs w:val="20"/>
          <w:color w:val="auto"/>
        </w:rPr>
        <w:t>General Information</w:t>
      </w:r>
      <w:r>
        <w:rPr>
          <w:sz w:val="20"/>
          <w:szCs w:val="20"/>
          <w:color w:val="auto"/>
        </w:rPr>
        <w:tab/>
      </w:r>
      <w:r>
        <w:rPr>
          <w:rFonts w:ascii="Times New Roman" w:cs="Times New Roman" w:eastAsia="Times New Roman" w:hAnsi="Times New Roman"/>
          <w:sz w:val="20"/>
          <w:szCs w:val="20"/>
          <w:color w:val="auto"/>
        </w:rPr>
        <w:t>1</w:t>
      </w:r>
    </w:p>
    <w:p>
      <w:pPr>
        <w:spacing w:after="0" w:line="28" w:lineRule="exact"/>
        <w:rPr>
          <w:sz w:val="20"/>
          <w:szCs w:val="20"/>
          <w:color w:val="auto"/>
        </w:rPr>
      </w:pPr>
    </w:p>
    <w:p>
      <w:pPr>
        <w:spacing w:after="0"/>
        <w:tabs>
          <w:tab w:leader="dot" w:pos="10460" w:val="left"/>
        </w:tabs>
        <w:rPr>
          <w:sz w:val="20"/>
          <w:szCs w:val="20"/>
          <w:color w:val="auto"/>
        </w:rPr>
      </w:pPr>
      <w:r>
        <w:rPr>
          <w:rFonts w:ascii="Times New Roman" w:cs="Times New Roman" w:eastAsia="Times New Roman" w:hAnsi="Times New Roman"/>
          <w:sz w:val="20"/>
          <w:szCs w:val="20"/>
          <w:color w:val="auto"/>
        </w:rPr>
        <w:t>Proposal No. 1: Election of Directors</w:t>
      </w:r>
      <w:r>
        <w:rPr>
          <w:sz w:val="20"/>
          <w:szCs w:val="20"/>
          <w:color w:val="auto"/>
        </w:rPr>
        <w:tab/>
      </w:r>
      <w:r>
        <w:rPr>
          <w:rFonts w:ascii="Times New Roman" w:cs="Times New Roman" w:eastAsia="Times New Roman" w:hAnsi="Times New Roman"/>
          <w:sz w:val="20"/>
          <w:szCs w:val="20"/>
          <w:color w:val="auto"/>
        </w:rPr>
        <w:t>6</w:t>
      </w:r>
    </w:p>
    <w:p>
      <w:pPr>
        <w:spacing w:after="0"/>
        <w:tabs>
          <w:tab w:leader="dot" w:pos="10460" w:val="left"/>
        </w:tabs>
        <w:rPr>
          <w:sz w:val="20"/>
          <w:szCs w:val="20"/>
          <w:color w:val="auto"/>
        </w:rPr>
      </w:pPr>
      <w:r>
        <w:rPr>
          <w:rFonts w:ascii="Times New Roman" w:cs="Times New Roman" w:eastAsia="Times New Roman" w:hAnsi="Times New Roman"/>
          <w:sz w:val="20"/>
          <w:szCs w:val="20"/>
          <w:color w:val="auto"/>
        </w:rPr>
        <w:t>Director Biographies</w:t>
      </w:r>
      <w:r>
        <w:rPr>
          <w:sz w:val="20"/>
          <w:szCs w:val="20"/>
          <w:color w:val="auto"/>
        </w:rPr>
        <w:tab/>
      </w:r>
      <w:r>
        <w:rPr>
          <w:rFonts w:ascii="Times New Roman" w:cs="Times New Roman" w:eastAsia="Times New Roman" w:hAnsi="Times New Roman"/>
          <w:sz w:val="20"/>
          <w:szCs w:val="20"/>
          <w:color w:val="auto"/>
        </w:rPr>
        <w:t>7</w:t>
      </w:r>
    </w:p>
    <w:p>
      <w:pPr>
        <w:spacing w:after="0"/>
        <w:tabs>
          <w:tab w:leader="dot" w:pos="10460" w:val="left"/>
        </w:tabs>
        <w:rPr>
          <w:sz w:val="20"/>
          <w:szCs w:val="20"/>
          <w:color w:val="auto"/>
        </w:rPr>
      </w:pPr>
      <w:r>
        <w:rPr>
          <w:rFonts w:ascii="Times New Roman" w:cs="Times New Roman" w:eastAsia="Times New Roman" w:hAnsi="Times New Roman"/>
          <w:sz w:val="20"/>
          <w:szCs w:val="20"/>
          <w:color w:val="auto"/>
        </w:rPr>
        <w:t>Executive Officers</w:t>
      </w:r>
      <w:r>
        <w:rPr>
          <w:sz w:val="20"/>
          <w:szCs w:val="20"/>
          <w:color w:val="auto"/>
        </w:rPr>
        <w:tab/>
      </w:r>
      <w:r>
        <w:rPr>
          <w:rFonts w:ascii="Times New Roman" w:cs="Times New Roman" w:eastAsia="Times New Roman" w:hAnsi="Times New Roman"/>
          <w:sz w:val="20"/>
          <w:szCs w:val="20"/>
          <w:color w:val="auto"/>
        </w:rPr>
        <w:t>9</w:t>
      </w:r>
    </w:p>
    <w:p>
      <w:pPr>
        <w:spacing w:after="0"/>
        <w:tabs>
          <w:tab w:leader="dot" w:pos="10400" w:val="left"/>
        </w:tabs>
        <w:rPr>
          <w:sz w:val="20"/>
          <w:szCs w:val="20"/>
          <w:color w:val="auto"/>
        </w:rPr>
      </w:pPr>
      <w:r>
        <w:rPr>
          <w:rFonts w:ascii="Times New Roman" w:cs="Times New Roman" w:eastAsia="Times New Roman" w:hAnsi="Times New Roman"/>
          <w:sz w:val="20"/>
          <w:szCs w:val="20"/>
          <w:color w:val="auto"/>
        </w:rPr>
        <w:t>The Board of Directors and its Committees</w:t>
      </w:r>
      <w:r>
        <w:rPr>
          <w:sz w:val="20"/>
          <w:szCs w:val="20"/>
          <w:color w:val="auto"/>
        </w:rPr>
        <w:tab/>
      </w:r>
      <w:r>
        <w:rPr>
          <w:rFonts w:ascii="Times New Roman" w:cs="Times New Roman" w:eastAsia="Times New Roman" w:hAnsi="Times New Roman"/>
          <w:sz w:val="20"/>
          <w:szCs w:val="20"/>
          <w:color w:val="auto"/>
        </w:rPr>
        <w:t>10</w:t>
      </w:r>
    </w:p>
    <w:p>
      <w:pPr>
        <w:spacing w:after="0"/>
        <w:tabs>
          <w:tab w:leader="dot" w:pos="10400" w:val="left"/>
        </w:tabs>
        <w:rPr>
          <w:sz w:val="20"/>
          <w:szCs w:val="20"/>
          <w:color w:val="auto"/>
        </w:rPr>
      </w:pPr>
      <w:r>
        <w:rPr>
          <w:rFonts w:ascii="Times New Roman" w:cs="Times New Roman" w:eastAsia="Times New Roman" w:hAnsi="Times New Roman"/>
          <w:sz w:val="20"/>
          <w:szCs w:val="20"/>
          <w:color w:val="auto"/>
        </w:rPr>
        <w:t>Executive Officer Compensation</w:t>
      </w:r>
      <w:r>
        <w:rPr>
          <w:sz w:val="20"/>
          <w:szCs w:val="20"/>
          <w:color w:val="auto"/>
        </w:rPr>
        <w:tab/>
      </w:r>
      <w:r>
        <w:rPr>
          <w:rFonts w:ascii="Times New Roman" w:cs="Times New Roman" w:eastAsia="Times New Roman" w:hAnsi="Times New Roman"/>
          <w:sz w:val="20"/>
          <w:szCs w:val="20"/>
          <w:color w:val="auto"/>
        </w:rPr>
        <w:t>15</w:t>
      </w:r>
    </w:p>
    <w:p>
      <w:pPr>
        <w:spacing w:after="0"/>
        <w:tabs>
          <w:tab w:leader="dot" w:pos="10400" w:val="left"/>
        </w:tabs>
        <w:rPr>
          <w:sz w:val="20"/>
          <w:szCs w:val="20"/>
          <w:color w:val="auto"/>
        </w:rPr>
      </w:pPr>
      <w:r>
        <w:rPr>
          <w:rFonts w:ascii="Times New Roman" w:cs="Times New Roman" w:eastAsia="Times New Roman" w:hAnsi="Times New Roman"/>
          <w:sz w:val="20"/>
          <w:szCs w:val="20"/>
          <w:color w:val="auto"/>
        </w:rPr>
        <w:t>Director Compensation</w:t>
      </w:r>
      <w:r>
        <w:rPr>
          <w:sz w:val="20"/>
          <w:szCs w:val="20"/>
          <w:color w:val="auto"/>
        </w:rPr>
        <w:tab/>
      </w:r>
      <w:r>
        <w:rPr>
          <w:rFonts w:ascii="Times New Roman" w:cs="Times New Roman" w:eastAsia="Times New Roman" w:hAnsi="Times New Roman"/>
          <w:sz w:val="20"/>
          <w:szCs w:val="20"/>
          <w:color w:val="auto"/>
        </w:rPr>
        <w:t>23</w:t>
      </w:r>
    </w:p>
    <w:p>
      <w:pPr>
        <w:spacing w:after="0"/>
        <w:tabs>
          <w:tab w:leader="dot" w:pos="10400" w:val="left"/>
        </w:tabs>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auto"/>
        </w:rPr>
        <w:t>25</w:t>
      </w:r>
    </w:p>
    <w:p>
      <w:pPr>
        <w:spacing w:after="0"/>
        <w:tabs>
          <w:tab w:leader="dot" w:pos="10400" w:val="left"/>
        </w:tabs>
        <w:rPr>
          <w:sz w:val="20"/>
          <w:szCs w:val="20"/>
          <w:color w:val="auto"/>
        </w:rPr>
      </w:pPr>
      <w:r>
        <w:rPr>
          <w:rFonts w:ascii="Times New Roman" w:cs="Times New Roman" w:eastAsia="Times New Roman" w:hAnsi="Times New Roman"/>
          <w:sz w:val="20"/>
          <w:szCs w:val="20"/>
          <w:color w:val="auto"/>
        </w:rPr>
        <w:t>Equity Compensation Plan Information</w:t>
      </w:r>
      <w:r>
        <w:rPr>
          <w:sz w:val="20"/>
          <w:szCs w:val="20"/>
          <w:color w:val="auto"/>
        </w:rPr>
        <w:tab/>
      </w:r>
      <w:r>
        <w:rPr>
          <w:rFonts w:ascii="Times New Roman" w:cs="Times New Roman" w:eastAsia="Times New Roman" w:hAnsi="Times New Roman"/>
          <w:sz w:val="20"/>
          <w:szCs w:val="20"/>
          <w:color w:val="auto"/>
        </w:rPr>
        <w:t>27</w:t>
      </w:r>
    </w:p>
    <w:p>
      <w:pPr>
        <w:spacing w:after="0"/>
        <w:tabs>
          <w:tab w:leader="dot" w:pos="10400" w:val="left"/>
        </w:tabs>
        <w:rPr>
          <w:sz w:val="20"/>
          <w:szCs w:val="20"/>
          <w:color w:val="auto"/>
        </w:rPr>
      </w:pPr>
      <w:r>
        <w:rPr>
          <w:rFonts w:ascii="Times New Roman" w:cs="Times New Roman" w:eastAsia="Times New Roman" w:hAnsi="Times New Roman"/>
          <w:sz w:val="20"/>
          <w:szCs w:val="20"/>
          <w:color w:val="auto"/>
        </w:rPr>
        <w:t>Certain Relationships and Related Person Transactions</w:t>
      </w:r>
      <w:r>
        <w:rPr>
          <w:sz w:val="20"/>
          <w:szCs w:val="20"/>
          <w:color w:val="auto"/>
        </w:rPr>
        <w:tab/>
      </w:r>
      <w:r>
        <w:rPr>
          <w:rFonts w:ascii="Times New Roman" w:cs="Times New Roman" w:eastAsia="Times New Roman" w:hAnsi="Times New Roman"/>
          <w:sz w:val="20"/>
          <w:szCs w:val="20"/>
          <w:color w:val="auto"/>
        </w:rPr>
        <w:t>28</w:t>
      </w:r>
    </w:p>
    <w:p>
      <w:pPr>
        <w:spacing w:after="0"/>
        <w:tabs>
          <w:tab w:leader="dot" w:pos="10400" w:val="left"/>
        </w:tabs>
        <w:rPr>
          <w:sz w:val="20"/>
          <w:szCs w:val="20"/>
          <w:color w:val="auto"/>
        </w:rPr>
      </w:pPr>
      <w:r>
        <w:rPr>
          <w:rFonts w:ascii="Times New Roman" w:cs="Times New Roman" w:eastAsia="Times New Roman" w:hAnsi="Times New Roman"/>
          <w:sz w:val="20"/>
          <w:szCs w:val="20"/>
          <w:color w:val="auto"/>
        </w:rPr>
        <w:t>Audit Committee Report</w:t>
      </w:r>
      <w:r>
        <w:rPr>
          <w:sz w:val="20"/>
          <w:szCs w:val="20"/>
          <w:color w:val="auto"/>
        </w:rPr>
        <w:tab/>
      </w:r>
      <w:r>
        <w:rPr>
          <w:rFonts w:ascii="Times New Roman" w:cs="Times New Roman" w:eastAsia="Times New Roman" w:hAnsi="Times New Roman"/>
          <w:sz w:val="20"/>
          <w:szCs w:val="20"/>
          <w:color w:val="auto"/>
        </w:rPr>
        <w:t>29</w:t>
      </w:r>
    </w:p>
    <w:p>
      <w:pPr>
        <w:spacing w:after="0"/>
        <w:tabs>
          <w:tab w:leader="dot" w:pos="10400" w:val="left"/>
        </w:tabs>
        <w:rPr>
          <w:sz w:val="20"/>
          <w:szCs w:val="20"/>
          <w:color w:val="auto"/>
        </w:rPr>
      </w:pPr>
      <w:r>
        <w:rPr>
          <w:rFonts w:ascii="Times New Roman" w:cs="Times New Roman" w:eastAsia="Times New Roman" w:hAnsi="Times New Roman"/>
          <w:sz w:val="20"/>
          <w:szCs w:val="20"/>
          <w:color w:val="auto"/>
        </w:rPr>
        <w:t>Proposal No. 2: Approval, on Advisory Basis, of The Compensation Paid to Our Named Executive Officers</w:t>
      </w:r>
      <w:r>
        <w:rPr>
          <w:sz w:val="20"/>
          <w:szCs w:val="20"/>
          <w:color w:val="auto"/>
        </w:rPr>
        <w:tab/>
      </w:r>
      <w:r>
        <w:rPr>
          <w:rFonts w:ascii="Times New Roman" w:cs="Times New Roman" w:eastAsia="Times New Roman" w:hAnsi="Times New Roman"/>
          <w:sz w:val="20"/>
          <w:szCs w:val="20"/>
          <w:color w:val="auto"/>
        </w:rPr>
        <w:t>30</w:t>
      </w:r>
    </w:p>
    <w:p>
      <w:pPr>
        <w:spacing w:after="0"/>
        <w:tabs>
          <w:tab w:leader="dot" w:pos="10400" w:val="left"/>
        </w:tabs>
        <w:rPr>
          <w:sz w:val="20"/>
          <w:szCs w:val="20"/>
          <w:color w:val="auto"/>
        </w:rPr>
      </w:pPr>
      <w:r>
        <w:rPr>
          <w:rFonts w:ascii="Times New Roman" w:cs="Times New Roman" w:eastAsia="Times New Roman" w:hAnsi="Times New Roman"/>
          <w:sz w:val="20"/>
          <w:szCs w:val="20"/>
          <w:color w:val="auto"/>
        </w:rPr>
        <w:t>Proposal No. 3: Advisory Vote on the Frequency of Future Advisory Votes on Executive Compensation</w:t>
      </w:r>
      <w:r>
        <w:rPr>
          <w:sz w:val="20"/>
          <w:szCs w:val="20"/>
          <w:color w:val="auto"/>
        </w:rPr>
        <w:tab/>
      </w:r>
      <w:r>
        <w:rPr>
          <w:rFonts w:ascii="Times New Roman" w:cs="Times New Roman" w:eastAsia="Times New Roman" w:hAnsi="Times New Roman"/>
          <w:sz w:val="20"/>
          <w:szCs w:val="20"/>
          <w:color w:val="auto"/>
        </w:rPr>
        <w:t>31</w:t>
      </w:r>
    </w:p>
    <w:p>
      <w:pPr>
        <w:spacing w:after="0"/>
        <w:tabs>
          <w:tab w:leader="dot" w:pos="10400" w:val="left"/>
        </w:tabs>
        <w:rPr>
          <w:sz w:val="20"/>
          <w:szCs w:val="20"/>
          <w:color w:val="auto"/>
        </w:rPr>
      </w:pPr>
      <w:r>
        <w:rPr>
          <w:rFonts w:ascii="Times New Roman" w:cs="Times New Roman" w:eastAsia="Times New Roman" w:hAnsi="Times New Roman"/>
          <w:sz w:val="20"/>
          <w:szCs w:val="20"/>
          <w:color w:val="auto"/>
        </w:rPr>
        <w:t>Proposal No. 4: Ratification of the Selection of Independent Registered Public Accounting Firm</w:t>
      </w:r>
      <w:r>
        <w:rPr>
          <w:sz w:val="20"/>
          <w:szCs w:val="20"/>
          <w:color w:val="auto"/>
        </w:rPr>
        <w:tab/>
      </w:r>
      <w:r>
        <w:rPr>
          <w:rFonts w:ascii="Times New Roman" w:cs="Times New Roman" w:eastAsia="Times New Roman" w:hAnsi="Times New Roman"/>
          <w:sz w:val="20"/>
          <w:szCs w:val="20"/>
          <w:color w:val="auto"/>
        </w:rPr>
        <w:t>32</w:t>
      </w:r>
    </w:p>
    <w:p>
      <w:pPr>
        <w:spacing w:after="0"/>
        <w:tabs>
          <w:tab w:leader="dot" w:pos="10400" w:val="left"/>
        </w:tabs>
        <w:rPr>
          <w:sz w:val="20"/>
          <w:szCs w:val="20"/>
          <w:color w:val="auto"/>
        </w:rPr>
      </w:pPr>
      <w:r>
        <w:rPr>
          <w:rFonts w:ascii="Times New Roman" w:cs="Times New Roman" w:eastAsia="Times New Roman" w:hAnsi="Times New Roman"/>
          <w:sz w:val="20"/>
          <w:szCs w:val="20"/>
          <w:color w:val="auto"/>
        </w:rPr>
        <w:t>Corporate Governance</w:t>
      </w:r>
      <w:r>
        <w:rPr>
          <w:sz w:val="20"/>
          <w:szCs w:val="20"/>
          <w:color w:val="auto"/>
        </w:rPr>
        <w:tab/>
      </w:r>
      <w:r>
        <w:rPr>
          <w:rFonts w:ascii="Times New Roman" w:cs="Times New Roman" w:eastAsia="Times New Roman" w:hAnsi="Times New Roman"/>
          <w:sz w:val="20"/>
          <w:szCs w:val="20"/>
          <w:color w:val="auto"/>
        </w:rPr>
        <w:t>34</w:t>
      </w:r>
    </w:p>
    <w:p>
      <w:pPr>
        <w:spacing w:after="0"/>
        <w:tabs>
          <w:tab w:leader="dot" w:pos="10400" w:val="left"/>
        </w:tabs>
        <w:rPr>
          <w:sz w:val="20"/>
          <w:szCs w:val="20"/>
          <w:color w:val="auto"/>
        </w:rPr>
      </w:pPr>
      <w:r>
        <w:rPr>
          <w:rFonts w:ascii="Times New Roman" w:cs="Times New Roman" w:eastAsia="Times New Roman" w:hAnsi="Times New Roman"/>
          <w:sz w:val="20"/>
          <w:szCs w:val="20"/>
          <w:color w:val="auto"/>
        </w:rPr>
        <w:t>Stockholder Proposals</w:t>
      </w:r>
      <w:r>
        <w:rPr>
          <w:sz w:val="20"/>
          <w:szCs w:val="20"/>
          <w:color w:val="auto"/>
        </w:rPr>
        <w:tab/>
      </w:r>
      <w:r>
        <w:rPr>
          <w:rFonts w:ascii="Times New Roman" w:cs="Times New Roman" w:eastAsia="Times New Roman" w:hAnsi="Times New Roman"/>
          <w:sz w:val="20"/>
          <w:szCs w:val="20"/>
          <w:color w:val="auto"/>
        </w:rPr>
        <w:t>35</w:t>
      </w:r>
    </w:p>
    <w:p>
      <w:pPr>
        <w:spacing w:after="0"/>
        <w:tabs>
          <w:tab w:leader="dot" w:pos="10400" w:val="left"/>
        </w:tabs>
        <w:rPr>
          <w:sz w:val="20"/>
          <w:szCs w:val="20"/>
          <w:color w:val="auto"/>
        </w:rPr>
      </w:pPr>
      <w:r>
        <w:rPr>
          <w:rFonts w:ascii="Times New Roman" w:cs="Times New Roman" w:eastAsia="Times New Roman" w:hAnsi="Times New Roman"/>
          <w:sz w:val="20"/>
          <w:szCs w:val="20"/>
          <w:color w:val="auto"/>
        </w:rPr>
        <w:t>Where You Can Find More Information</w:t>
      </w:r>
      <w:r>
        <w:rPr>
          <w:sz w:val="20"/>
          <w:szCs w:val="20"/>
          <w:color w:val="auto"/>
        </w:rPr>
        <w:tab/>
      </w:r>
      <w:r>
        <w:rPr>
          <w:rFonts w:ascii="Times New Roman" w:cs="Times New Roman" w:eastAsia="Times New Roman" w:hAnsi="Times New Roman"/>
          <w:sz w:val="20"/>
          <w:szCs w:val="20"/>
          <w:color w:val="auto"/>
        </w:rPr>
        <w:t>36</w:t>
      </w:r>
    </w:p>
    <w:p>
      <w:pPr>
        <w:sectPr>
          <w:pgSz w:w="12960" w:h="17280" w:orient="portrait"/>
          <w:cols w:equalWidth="0" w:num="1">
            <w:col w:w="10760"/>
          </w:cols>
          <w:pgMar w:left="1080" w:top="1440" w:right="112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iii</w:t>
      </w:r>
    </w:p>
    <w:p>
      <w:pPr>
        <w:sectPr>
          <w:pgSz w:w="12960" w:h="17280" w:orient="portrait"/>
          <w:cols w:equalWidth="0" w:num="1">
            <w:col w:w="10760"/>
          </w:cols>
          <w:pgMar w:left="1080" w:top="1440" w:right="1120" w:bottom="906" w:gutter="0" w:footer="0" w:header="0"/>
          <w:type w:val="continuous"/>
        </w:sectPr>
      </w:pPr>
    </w:p>
    <w:bookmarkStart w:id="130" w:name="page131"/>
    <w:bookmarkEnd w:id="130"/>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LEGAL MATTERS</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Important Notice Regarding the Internet Availability of Proxy Materials for the Company’s Annual Meeting to be Held on June 17, 2026: </w:t>
      </w:r>
      <w:r>
        <w:rPr>
          <w:rFonts w:ascii="Times New Roman" w:cs="Times New Roman" w:eastAsia="Times New Roman" w:hAnsi="Times New Roman"/>
          <w:sz w:val="20"/>
          <w:szCs w:val="20"/>
          <w:b w:val="1"/>
          <w:bCs w:val="1"/>
          <w:color w:val="auto"/>
        </w:rPr>
        <w:t>This proxy statement, the accompanying proxy card or voting instruction card, and our Annual Report on Form 10-K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0"/>
          <w:szCs w:val="20"/>
          <w:b w:val="1"/>
          <w:bCs w:val="1"/>
          <w:color w:val="auto"/>
        </w:rPr>
        <w:t xml:space="preserve">for the fiscal year ended December 31, 2025 (the “2025 Annual Report”), are available to stockholders of record for reviewing, printing and downloading at www.proxyvote.com. A copy of our 2025 Annual Report, as filed with the SEC, except for exhibits, will be furnished without charge to any stockholder upon written request to Damora Therapeutics, Inc., 221 Crescent Street, Building 23, Suite 105, Waltham, MA 02453 Attention: Corporate Secretary. This proxy statement and our 2025 Annual Report are also available on the SEC’s website at </w:t>
      </w:r>
      <w:r>
        <w:rPr>
          <w:rFonts w:ascii="Times New Roman" w:cs="Times New Roman" w:eastAsia="Times New Roman" w:hAnsi="Times New Roman"/>
          <w:sz w:val="20"/>
          <w:szCs w:val="20"/>
          <w:b w:val="1"/>
          <w:bCs w:val="1"/>
          <w:u w:val="single" w:color="auto"/>
          <w:color w:val="auto"/>
        </w:rPr>
        <w:t>www.sec.gov</w:t>
      </w:r>
      <w:r>
        <w:rPr>
          <w:rFonts w:ascii="Times New Roman" w:cs="Times New Roman" w:eastAsia="Times New Roman" w:hAnsi="Times New Roman"/>
          <w:sz w:val="19"/>
          <w:szCs w:val="19"/>
          <w:b w:val="1"/>
          <w:bCs w:val="1"/>
          <w:color w:val="auto"/>
        </w:rPr>
        <w:t>.</w:t>
      </w:r>
    </w:p>
    <w:p>
      <w:pPr>
        <w:spacing w:after="0" w:line="18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Forward-Looking Statements. </w:t>
      </w:r>
      <w:r>
        <w:rPr>
          <w:rFonts w:ascii="Times New Roman" w:cs="Times New Roman" w:eastAsia="Times New Roman" w:hAnsi="Times New Roman"/>
          <w:sz w:val="20"/>
          <w:szCs w:val="20"/>
          <w:color w:val="auto"/>
        </w:rPr>
        <w:t>The Proxy Statement may contain “forward-looking statements” within the meaning of the “safe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harbor” provisions of the Private Securities Litigation Reform Act of 1995, which statements are subject to substantial risks and uncertainties and are based on estimates and assumptions. All statements other than statements of historical fact included in the Proxy Statement are forward-looking statements, including statements about the Company’s Board of Directors, corporate governance practices, executive compensation program and equity compensation utilization.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These statements involve known and unknown risks, uncertainties and other factors that could cause our actual results or outcomes to differ materially from the forward-looking statements expressed or implied in the Proxy Statement. Such risks, uncertainties and other factors include those risks described in “Risk Factors” and “Management’s Discussion and Analysis of Financial Condition and Results of Operations” in the Company’s most recent Annual Report on Form 10-K filed with the U.S. Securities and Exchange Commission (“SEC”) and other subsequent documents we file with the SEC. The Company expressly disclaims any obligation to update or alter any statements whether as a result of new information, future events or otherwise, except as required by law.</w:t>
      </w:r>
    </w:p>
    <w:p>
      <w:pPr>
        <w:spacing w:after="0" w:line="20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Website References. </w:t>
      </w:r>
      <w:r>
        <w:rPr>
          <w:rFonts w:ascii="Times New Roman" w:cs="Times New Roman" w:eastAsia="Times New Roman" w:hAnsi="Times New Roman"/>
          <w:sz w:val="20"/>
          <w:szCs w:val="20"/>
          <w:color w:val="auto"/>
        </w:rPr>
        <w:t>Website references throughout this document are inactive textual references and provided for convenience only,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the content on the referenced websites is not incorporated herein by reference and does not constitute a part of the Proxy Statement.</w:t>
      </w:r>
    </w:p>
    <w:p>
      <w:pPr>
        <w:spacing w:after="0" w:line="178"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Use of Trademarks. </w:t>
      </w:r>
      <w:r>
        <w:rPr>
          <w:rFonts w:ascii="Times New Roman" w:cs="Times New Roman" w:eastAsia="Times New Roman" w:hAnsi="Times New Roman"/>
          <w:sz w:val="20"/>
          <w:szCs w:val="20"/>
          <w:color w:val="auto"/>
        </w:rPr>
        <w:t>Damora Therapeutics is the trademark of Damora Therapeutics, Inc. Other names and brands may be claimed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property of others.</w:t>
      </w:r>
    </w:p>
    <w:p>
      <w:pPr>
        <w:spacing w:after="0" w:line="15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November 2025 Acquisition</w:t>
      </w:r>
      <w:r>
        <w:rPr>
          <w:rFonts w:ascii="Times New Roman" w:cs="Times New Roman" w:eastAsia="Times New Roman" w:hAnsi="Times New Roman"/>
          <w:sz w:val="20"/>
          <w:szCs w:val="20"/>
          <w:color w:val="auto"/>
        </w:rPr>
        <w:t>. On November 10, 2025, we acquired Damora Therapeutics, Inc. (“Damora”) (the “Asset Acquisition”)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pursuant to an Agreement and Plan of Merger (the “Acquisition Agreement”), by and among the Company, Daylight Merger Sub I, Inc., a Delaware corporation and a wholly owned subsidiary of the Company (“First Merger Sub”), Daylight Merger Sub II, LLC, a Delaware limited liability company and wholly owned subsidiary of the Company (“Second Merger Sub”), and Damora. Pursuant to the Acquisition Agreement, First Merger Sub merged with and into Damora, pursuant to which Damora was the surviving corporation and became a wholly owned subsidiary of the Company (the “First Merger”). Immediately following the First Merger, Damora merged with and into Second Merger Sub, pursuant to which Second Merger Sub was the surviving entity and continued under the name “Damora Therapeutics, LLC.” On March 10, 2026, we changed our name from “Galecto, Inc.” to “Damora Therapeutics, Inc.” and our Nasdaq ticker symbol from “GLTO” to “DMRA.”</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ectPr>
          <w:pgSz w:w="12960" w:h="17280" w:orient="portrait"/>
          <w:cols w:equalWidth="0" w:num="1">
            <w:col w:w="10800"/>
          </w:cols>
          <w:pgMar w:left="1080" w:top="1440" w:right="1080" w:bottom="895" w:gutter="0" w:footer="0" w:header="0"/>
          <w:type w:val="continuous"/>
        </w:sectPr>
      </w:pPr>
    </w:p>
    <w:bookmarkStart w:id="131" w:name="page132"/>
    <w:bookmarkEnd w:id="131"/>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DAMORA THERAPEUTICS, INC.</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221 Crescent Street</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Building 23, Suite 105</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Waltham, MA 02453</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2026 ANNUAL MEETING OF STOCKHOLDERS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TO BE HELD ON WEDNESDAY, JUNE 17, 2026</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 9:00 A.M. EASTERN TIME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When are this proxy statement and the accompanying material scheduled to be sent to stockholders?</w:t>
      </w:r>
    </w:p>
    <w:p>
      <w:pPr>
        <w:spacing w:after="0" w:line="12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have elected to provide access to our proxy materials to our stockholders via the Internet. Accordingly, on or about April 29, 2026, we will begin mailing to our stockholders a Notice of Internet Availability of Proxy Materials (“Notice of Internet Availability”) containing instructions on how to access our proxy materials, including our proxy statement and our 2025 Annual Report. The Notice of Internet Availability also instructs you on how to submit your proxy or voting instructions through the Internet or to request a paper copy of our proxy materials, including a proxy card or voting instruction form that includes instructions on how to submit your proxy or voting instructions by mail or telephone. For shares held in street name (held for your account by a broker or other nominee), you will receive a voting instruction form from your broker or nominee. Our 2025 Annual Report is available on our website at www.damoratx.com by following the link for “Investors.”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Why did I receive a Notice of Internet Availability of Proxy Materials instead of a full set of proxy materials?</w:t>
      </w:r>
    </w:p>
    <w:p>
      <w:pPr>
        <w:spacing w:after="0" w:line="12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Pursuant to rules adopted by the Securities and Exchange Commission (the “SEC”), we are providing access to our proxy materials over the Internet rather than printing and mailing the proxy materials. We believe electronic delivery will expedite the receipt of materials, will help lower our costs and reduce the environmental impact of our annual meeting materials. Therefore, a Notice of Internet Availability will be mailed to holders of record and beneficial owners of shares of our common stock starting on or about April 29, 2026. The Notice of Internet Availability will provide instructions as to how stockholders may access and review the proxy materials, including the Notice of Annual Meeting, proxy statement, proxy card, and our 2025 Annual Report, on the website referred to in the Notice of Internet Availability or, alternatively, how to request that a copy of the proxy materials, including a proxy card, be sent to stockholders by mail. The Notice of Internet Availability will also provide voting instructions. In addition, stockholders of record may request to receive the proxy materials in printed form by mail, or electronically by e-mail, on an ongoing basis for future stockholder meetings. Please note that while our proxy materials are available at the website referenced in the Notice of Internet Availability, and our Notice of Annual Meeting, proxy statement and our 2025 Annual Report are available on our website, no other information contained on either website is incorporated by reference in or considered to be a part of this document.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is soliciting my vote?</w:t>
      </w:r>
    </w:p>
    <w:p>
      <w:pPr>
        <w:spacing w:after="0" w:line="124"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color w:val="auto"/>
        </w:rPr>
        <w:t>The Board of Directors of Damora Therapeutics, Inc. (the “Board of Directors” or the “Board”) is soliciting your vote for the 2026 Annual Meeting of Stockholders (the “Annual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When is the record date for the Annual Meeting?</w:t>
      </w:r>
    </w:p>
    <w:p>
      <w:pPr>
        <w:spacing w:after="0" w:line="124"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color w:val="auto"/>
        </w:rPr>
        <w:t>The Board of Directors has fixed the record date for the Annual Meeting as of the close of business on April 22, 2026 (the “Record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many votes can be cast by all stockholders?</w:t>
      </w:r>
    </w:p>
    <w:p>
      <w:pPr>
        <w:spacing w:after="0" w:line="12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auto"/>
        </w:rPr>
        <w:t>A total of 60,303,212 shares of our common stock were outstanding on the Record Date and are entitled to be voted at the Annual Meeting. Each share of common stock is entitled to one vote on each matter and our common stock is our only class of voting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 I vote?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are a stockholder of record and your shares are registered directly in your name, you may vote:</w:t>
      </w:r>
    </w:p>
    <w:p>
      <w:pPr>
        <w:spacing w:after="0" w:line="241" w:lineRule="exact"/>
        <w:rPr>
          <w:sz w:val="20"/>
          <w:szCs w:val="20"/>
          <w:color w:val="auto"/>
        </w:rPr>
      </w:pPr>
    </w:p>
    <w:p>
      <w:pPr>
        <w:ind w:left="980" w:right="140" w:hanging="542"/>
        <w:spacing w:after="0" w:line="254" w:lineRule="auto"/>
        <w:tabs>
          <w:tab w:leader="none" w:pos="9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By Internet</w:t>
      </w:r>
      <w:r>
        <w:rPr>
          <w:rFonts w:ascii="Times New Roman" w:cs="Times New Roman" w:eastAsia="Times New Roman" w:hAnsi="Times New Roman"/>
          <w:sz w:val="20"/>
          <w:szCs w:val="20"/>
          <w:color w:val="auto"/>
        </w:rPr>
        <w:t>. Access the website of the Company’s tabulator, Broadridge, at: www.proxyvote.com, using the voter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 number printed on the furnished proxy card. Your shares will be voted in accordance with your instructions. You must specify how you want your shares voted or your Internet vote cannot be completed and you will receive an error message. If you vote on the Internet, you may also request electronic delivery of future proxy materials.</w:t>
      </w:r>
    </w:p>
    <w:p>
      <w:pPr>
        <w:sectPr>
          <w:pgSz w:w="12960" w:h="17280" w:orient="portrait"/>
          <w:cols w:equalWidth="0" w:num="1">
            <w:col w:w="10780"/>
          </w:cols>
          <w:pgMar w:left="1080" w:top="1440" w:right="1100" w:bottom="751" w:gutter="0" w:footer="0" w:header="0"/>
        </w:sectPr>
      </w:pP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ectPr>
          <w:pgSz w:w="12960" w:h="17280" w:orient="portrait"/>
          <w:cols w:equalWidth="0" w:num="1">
            <w:col w:w="10780"/>
          </w:cols>
          <w:pgMar w:left="1080" w:top="1440" w:right="1100" w:bottom="751" w:gutter="0" w:footer="0" w:header="0"/>
          <w:type w:val="continuous"/>
        </w:sectPr>
      </w:pPr>
    </w:p>
    <w:bookmarkStart w:id="132" w:name="page133"/>
    <w:bookmarkEnd w:id="132"/>
    <w:p>
      <w:pPr>
        <w:spacing w:after="0" w:line="200" w:lineRule="exact"/>
        <w:rPr>
          <w:sz w:val="20"/>
          <w:szCs w:val="20"/>
          <w:color w:val="auto"/>
        </w:rPr>
      </w:pPr>
    </w:p>
    <w:p>
      <w:pPr>
        <w:spacing w:after="0" w:line="362" w:lineRule="exact"/>
        <w:rPr>
          <w:sz w:val="20"/>
          <w:szCs w:val="20"/>
          <w:color w:val="auto"/>
        </w:rPr>
      </w:pPr>
    </w:p>
    <w:p>
      <w:pPr>
        <w:ind w:left="980" w:right="120" w:hanging="542"/>
        <w:spacing w:after="0" w:line="261" w:lineRule="auto"/>
        <w:tabs>
          <w:tab w:leader="none" w:pos="9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By Telephone</w:t>
      </w:r>
      <w:r>
        <w:rPr>
          <w:rFonts w:ascii="Times New Roman" w:cs="Times New Roman" w:eastAsia="Times New Roman" w:hAnsi="Times New Roman"/>
          <w:sz w:val="20"/>
          <w:szCs w:val="20"/>
          <w:color w:val="auto"/>
        </w:rPr>
        <w:t>. Call 1-800-690-6903 toll-free from the U.S., U.S. territories and Canada, and follow the instructions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enclosed proxy card. Your shares will be voted in accordance with your instructions. You must specify how you want your shares voted or your telephone vote cannot be completed.</w:t>
      </w:r>
    </w:p>
    <w:p>
      <w:pPr>
        <w:spacing w:after="0" w:line="299" w:lineRule="exact"/>
        <w:rPr>
          <w:rFonts w:ascii="Times New Roman" w:cs="Times New Roman" w:eastAsia="Times New Roman" w:hAnsi="Times New Roman"/>
          <w:sz w:val="20"/>
          <w:szCs w:val="20"/>
          <w:color w:val="auto"/>
        </w:rPr>
      </w:pPr>
    </w:p>
    <w:p>
      <w:pPr>
        <w:ind w:left="980" w:right="100" w:hanging="542"/>
        <w:spacing w:after="0" w:line="244" w:lineRule="auto"/>
        <w:tabs>
          <w:tab w:leader="none" w:pos="9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By Mail</w:t>
      </w:r>
      <w:r>
        <w:rPr>
          <w:rFonts w:ascii="Times New Roman" w:cs="Times New Roman" w:eastAsia="Times New Roman" w:hAnsi="Times New Roman"/>
          <w:sz w:val="20"/>
          <w:szCs w:val="20"/>
          <w:color w:val="auto"/>
        </w:rPr>
        <w:t>. Complete and mail a proxy card in the enclosed postage prepaid envelope to Broadridge. Your proxy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voted in accordance with your instructions. If you sign and return the enclosed proxy card but do not specify how you want your shares voted, they will be voted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the director nominees named herein to the Company’s Board of Directors,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the compensation paid to our named executives,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a frequency of “</w:t>
      </w:r>
      <w:r>
        <w:rPr>
          <w:rFonts w:ascii="Times New Roman" w:cs="Times New Roman" w:eastAsia="Times New Roman" w:hAnsi="Times New Roman"/>
          <w:sz w:val="20"/>
          <w:szCs w:val="20"/>
          <w:b w:val="1"/>
          <w:bCs w:val="1"/>
          <w:color w:val="auto"/>
        </w:rPr>
        <w:t>ONE YEAR</w:t>
      </w:r>
      <w:r>
        <w:rPr>
          <w:rFonts w:ascii="Times New Roman" w:cs="Times New Roman" w:eastAsia="Times New Roman" w:hAnsi="Times New Roman"/>
          <w:sz w:val="20"/>
          <w:szCs w:val="20"/>
          <w:color w:val="auto"/>
        </w:rPr>
        <w:t xml:space="preserve">” for </w:t>
      </w:r>
      <w:r>
        <w:rPr>
          <w:rFonts w:ascii="Times New Roman" w:cs="Times New Roman" w:eastAsia="Times New Roman" w:hAnsi="Times New Roman"/>
          <w:sz w:val="19"/>
          <w:szCs w:val="19"/>
          <w:color w:val="auto"/>
        </w:rPr>
        <w:t>future advisory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votes to approve the compensation paid to our named executive officers</w:t>
      </w:r>
      <w:r>
        <w:rPr>
          <w:rFonts w:ascii="Times New Roman" w:cs="Times New Roman" w:eastAsia="Times New Roman" w:hAnsi="Times New Roman"/>
          <w:sz w:val="20"/>
          <w:szCs w:val="20"/>
          <w:color w:val="auto"/>
        </w:rPr>
        <w:t>,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the ratification of Ernst &amp; Young LLP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as the Company’s independent registered public accounting firm for the fiscal year ending December 31, 2026, and will be voted according to the discretion of the proxy holder upon any other business that may properly be brought before the meeting and at all adjournments and postponements thereof. If you are mailed or otherwise receive or obtain a proxy card or voting instruction form, and you choose to vote by telephone or by Internet, you do not have to return your proxy card or voting instruction form.</w:t>
      </w:r>
    </w:p>
    <w:p>
      <w:pPr>
        <w:spacing w:after="0" w:line="321" w:lineRule="exact"/>
        <w:rPr>
          <w:rFonts w:ascii="Times New Roman" w:cs="Times New Roman" w:eastAsia="Times New Roman" w:hAnsi="Times New Roman"/>
          <w:sz w:val="20"/>
          <w:szCs w:val="20"/>
          <w:color w:val="auto"/>
        </w:rPr>
      </w:pPr>
    </w:p>
    <w:p>
      <w:pPr>
        <w:ind w:left="980" w:right="560" w:hanging="542"/>
        <w:spacing w:after="0" w:line="281" w:lineRule="auto"/>
        <w:tabs>
          <w:tab w:leader="none" w:pos="9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By Internet at the Annual Meeting</w:t>
      </w:r>
      <w:r>
        <w:rPr>
          <w:rFonts w:ascii="Times New Roman" w:cs="Times New Roman" w:eastAsia="Times New Roman" w:hAnsi="Times New Roman"/>
          <w:sz w:val="20"/>
          <w:szCs w:val="20"/>
          <w:color w:val="auto"/>
        </w:rPr>
        <w:t>. Instructions on how to attend and vote at the Annual Meeting are described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www.virtualshareholdermeeting.com/DMRA2026.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your shares are held in street name (held for your account by a broker or other nominee):</w:t>
      </w:r>
    </w:p>
    <w:p>
      <w:pPr>
        <w:spacing w:after="0" w:line="121" w:lineRule="exact"/>
        <w:rPr>
          <w:sz w:val="20"/>
          <w:szCs w:val="20"/>
          <w:color w:val="auto"/>
        </w:rPr>
      </w:pPr>
    </w:p>
    <w:p>
      <w:pPr>
        <w:ind w:left="980" w:right="280" w:hanging="542"/>
        <w:spacing w:after="0" w:line="281" w:lineRule="auto"/>
        <w:tabs>
          <w:tab w:leader="none" w:pos="9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By Internet or By Telephone</w:t>
      </w:r>
      <w:r>
        <w:rPr>
          <w:rFonts w:ascii="Times New Roman" w:cs="Times New Roman" w:eastAsia="Times New Roman" w:hAnsi="Times New Roman"/>
          <w:sz w:val="20"/>
          <w:szCs w:val="20"/>
          <w:color w:val="auto"/>
        </w:rPr>
        <w:t>. You will receive instructions from your broker or other nominee if you are permitted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vote by Internet or telephone.</w:t>
      </w:r>
    </w:p>
    <w:p>
      <w:pPr>
        <w:spacing w:after="0" w:line="281" w:lineRule="exact"/>
        <w:rPr>
          <w:rFonts w:ascii="Times New Roman" w:cs="Times New Roman" w:eastAsia="Times New Roman" w:hAnsi="Times New Roman"/>
          <w:sz w:val="20"/>
          <w:szCs w:val="20"/>
          <w:color w:val="auto"/>
        </w:rPr>
      </w:pPr>
    </w:p>
    <w:p>
      <w:pPr>
        <w:ind w:left="980" w:hanging="542"/>
        <w:spacing w:after="0"/>
        <w:tabs>
          <w:tab w:leader="none" w:pos="9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By Mail</w:t>
      </w:r>
      <w:r>
        <w:rPr>
          <w:rFonts w:ascii="Times New Roman" w:cs="Times New Roman" w:eastAsia="Times New Roman" w:hAnsi="Times New Roman"/>
          <w:sz w:val="20"/>
          <w:szCs w:val="20"/>
          <w:color w:val="auto"/>
        </w:rPr>
        <w:t>. You will receive instructions from your broker or other nominee explaining how to vote your shares by mail.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 I attend the Annual Meeting?</w:t>
      </w:r>
    </w:p>
    <w:p>
      <w:pPr>
        <w:spacing w:after="0" w:line="12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Annual Meeting will be a completely virtual meeting of stockholders, which will be conducted exclusively by webcast. You will not be able to attend the Annual Meeting in person. Participation in the Annual Meeting, with the right to vote and submit questions, is limited to stockholders (both stockholders of record and beneficial holders) as of the close of business on the Record Date. You will be able to attend the Annual Meeting online and submit your questions during the meeting by visiting www.virtualshareholdermeeting.com/DMRA2026. The webcast will start at 9:00 a.m. Eastern Time on Wednesday, June 17, 2026. Stockholders may vote and ask questions while attending the Annual Meeting online. In order to be able to attend the Annual Meeting, you will need the 16-digit control number, which is located on your proxy card or in the instructions accompanying your proxy materials. Instructions on how to participate in the Annual Meeting are also posted online at www.proxyvote.com.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are the Board of Director’s recommendations on how to vote my shares?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 recommends a vote: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Proposal 1: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the election of two Class III director nominees (page 6)</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Proposal 2: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the approval, </w:t>
      </w:r>
      <w:r>
        <w:rPr>
          <w:rFonts w:ascii="Times New Roman" w:cs="Times New Roman" w:eastAsia="Times New Roman" w:hAnsi="Times New Roman"/>
          <w:sz w:val="19"/>
          <w:szCs w:val="19"/>
          <w:color w:val="auto"/>
        </w:rPr>
        <w:t>on an advisory basis, of the compensation paid to our named executive officers</w:t>
      </w:r>
      <w:r>
        <w:rPr>
          <w:rFonts w:ascii="Times New Roman" w:cs="Times New Roman" w:eastAsia="Times New Roman" w:hAnsi="Times New Roman"/>
          <w:sz w:val="20"/>
          <w:szCs w:val="20"/>
          <w:color w:val="auto"/>
        </w:rPr>
        <w:t xml:space="preserve"> (page 30)</w:t>
      </w:r>
    </w:p>
    <w:p>
      <w:pPr>
        <w:spacing w:after="0" w:line="2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20"/>
          <w:szCs w:val="20"/>
          <w:color w:val="auto"/>
        </w:rPr>
        <w:t xml:space="preserve">Proposal 3: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the frequency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ONE YEAR</w:t>
      </w:r>
      <w:r>
        <w:rPr>
          <w:rFonts w:ascii="Times New Roman" w:cs="Times New Roman" w:eastAsia="Times New Roman" w:hAnsi="Times New Roman"/>
          <w:sz w:val="20"/>
          <w:szCs w:val="20"/>
          <w:color w:val="auto"/>
        </w:rPr>
        <w:t xml:space="preserve">” for </w:t>
      </w:r>
      <w:r>
        <w:rPr>
          <w:rFonts w:ascii="Times New Roman" w:cs="Times New Roman" w:eastAsia="Times New Roman" w:hAnsi="Times New Roman"/>
          <w:sz w:val="19"/>
          <w:szCs w:val="19"/>
          <w:color w:val="auto"/>
        </w:rPr>
        <w:t>future advisory votes to approve the compensation paid to our named executive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officers </w:t>
      </w:r>
      <w:r>
        <w:rPr>
          <w:rFonts w:ascii="Times New Roman" w:cs="Times New Roman" w:eastAsia="Times New Roman" w:hAnsi="Times New Roman"/>
          <w:sz w:val="20"/>
          <w:szCs w:val="20"/>
          <w:color w:val="auto"/>
        </w:rPr>
        <w:t>(page 31)</w:t>
      </w:r>
    </w:p>
    <w:p>
      <w:pPr>
        <w:spacing w:after="0" w:line="16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auto"/>
        </w:rPr>
        <w:t xml:space="preserve">Proposal 4: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ratification of the selection of Ernst &amp; Young LLP as the Company’s independent registered public accounting firm (page 32)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pays the cost for soliciting proxies?</w:t>
      </w:r>
    </w:p>
    <w:p>
      <w:pPr>
        <w:spacing w:after="0" w:line="124"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The Company will pay the cost for the solicitation of proxies by the Board of Directors. The solicitation of proxies will be made primarily by mail and through internet access to materials. Proxies may also be solicited personally, by telephone, fax or e-mail by employees of the Company without any remuneration to such individuals other than their regular compensation. The Company may also reimburse brokers, banks, custodians, other nominees, and fiduciaries for forwarding these materials to their principals to obtain the authorization for the execution of proxies.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 my shares be voted if I do not return my proxy?</w:t>
      </w:r>
    </w:p>
    <w:p>
      <w:pPr>
        <w:sectPr>
          <w:pgSz w:w="12960" w:h="17280" w:orient="portrait"/>
          <w:cols w:equalWidth="0" w:num="1">
            <w:col w:w="10800"/>
          </w:cols>
          <w:pgMar w:left="1080" w:top="1440" w:right="1080" w:bottom="751" w:gutter="0" w:footer="0" w:header="0"/>
        </w:sectPr>
      </w:pP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960" w:h="17280" w:orient="portrait"/>
          <w:cols w:equalWidth="0" w:num="1">
            <w:col w:w="10800"/>
          </w:cols>
          <w:pgMar w:left="1080" w:top="1440" w:right="1080" w:bottom="751" w:gutter="0" w:footer="0" w:header="0"/>
          <w:type w:val="continuous"/>
        </w:sectPr>
      </w:pPr>
    </w:p>
    <w:bookmarkStart w:id="133" w:name="page134"/>
    <w:bookmarkEnd w:id="133"/>
    <w:p>
      <w:pPr>
        <w:spacing w:after="0" w:line="21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If your shares are registered directly in your name, your shares will not be voted if you do not vote over the Internet, by telephone, by returning your proxy or by ballot at the Annual Meeting. If your shares are held in street name, your bank, broker or other nominee may under certain circumstances vote your shares if you do not timely return your proxy. Banks, brokers and other nominees can vote customers’ unvoted shares on routine matters but cannot vote such shares on non-routine matters. If you do not timely return a proxy to your bank, broker or other nominee to vote your shares, your bank, broker or other nominee may, on routine matters, either vote your shares or leave your shares unvoted. Your bank, broker or other nominee cannot vote your shares on any non-routine matter. Whether a proposal is considered routine or non-routine is subject to stock exchange rules and final determination by the stock exchange. Even with respect to routine matters, some brokers choose not to exercise their discretionary voting authority. As a result, we urge you to direct your broker, fiduciary or custodian how to vote your shares on all proposals to ensure that your vote is counted. See “</w:t>
      </w:r>
      <w:r>
        <w:rPr>
          <w:rFonts w:ascii="Times New Roman" w:cs="Times New Roman" w:eastAsia="Times New Roman" w:hAnsi="Times New Roman"/>
          <w:sz w:val="20"/>
          <w:szCs w:val="20"/>
          <w:b w:val="1"/>
          <w:bCs w:val="1"/>
          <w:color w:val="auto"/>
        </w:rPr>
        <w:t>What vote is required to approve each item and how are votes counted?</w:t>
      </w:r>
      <w:r>
        <w:rPr>
          <w:rFonts w:ascii="Times New Roman" w:cs="Times New Roman" w:eastAsia="Times New Roman" w:hAnsi="Times New Roman"/>
          <w:sz w:val="20"/>
          <w:szCs w:val="20"/>
          <w:color w:val="auto"/>
        </w:rPr>
        <w:t>” below.</w:t>
      </w:r>
    </w:p>
    <w:p>
      <w:pPr>
        <w:spacing w:after="0" w:line="202"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20"/>
          <w:szCs w:val="20"/>
          <w:color w:val="auto"/>
        </w:rPr>
        <w:t>We encourage you to provide voting instructions to your bank, broker or other nominee by giving your proxy to them. This ensures that your shares will be voted at the Annual Meeting according to your instructions. You should receive directions from your bank, broker or other nominee about how to submit your proxy to them at the time you receive this proxy statement.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Can I change my vote?</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You may revoke your proxy at any time before it is voted by notifying our Corporate Secretary in writing, by returning a signed proxy with a later date, by transmitting a subsequent vote over the Internet or by telephone prior to the close of the Internet voting facility or the telephone voting facility. You may also attend the virtual meeting and vote during the meeting. If your stock is held in street name, you must contact your broker or nominee for instructions as to how to change your vote.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is a quorum reached?</w:t>
      </w:r>
    </w:p>
    <w:p>
      <w:pPr>
        <w:spacing w:after="0" w:line="12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presence, by virtual attendance or by proxy, of holders of at least 33 1/3% of the total number of outstanding shares entitled to vote is necessary to constitute a quorum for the transaction of business at the Annual Meeting. If there is no quorum, the chairman of the Annual Meeting or a majority of the shares present at the Annual Meeting may adjourn the meeting to a later date. Withheld votes, abstentions and broker non-votes will be counted for purposes of determining whether a quorum is present for the transaction of business at the meeting.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vote is required to approve each item and how are votes counted?</w:t>
      </w:r>
    </w:p>
    <w:p>
      <w:pPr>
        <w:spacing w:after="0" w:line="12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Votes cast by proxy or online at the Annual Meeting will be counted by the persons appointed by the Company to act as tabulators for the meeting. The tabulators will count all votes FOR and AGAINST, abstentions and broker non-votes, as applicable, for each matter to be voted on at the Annual Meeting. Abstentions and broker non-votes, if any, are not counted as votes cast and, therefore, will have no effect on the outcome of Proposals 1, 2, 3 and 4.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210" w:lineRule="exact"/>
        <w:rPr>
          <w:sz w:val="20"/>
          <w:szCs w:val="20"/>
          <w:color w:val="auto"/>
        </w:rPr>
      </w:pPr>
    </w:p>
    <w:p>
      <w:pPr>
        <w:ind w:left="720" w:hanging="360"/>
        <w:spacing w:after="0"/>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Proposal 1 - Election of two Class III director nominees</w:t>
      </w:r>
    </w:p>
    <w:p>
      <w:pPr>
        <w:spacing w:after="0" w:line="123" w:lineRule="exact"/>
        <w:rPr>
          <w:rFonts w:ascii="Arial" w:cs="Arial" w:eastAsia="Arial" w:hAnsi="Arial"/>
          <w:sz w:val="20"/>
          <w:szCs w:val="20"/>
          <w:color w:val="auto"/>
        </w:rPr>
      </w:pPr>
    </w:p>
    <w:p>
      <w:pPr>
        <w:ind w:left="720" w:right="200"/>
        <w:spacing w:after="0" w:line="277" w:lineRule="auto"/>
        <w:rPr>
          <w:rFonts w:ascii="Arial" w:cs="Arial" w:eastAsia="Arial" w:hAnsi="Arial"/>
          <w:sz w:val="20"/>
          <w:szCs w:val="20"/>
          <w:color w:val="auto"/>
        </w:rPr>
      </w:pPr>
      <w:r>
        <w:rPr>
          <w:rFonts w:ascii="Times New Roman" w:cs="Times New Roman" w:eastAsia="Times New Roman" w:hAnsi="Times New Roman"/>
          <w:sz w:val="20"/>
          <w:szCs w:val="20"/>
          <w:color w:val="auto"/>
        </w:rPr>
        <w:t>The nominees for director to receive the highest number of votes FOR election will be elected as a director. This is called a plurality. You may:</w:t>
      </w:r>
    </w:p>
    <w:p>
      <w:pPr>
        <w:spacing w:after="0" w:line="183" w:lineRule="exact"/>
        <w:rPr>
          <w:rFonts w:ascii="Arial" w:cs="Arial" w:eastAsia="Arial" w:hAnsi="Arial"/>
          <w:sz w:val="20"/>
          <w:szCs w:val="20"/>
          <w:color w:val="auto"/>
        </w:rPr>
      </w:pPr>
    </w:p>
    <w:p>
      <w:pPr>
        <w:ind w:left="1080" w:hanging="360"/>
        <w:spacing w:after="0"/>
        <w:tabs>
          <w:tab w:leader="none" w:pos="1080" w:val="left"/>
        </w:tabs>
        <w:numPr>
          <w:ilvl w:val="1"/>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vote FOR the nominee; or</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1"/>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WITHHOLD your vote from the nominee</w:t>
      </w:r>
    </w:p>
    <w:p>
      <w:pPr>
        <w:spacing w:after="0" w:line="239" w:lineRule="exact"/>
        <w:rPr>
          <w:sz w:val="20"/>
          <w:szCs w:val="20"/>
          <w:color w:val="auto"/>
        </w:rPr>
      </w:pPr>
    </w:p>
    <w:p>
      <w:pPr>
        <w:ind w:left="720" w:right="140"/>
        <w:spacing w:after="0" w:line="277" w:lineRule="auto"/>
        <w:rPr>
          <w:sz w:val="20"/>
          <w:szCs w:val="20"/>
          <w:color w:val="auto"/>
        </w:rPr>
      </w:pPr>
      <w:r>
        <w:rPr>
          <w:rFonts w:ascii="Times New Roman" w:cs="Times New Roman" w:eastAsia="Times New Roman" w:hAnsi="Times New Roman"/>
          <w:sz w:val="20"/>
          <w:szCs w:val="20"/>
          <w:color w:val="auto"/>
        </w:rPr>
        <w:t>Votes that are withheld will not be included in the vote tally for the election of directors and will not affect the results of the vote.</w:t>
      </w:r>
    </w:p>
    <w:p>
      <w:pPr>
        <w:spacing w:after="0" w:line="180" w:lineRule="exact"/>
        <w:rPr>
          <w:sz w:val="20"/>
          <w:szCs w:val="20"/>
          <w:color w:val="auto"/>
        </w:rPr>
      </w:pPr>
    </w:p>
    <w:p>
      <w:pPr>
        <w:ind w:left="720" w:hanging="360"/>
        <w:spacing w:after="0"/>
        <w:tabs>
          <w:tab w:leader="none" w:pos="7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Proposal 2 - Approval, on an advisory basis, of the compensation paid to our named executive officers</w:t>
      </w:r>
    </w:p>
    <w:p>
      <w:pPr>
        <w:spacing w:after="0" w:line="123" w:lineRule="exact"/>
        <w:rPr>
          <w:rFonts w:ascii="Arial" w:cs="Arial" w:eastAsia="Arial" w:hAnsi="Arial"/>
          <w:sz w:val="20"/>
          <w:szCs w:val="20"/>
          <w:color w:val="auto"/>
        </w:rPr>
      </w:pPr>
    </w:p>
    <w:p>
      <w:pPr>
        <w:ind w:left="720" w:right="280"/>
        <w:spacing w:after="0" w:line="258" w:lineRule="auto"/>
        <w:rPr>
          <w:rFonts w:ascii="Arial" w:cs="Arial" w:eastAsia="Arial" w:hAnsi="Arial"/>
          <w:sz w:val="20"/>
          <w:szCs w:val="20"/>
          <w:color w:val="auto"/>
        </w:rPr>
      </w:pPr>
      <w:r>
        <w:rPr>
          <w:rFonts w:ascii="Times New Roman" w:cs="Times New Roman" w:eastAsia="Times New Roman" w:hAnsi="Times New Roman"/>
          <w:sz w:val="20"/>
          <w:szCs w:val="20"/>
          <w:color w:val="auto"/>
        </w:rPr>
        <w:t>To approve Proposal 2, holders of at least a majority of the votes cast on the matter must vote FOR the proposal. For the approval, on an advisory basis, of the compensation paid to our named executive officers, the votes cast FOR must exceed the votes cast AGAINST.</w:t>
      </w:r>
    </w:p>
    <w:p>
      <w:pPr>
        <w:spacing w:after="0" w:line="198" w:lineRule="exact"/>
        <w:rPr>
          <w:rFonts w:ascii="Arial" w:cs="Arial" w:eastAsia="Arial" w:hAnsi="Arial"/>
          <w:sz w:val="20"/>
          <w:szCs w:val="20"/>
          <w:color w:val="auto"/>
        </w:rPr>
      </w:pPr>
    </w:p>
    <w:p>
      <w:pPr>
        <w:ind w:left="720" w:right="20" w:hanging="360"/>
        <w:spacing w:after="0" w:line="285" w:lineRule="auto"/>
        <w:tabs>
          <w:tab w:leader="none" w:pos="7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Proposal 3 - Recommendation, by an advisory, non-binding vote, on the frequency of future advisory votes to approve the compensation paid to our named executive officers</w:t>
      </w:r>
    </w:p>
    <w:p>
      <w:pPr>
        <w:spacing w:after="0" w:line="36" w:lineRule="exact"/>
        <w:rPr>
          <w:rFonts w:ascii="Arial" w:cs="Arial" w:eastAsia="Arial" w:hAnsi="Arial"/>
          <w:sz w:val="20"/>
          <w:szCs w:val="20"/>
          <w:color w:val="auto"/>
        </w:rPr>
      </w:pPr>
    </w:p>
    <w:p>
      <w:pPr>
        <w:ind w:left="720" w:right="60"/>
        <w:spacing w:after="0" w:line="278" w:lineRule="auto"/>
        <w:rPr>
          <w:rFonts w:ascii="Arial" w:cs="Arial" w:eastAsia="Arial" w:hAnsi="Arial"/>
          <w:sz w:val="20"/>
          <w:szCs w:val="20"/>
          <w:color w:val="auto"/>
        </w:rPr>
      </w:pPr>
      <w:r>
        <w:rPr>
          <w:rFonts w:ascii="Times New Roman" w:cs="Times New Roman" w:eastAsia="Times New Roman" w:hAnsi="Times New Roman"/>
          <w:sz w:val="19"/>
          <w:szCs w:val="19"/>
          <w:color w:val="auto"/>
        </w:rPr>
        <w:t>Stockholders may vote for the frequency of “One Year,” “Two Years,” or “Three Years” with respect to Proposal 3. Because this Proposal has three choices, it is possible that no choice will receive a majority of the votes cast. Therefore, our board of directors will consider the choice that receives the highest number of votes as the choice supported by our stockholders.</w:t>
      </w:r>
    </w:p>
    <w:p>
      <w:pPr>
        <w:sectPr>
          <w:pgSz w:w="12960" w:h="17280" w:orient="portrait"/>
          <w:cols w:equalWidth="0" w:num="1">
            <w:col w:w="10780"/>
          </w:cols>
          <w:pgMar w:left="1080" w:top="1440" w:right="1100" w:bottom="751" w:gutter="0" w:footer="0" w:header="0"/>
        </w:sectPr>
      </w:pP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2960" w:h="17280" w:orient="portrait"/>
          <w:cols w:equalWidth="0" w:num="1">
            <w:col w:w="10780"/>
          </w:cols>
          <w:pgMar w:left="1080" w:top="1440" w:right="1100" w:bottom="751" w:gutter="0" w:footer="0" w:header="0"/>
          <w:type w:val="continuous"/>
        </w:sectPr>
      </w:pPr>
    </w:p>
    <w:bookmarkStart w:id="134" w:name="page135"/>
    <w:bookmarkEnd w:id="134"/>
    <w:p>
      <w:pPr>
        <w:spacing w:after="0" w:line="221" w:lineRule="exact"/>
        <w:rPr>
          <w:sz w:val="20"/>
          <w:szCs w:val="20"/>
          <w:color w:val="auto"/>
        </w:rPr>
      </w:pPr>
    </w:p>
    <w:p>
      <w:pPr>
        <w:ind w:left="720" w:hanging="360"/>
        <w:spacing w:after="0"/>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Proposal 4 - Ratification of selection of Ernst &amp; Young LLP as our independent registered public accounting firm</w:t>
      </w:r>
    </w:p>
    <w:p>
      <w:pPr>
        <w:spacing w:after="0" w:line="123" w:lineRule="exact"/>
        <w:rPr>
          <w:rFonts w:ascii="Arial" w:cs="Arial" w:eastAsia="Arial" w:hAnsi="Arial"/>
          <w:sz w:val="20"/>
          <w:szCs w:val="20"/>
          <w:color w:val="auto"/>
        </w:rPr>
      </w:pPr>
    </w:p>
    <w:p>
      <w:pPr>
        <w:ind w:left="720" w:right="200"/>
        <w:spacing w:after="0" w:line="258" w:lineRule="auto"/>
        <w:rPr>
          <w:rFonts w:ascii="Arial" w:cs="Arial" w:eastAsia="Arial" w:hAnsi="Arial"/>
          <w:sz w:val="20"/>
          <w:szCs w:val="20"/>
          <w:color w:val="auto"/>
        </w:rPr>
      </w:pPr>
      <w:r>
        <w:rPr>
          <w:rFonts w:ascii="Times New Roman" w:cs="Times New Roman" w:eastAsia="Times New Roman" w:hAnsi="Times New Roman"/>
          <w:sz w:val="20"/>
          <w:szCs w:val="20"/>
          <w:color w:val="auto"/>
        </w:rPr>
        <w:t>To approve Proposal 4, holders of at least a majority of the votes cast on the matter must vote FOR the proposal. For the ratification of the selection of Ernst &amp; Young LLP as our independent registered public accounting firm for our 2026 fiscal year, the votes cast FOR must exceed the votes cast AGAINST.</w:t>
      </w:r>
    </w:p>
    <w:p>
      <w:pPr>
        <w:spacing w:after="0" w:line="188"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If there are insufficient votes to approve the Proposals, the chairman of the Annual Meeting may adjourn the Annual Meeting or your proxy may be voted by the persons named in the proxy to adjourn the Annual Meeting in order to solicit additional proxies in favor of the approval of such proposal.</w:t>
      </w:r>
    </w:p>
    <w:p>
      <w:pPr>
        <w:spacing w:after="0" w:line="188"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20"/>
          <w:szCs w:val="20"/>
          <w:color w:val="auto"/>
        </w:rPr>
        <w:t>The corporate actions described in this Proxy Statement will not afford stockholders the opportunity to dissent from the actions described herein or to receive an agreed or judicially appraised value for their shares.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Could other matters be decided at the Annual Meeting?</w:t>
      </w:r>
    </w:p>
    <w:p>
      <w:pPr>
        <w:spacing w:after="0" w:line="124"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auto"/>
        </w:rPr>
        <w:t>The Company does not know of any other matters that may be presented for action at the Annual Meeting. Should any other business come before the meeting, the persons named on the enclosed proxy will have discretionary authority to vote the shares represented by such proxies in accordance with their best judgment.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happens if the meeting is postponed or adjourned?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 proxy may be voted at the postponed or adjourned meeting. You will still be able to change your proxy until it is voted.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can I find out the results of the voting at the Annual Meeting?</w:t>
      </w:r>
    </w:p>
    <w:p>
      <w:pPr>
        <w:spacing w:after="0" w:line="124"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color w:val="auto"/>
        </w:rPr>
        <w:t>Preliminary voting results will be announced at the Annual Meeting. Final voting results will be published in a Current Report on Form 8-K (“Form 8-K”), that we expect to file with the SEC within four business days after the Annual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does it mean if I receive more than one proxy card or voting instruction form?</w:t>
      </w:r>
    </w:p>
    <w:p>
      <w:pPr>
        <w:spacing w:after="0" w:line="124"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color w:val="auto"/>
        </w:rPr>
        <w:t>It means that you have multiple accounts at the transfer agent or with brokers. Please complete and return all proxy cards or voting instruction forms to ensure that all of your shares are voted.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Submitting Questions at the Annual Meeting</w:t>
      </w:r>
    </w:p>
    <w:p>
      <w:pPr>
        <w:spacing w:after="0" w:line="13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During the Annual Meeting, if you have your 16-digit control number and wish to ask a question, you may do so by clicking the Q&amp;A button on the virtual meeting platform and entering your question in the field provided in the web portal at or before the time the matters are before the Annual Meeting for consideration. We will endeavor to answer as many stockholder-submitted questions as time permits that comply with the Annual Meeting’s Rules of Conduct.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Annual Meeting will be governed by the Annual Meeting’s Rules of Conduct and will address the ability of stockholders to ask questions during the meeting and rules for how questions will be recognized and addressed. Please review the Annual Meeting’s Rules of Conduct for further details. The Annual Meeting’s Rules of Conduct will be posted on www.virtualshareholdermeeting.com/DMRA2026 approximately two weeks prior to the date of the Annual Meeting.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if I have technical difficulties or trouble accessing the Annual Meeting?</w:t>
      </w:r>
    </w:p>
    <w:p>
      <w:pPr>
        <w:spacing w:after="0" w:line="124"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color w:val="auto"/>
        </w:rPr>
        <w:t>If you encounter any technical difficulties with the virtual meeting platform on the meeting day, please call the technical support number that will be posted on the virtual stockholder meeting log-in page. Technical support will be available starting at 8:45 a.m. Eastern Time on Wednesday, June 17, 2026, and will remain available until the Annual Meeting has ended.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Implications of being a smaller reporting company.</w:t>
      </w:r>
    </w:p>
    <w:p>
      <w:pPr>
        <w:spacing w:after="0" w:line="124"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We are a “smaller reporting company,” meaning that the market value of our stock held by non-affiliates was less than $700 million and our annual revenue was less than $100 million during our most recently completed fiscal year as of the end of our most recently completed second fiscal quarter. We may continue to be a smaller reporting company if either (i) the market value of our shares held by non-affiliates is less than $250 million or (ii) if the market value of our shares held by non-affiliates is more than $250 million but less than $700 million and our annual revenue was less than $100 million during the most recently completed fiscal year. If we are a smaller reporting company at the time we cease to be an emerging growth company, we may continue to rely on exemptions from certain disclosure requirements that are available to smaller reporting companies. For so long as we remain a smaller reporting company, we are permitted and intend to rely on exemptions from certain disclosure and other requirements that are applicable to other public companies that are not smaller reporting companies.</w:t>
      </w:r>
    </w:p>
    <w:p>
      <w:pPr>
        <w:sectPr>
          <w:pgSz w:w="12960" w:h="17280" w:orient="portrait"/>
          <w:cols w:equalWidth="0" w:num="1">
            <w:col w:w="10780"/>
          </w:cols>
          <w:pgMar w:left="1080" w:top="1440" w:right="1100" w:bottom="751" w:gutter="0" w:footer="0" w:header="0"/>
        </w:sectPr>
      </w:pP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ectPr>
          <w:pgSz w:w="12960" w:h="17280" w:orient="portrait"/>
          <w:cols w:equalWidth="0" w:num="1">
            <w:col w:w="10780"/>
          </w:cols>
          <w:pgMar w:left="1080" w:top="1440" w:right="1100" w:bottom="751" w:gutter="0" w:footer="0" w:header="0"/>
          <w:type w:val="continuous"/>
        </w:sectPr>
      </w:pPr>
    </w:p>
    <w:bookmarkStart w:id="135" w:name="page136"/>
    <w:bookmarkEnd w:id="135"/>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should I call if I have any additional questions?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you hold your shares directly, please call Garrett Winslow, General Counsel of the Company, at (781) 281-9020. If your shares are held in street name, please contact the telephone number provided on your voting instruction form or contact your broker or nominee holder directly.</w:t>
      </w:r>
    </w:p>
    <w:p>
      <w:pPr>
        <w:sectPr>
          <w:pgSz w:w="12960" w:h="17280" w:orient="portrait"/>
          <w:cols w:equalWidth="0" w:num="1">
            <w:col w:w="10660"/>
          </w:cols>
          <w:pgMar w:left="1080" w:top="1440" w:right="122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5</w:t>
      </w:r>
    </w:p>
    <w:p>
      <w:pPr>
        <w:sectPr>
          <w:pgSz w:w="12960" w:h="17280" w:orient="portrait"/>
          <w:cols w:equalWidth="0" w:num="1">
            <w:col w:w="10660"/>
          </w:cols>
          <w:pgMar w:left="1080" w:top="1440" w:right="1220" w:bottom="751" w:gutter="0" w:footer="0" w:header="0"/>
          <w:type w:val="continuous"/>
        </w:sectPr>
      </w:pPr>
    </w:p>
    <w:bookmarkStart w:id="136" w:name="page137"/>
    <w:bookmarkEnd w:id="136"/>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1: ELECTION OF DIRECTORS</w:t>
      </w:r>
    </w:p>
    <w:p>
      <w:pPr>
        <w:spacing w:after="0" w:line="2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Our Board of Directors currently consists of six directors and is divided into three classes, with one class of our directors standing for election each year. The members of each class are elected to serve a three-year term with the term of office of each class ending in successive years. The terms of the Class III directors are scheduled to expire on the date of the upcoming Annual Meeting. The Board of Directors has nominated Michael Landsittel and Cameron Turtle, D.Phil for election by the stockholders at the Annual Meeting. If elected, the nominees will serve as Class III directors of the Company until its annual meeting of stockholders in 2029 and until their successors are duly elected and qualified, or until their earlier death, resignation or removal. Mr. Landsittel and Dr. Turtle were both appointed to the Board of Directors in March 2026. Mr. Landsittel was identified as a director candidate by our management team, and Dr. Turtle was identified as a director candidate by members of our Board.</w:t>
      </w:r>
    </w:p>
    <w:p>
      <w:pPr>
        <w:spacing w:after="0" w:line="20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It is intended that, unless you give contrary instructions, shares represented by proxies solicited by the Board of Directors will be voted for the election of the director nominees named in this proxy statement. We have no reason to believe that either director nominee will be unavailable for election at the Annual Meeting. Our director nominees have indicated that they are willing and able to serve as directors. However, if any of them becomes unable or, for good cause, unwilling to serve, proxies may be voted for the election of such other person as shall be designated by our Board, or the Board may decrease the size of the class and Board. Vacancies on the Board of Directors, if any, are filled exclusively by the affirmative vote of a majority of the remaining directors, even if less than a quorum is present, and not by the stockholders. Except as otherwise noted above, your proxy cannot be voted for persons other than the director nominees named in this proxy statement.</w:t>
      </w:r>
    </w:p>
    <w:p>
      <w:pPr>
        <w:spacing w:after="0" w:line="20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Information relating to the director nominees and each continuing director, including his or her period of service as a director of the Company, principal occupation and other biographical material is shown on the next page.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BOARD OF DIRECTORS UNANIMOUSLY RECOMMENDS THAT YOU VOTE</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DIRECTOR NOMINEES FOR CLASS III DIRECTOR:</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MICHAEL LANDSITTEL</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CAMERON TURTLE, D. PHIL</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1 ON YOUR PROXY CARD)</w:t>
      </w: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960" w:h="17280" w:orient="portrait"/>
          <w:cols w:equalWidth="0" w:num="1">
            <w:col w:w="10800"/>
          </w:cols>
          <w:pgMar w:left="1080" w:top="1440" w:right="1080" w:bottom="751" w:gutter="0" w:footer="0" w:header="0"/>
          <w:type w:val="continuous"/>
        </w:sectPr>
      </w:pPr>
    </w:p>
    <w:bookmarkStart w:id="137" w:name="page138"/>
    <w:bookmarkEnd w:id="137"/>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DIRECTOR BIOGRAPHIES</w:t>
      </w:r>
    </w:p>
    <w:p>
      <w:pPr>
        <w:spacing w:after="0" w:line="24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following table sets forth information concerning our directors as of April 22, 2026. The biographical description of each director includes the specific experience, qualifications, attributes and skills that the Board of Directors would expect to consider if it were making a conclusion currently as to whether such person should serve as a director.</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CLASS III DIRECTOR NOMINEES - THREE-YEAR TERM EXPIRING AT THE 2026 ANNUAL MEETING OF</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DIRECTOR</w:t>
            </w:r>
          </w:p>
        </w:tc>
      </w:tr>
      <w:tr>
        <w:trPr>
          <w:trHeight w:val="207"/>
        </w:trPr>
        <w:tc>
          <w:tcPr>
            <w:tcW w:w="8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SINCE</w:t>
            </w:r>
          </w:p>
        </w:tc>
      </w:tr>
      <w:tr>
        <w:trPr>
          <w:trHeight w:val="351"/>
        </w:trPr>
        <w:tc>
          <w:tcPr>
            <w:tcW w:w="88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Michael Landsittel </w:t>
            </w:r>
            <w:r>
              <w:rPr>
                <w:rFonts w:ascii="Times New Roman" w:cs="Times New Roman" w:eastAsia="Times New Roman" w:hAnsi="Times New Roman"/>
                <w:sz w:val="20"/>
                <w:szCs w:val="20"/>
                <w:color w:val="auto"/>
              </w:rPr>
              <w:t>has served as a member of our Board of Directors since March 2026.</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9"/>
                <w:szCs w:val="19"/>
                <w:color w:val="auto"/>
              </w:rPr>
              <w:t>Mr. Landsittel</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54</w:t>
            </w:r>
          </w:p>
        </w:tc>
        <w:tc>
          <w:tcPr>
            <w:tcW w:w="12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2026</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served as Chief Financial Officer of Blueprint Medicines Corporation, a biopharmaceutical company, from</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January 2019 to November 2025. Mr. Landsittel previously served as Vice President, Finance of Blueprint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Medicines from February 2016 to January 2019 and as Senior Director, Finance from September 2014 to</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February 2016. Prior to joining Blueprint Medicines, Mr. Landsittel served as Senior Director of Finance at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Algeta ASA from October 2012 to July 2014, where he led the U.S. organization’s finance and operations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efforts, which ultimately supported the successful launch of the prostate cancer drug XOFIGO®. Before</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joining Algeta ASA, from March 2012 to October 2012, he was the Director of Financial Planning at Infinity</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Pharmaceuticals, Inc., or Infinity, where he was responsible for budgeting and forecasting, including support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of Infinity’s long-range planning and capital markets activities. Prior to Infinity, from August 2002 to March</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2012, Mr. Landsittel held multiple business development and strategic planning roles of increasing</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responsibility at Genzyme Corporation (which was later acquired by Sanofi S.A.). Mr. Landsittel began his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career at Arthur Andersen LLP and was a registered certified public accountant in Illinois. Mr. Landsittel</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received a B.B.A. from the University of Michigan and an M.B.A. from the Tuck School of Business at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Dartmouth College. We believe Mr. Landsittel is qualified to serve on the Board due to his experience</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building and leading successful companies from development to commercialization in senior financial roles at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6"/>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various publicly traded biotechnology companies.</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440"/>
        </w:trPr>
        <w:tc>
          <w:tcPr>
            <w:tcW w:w="88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Cameron Turtle, D.Phil </w:t>
            </w:r>
            <w:r>
              <w:rPr>
                <w:rFonts w:ascii="Times New Roman" w:cs="Times New Roman" w:eastAsia="Times New Roman" w:hAnsi="Times New Roman"/>
                <w:sz w:val="20"/>
                <w:szCs w:val="20"/>
                <w:color w:val="auto"/>
              </w:rPr>
              <w:t>has served as a member of our Board of Directors since March 2026.</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9"/>
                <w:szCs w:val="19"/>
                <w:color w:val="auto"/>
              </w:rPr>
              <w:t>Dr. Turtle has</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36</w:t>
            </w:r>
          </w:p>
        </w:tc>
        <w:tc>
          <w:tcPr>
            <w:tcW w:w="12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2026</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served as Chief Executive Officer and a member of the board of directors of Spyre Therapeutics, Inc.</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(Nasdaq:  SYRE),  a  clinical-stage  biotechnology  company  developing  next-generation  therapies  for</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inflammatory bowel disease and other immune-mediated diseases, since November 2023. Dr. Turtle</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previously served as Chief Operating Officer of Spyre from June 2023 to November 2023. Prior to joining</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Spyre, Dr. Turtle was an advisor to a private company acquired by Spyre (also named Spyre Therapeutics,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Inc.) from May 2023 to June 2023. Previously, he served as Venture Partner at Foresite Labs, a life sciences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investment firm, from July 2022 to May 2023; Chief Strategy Officer of BridgeBio Pharma (Nasdaq: BBIO),</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a biopharmaceutical company, from January 2021 to April 2022; and Chief Business Officer of Eidos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(Nasdaq: EIDX), a biopharmaceutical company, from November 2018 to January 2021, where</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he led business development, investor relations, and multiple operational functions as the company advanced</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an investigational medicine for a form of heart failure. Prior to joining BridgeBio and Eidos, he was a</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consultant at McKinsey &amp; Company, where he worked with pharmaceutical and medical device companies on</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topics including M&amp;A, growth strategy, clinical trial strategy and sales force optimization. Dr. Turtle served</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as a member of the board of directors of Oruka Therapeutics, Inc. (Nasdaq: ORKA) from August 2024 to</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December 2025. Dr. Turtle received his B.S. with honors in Bioengineering from the University of</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Washington and his D.Phil. in Cardiovascular Medicine from the University of Oxford, St. John’s College.</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We believe Dr. Turtle is qualified to serve on the Board due to his experience as a leader in building,</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financing, and shaping biopharma organizations from preclinical development to late-stage clinical trials and</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6"/>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commercialization.</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86"/>
        </w:trPr>
        <w:tc>
          <w:tcPr>
            <w:tcW w:w="8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DIRECTOR</w:t>
            </w:r>
          </w:p>
        </w:tc>
      </w:tr>
      <w:tr>
        <w:trPr>
          <w:trHeight w:val="207"/>
        </w:trPr>
        <w:tc>
          <w:tcPr>
            <w:tcW w:w="8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CLASS I DIRECTORS – TERM EXPIRING AT THE 2027 ANNUAL MEETING OF STOCKHOLDERS</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SINCE</w:t>
            </w:r>
          </w:p>
        </w:tc>
      </w:tr>
      <w:tr>
        <w:trPr>
          <w:trHeight w:val="351"/>
        </w:trPr>
        <w:tc>
          <w:tcPr>
            <w:tcW w:w="88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Christopher Cain, Ph.D. </w:t>
            </w:r>
            <w:r>
              <w:rPr>
                <w:rFonts w:ascii="Times New Roman" w:cs="Times New Roman" w:eastAsia="Times New Roman" w:hAnsi="Times New Roman"/>
                <w:sz w:val="20"/>
                <w:szCs w:val="20"/>
                <w:color w:val="auto"/>
              </w:rPr>
              <w:t>has served as a member of our Board of Directors since November 2025 and was</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42</w:t>
            </w:r>
          </w:p>
        </w:tc>
        <w:tc>
          <w:tcPr>
            <w:tcW w:w="12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2025</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appointed in accordance with the Acquisition Agreement. Dr. Cain is the Director of Research at Fairmount</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Funds Management LLC (“Fairmount”). Prior to joining Fairmount in April 2020, Dr. Cain served in various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8"/>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positions at the healthcare funds at Samsara BioCapital, Apple Tree Partners, and RA Capital Management,</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jc w:val="both"/>
        <w:ind w:right="1960"/>
        <w:spacing w:after="0" w:line="242" w:lineRule="auto"/>
        <w:rPr>
          <w:sz w:val="20"/>
          <w:szCs w:val="20"/>
          <w:color w:val="auto"/>
        </w:rPr>
      </w:pPr>
      <w:r>
        <w:rPr>
          <w:rFonts w:ascii="Times New Roman" w:cs="Times New Roman" w:eastAsia="Times New Roman" w:hAnsi="Times New Roman"/>
          <w:sz w:val="20"/>
          <w:szCs w:val="20"/>
          <w:color w:val="auto"/>
        </w:rPr>
        <w:t>where he invested in both public and emerging private biotechnology companies. Dr. Cain has also served as a writer and editor at BioCentury Publications. He also serves as a director of Viridian Therapeutics, Inc. (Nasdaq: VRDN), Cogent Biosciences, Inc. (Nasdaq: COGT) and Jade Biosciences, Inc. (Nasdaq: JBIO). Dr. Cain received a B.A. from the University of California, Santa Barbara and a Ph.D. in Biochemistry and Molecular Biology from the University of California, San Francisco. We believe Dr. Cain is qualified to serve</w:t>
      </w: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960" w:h="17280" w:orient="portrait"/>
          <w:cols w:equalWidth="0" w:num="1">
            <w:col w:w="10800"/>
          </w:cols>
          <w:pgMar w:left="1080" w:top="1440" w:right="1080" w:bottom="751" w:gutter="0" w:footer="0" w:header="0"/>
          <w:type w:val="continuous"/>
        </w:sectPr>
      </w:pPr>
    </w:p>
    <w:bookmarkStart w:id="138" w:name="page139"/>
    <w:bookmarkEnd w:id="138"/>
    <w:p>
      <w:pPr>
        <w:spacing w:after="0" w:line="215" w:lineRule="exact"/>
        <w:rPr>
          <w:sz w:val="20"/>
          <w:szCs w:val="20"/>
          <w:color w:val="auto"/>
        </w:rPr>
      </w:pPr>
    </w:p>
    <w:p>
      <w:pPr>
        <w:jc w:val="both"/>
        <w:ind w:right="1960"/>
        <w:spacing w:after="0" w:line="277" w:lineRule="auto"/>
        <w:rPr>
          <w:sz w:val="20"/>
          <w:szCs w:val="20"/>
          <w:color w:val="auto"/>
        </w:rPr>
      </w:pPr>
      <w:r>
        <w:rPr>
          <w:rFonts w:ascii="Times New Roman" w:cs="Times New Roman" w:eastAsia="Times New Roman" w:hAnsi="Times New Roman"/>
          <w:sz w:val="20"/>
          <w:szCs w:val="20"/>
          <w:color w:val="auto"/>
        </w:rPr>
        <w:t>on our Board because of his extensive leadership, scientific, business and managerial experience in the biotechnology industry</w:t>
      </w:r>
      <w:r>
        <w:rPr>
          <w:rFonts w:ascii="Times New Roman" w:cs="Times New Roman" w:eastAsia="Times New Roman" w:hAnsi="Times New Roman"/>
          <w:sz w:val="19"/>
          <w:szCs w:val="19"/>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Peter Harwin </w:t>
            </w:r>
            <w:r>
              <w:rPr>
                <w:rFonts w:ascii="Times New Roman" w:cs="Times New Roman" w:eastAsia="Times New Roman" w:hAnsi="Times New Roman"/>
                <w:sz w:val="20"/>
                <w:szCs w:val="20"/>
                <w:color w:val="auto"/>
              </w:rPr>
              <w:t>has served as a member of our Board of Directors since November 2025 and was appointed in</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40</w:t>
            </w:r>
          </w:p>
        </w:tc>
        <w:tc>
          <w:tcPr>
            <w:tcW w:w="12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2025</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accordance with the Acquisition Agreement. Mr. Harwin is a Founding Partner at Fairmount, a healthcare</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investment firm he co-founded in April 2016. Prior to Fairmount, he was a member of the investment team at</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Boxer Capital, LLC, an investment fund that was part of the Tavistock Group, based in San Diego, California.</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Mr. Harwin also serves as chairman of the board of directors of Cogent Biosciences, Inc. (Nasdaq: COGT)</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and Crescent Biopharma, Inc. (Nasdaq: CBIO) and is a member of the board of directors of Spyre</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Inc. (Nasdaq: SYRE) and Oruka Therapeutics, Inc. (Nasdaq: ORKA). He has also served as a</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member of the board of directors of Apogee Therapeutics, Inc. (Nasdaq: APGE) since June 2023, from which</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he resigned effective May 11, 2026. He received a B.B.A. from Emory University. We believe Mr. Harwin is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qualified to serve on our Board because of his extensive leadership, executive, managerial and board</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6"/>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experience within pharmaceutical and biotechnology industries</w:t>
            </w:r>
            <w:r>
              <w:rPr>
                <w:rFonts w:ascii="Times New Roman" w:cs="Times New Roman" w:eastAsia="Times New Roman" w:hAnsi="Times New Roman"/>
                <w:sz w:val="19"/>
                <w:szCs w:val="19"/>
                <w:color w:val="auto"/>
              </w:rPr>
              <w:t>.</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442"/>
        </w:trPr>
        <w:tc>
          <w:tcPr>
            <w:tcW w:w="8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DIRECTOR</w:t>
            </w:r>
          </w:p>
        </w:tc>
      </w:tr>
      <w:tr>
        <w:trPr>
          <w:trHeight w:val="207"/>
        </w:trPr>
        <w:tc>
          <w:tcPr>
            <w:tcW w:w="8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CLASS II DIRECTORS – TERM EXPIRING AT THE 2028 ANNUAL MEETING OF STOCKHOLDERS</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SINCE</w:t>
            </w:r>
          </w:p>
        </w:tc>
      </w:tr>
      <w:tr>
        <w:trPr>
          <w:trHeight w:val="350"/>
        </w:trPr>
        <w:tc>
          <w:tcPr>
            <w:tcW w:w="88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Julianne Bruno </w:t>
            </w:r>
            <w:r>
              <w:rPr>
                <w:rFonts w:ascii="Times New Roman" w:cs="Times New Roman" w:eastAsia="Times New Roman" w:hAnsi="Times New Roman"/>
                <w:sz w:val="20"/>
                <w:szCs w:val="20"/>
                <w:color w:val="auto"/>
              </w:rPr>
              <w:t>has served as a member of our Board of Directors since November 2025 and was appointed</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40</w:t>
            </w:r>
          </w:p>
        </w:tc>
        <w:tc>
          <w:tcPr>
            <w:tcW w:w="12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2025</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in accordance with the Acquisition Agreement. </w:t>
            </w:r>
            <w:r>
              <w:rPr>
                <w:rFonts w:ascii="Times New Roman" w:cs="Times New Roman" w:eastAsia="Times New Roman" w:hAnsi="Times New Roman"/>
                <w:sz w:val="19"/>
                <w:szCs w:val="19"/>
                <w:color w:val="auto"/>
              </w:rPr>
              <w:t>Ms. Bruno is a Growth Partner at Fairmount, a position she</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9"/>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has held since May 2025. Prior to joining Fairmount, she was a pivotal member of the CRISPR Therapeutics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AG (Nasdaq: CRSP) (“CRISPR”) leadership team. During her six-year tenure with CRISPR, she served as the</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Program Leader across multiple hematology and oncology programs before taking on the role of Chief</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w w:val="99"/>
              </w:rPr>
              <w:t>Operating Officer in May 2024 until April 2025. In these roles, she oversaw the development of Casgevy</w:t>
            </w:r>
            <w:r>
              <w:rPr>
                <w:rFonts w:ascii="Times New Roman" w:cs="Times New Roman" w:eastAsia="Times New Roman" w:hAnsi="Times New Roman"/>
                <w:sz w:val="10"/>
                <w:szCs w:val="10"/>
                <w:color w:val="auto"/>
                <w:w w:val="99"/>
              </w:rPr>
              <w:t>™</w:t>
            </w:r>
            <w:r>
              <w:rPr>
                <w:rFonts w:ascii="Times New Roman" w:cs="Times New Roman" w:eastAsia="Times New Roman" w:hAnsi="Times New Roman"/>
                <w:sz w:val="20"/>
                <w:szCs w:val="20"/>
                <w:color w:val="auto"/>
                <w:w w:val="99"/>
              </w:rPr>
              <w:t xml:space="preserve"> and</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helped mature the operating model of the company. Ms. Bruno has also worked as a leader in the life sciences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practice at McKinsey &amp; Co. She received her A.B. from Princeton University and an MBA from the Wharton</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School, University of Pennsylvania. We believe Ms. Bruno is qualified to serve on our Board due to her</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6"/>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extensive leadership, managerial and board experience within the biotechnology industry.</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468"/>
        </w:trPr>
        <w:tc>
          <w:tcPr>
            <w:tcW w:w="88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Jennifer Jarrett </w:t>
            </w:r>
            <w:r>
              <w:rPr>
                <w:rFonts w:ascii="Times New Roman" w:cs="Times New Roman" w:eastAsia="Times New Roman" w:hAnsi="Times New Roman"/>
                <w:sz w:val="20"/>
                <w:szCs w:val="20"/>
                <w:color w:val="auto"/>
              </w:rPr>
              <w:t>has served as our President and Chief Executive Officer and as member of our board of</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55</w:t>
            </w:r>
          </w:p>
        </w:tc>
        <w:tc>
          <w:tcPr>
            <w:tcW w:w="12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2026</w:t>
            </w:r>
          </w:p>
        </w:tc>
      </w:tr>
    </w:tbl>
    <w:p>
      <w:pPr>
        <w:jc w:val="both"/>
        <w:ind w:right="1940"/>
        <w:spacing w:after="0"/>
        <w:rPr>
          <w:sz w:val="20"/>
          <w:szCs w:val="20"/>
          <w:color w:val="auto"/>
        </w:rPr>
      </w:pPr>
      <w:r>
        <w:rPr>
          <w:rFonts w:ascii="Times New Roman" w:cs="Times New Roman" w:eastAsia="Times New Roman" w:hAnsi="Times New Roman"/>
          <w:sz w:val="20"/>
          <w:szCs w:val="20"/>
          <w:color w:val="auto"/>
        </w:rPr>
        <w:t xml:space="preserve">directors since March 2026. Ms. Jarrett most recently served as Chief Operating Officer of Arcus Biosciences, Inc. (NYSE: RCUS), a late clinical-stage biopharmaceutical company focused on developing differentiated molecules for patients with cancer and inflammatory and autoimmune diseases, from October 2020 until March 2026, where she was responsible for overseeing the company’s operations and execution of business strategies. She also served as a member of the board of directors of Arcus from January 2019 until January 2024. Prior to joining Arcus, Ms. Jarrett served as Vice President, Corporate Development and Capital Markets at Uber, Inc. (NYSE: UBER), a technology company providing a platform for mobility, delivery and freight services, from January 2019 to October 2020 and prior to that, served as Chief Operating and Financial Officer of Arcus from June 2018 to January 2019, and as Chief Business Officer and Chief Financial Officer of Arcus from March 2017 to June 2018. From April 2016 to September 2016, Ms. Jarrett was the Chief Financial Officer of Medivation, Inc., a biopharmaceutical company, which was acquired by Pfizer Inc. Prior to that, Ms. Jarrett spent 20 years in investment banking, most recently as Managing Director at Citigroup from July 2010 to April 2016, where she was responsible for managing their west coast life sciences investment banking practice. Before that, Ms. Jarrett was a Director and Managing Director at Credit Suisse from 2000 to 2010, and an associate at Donaldson, Lufkin &amp; Jenrette from 1998 to 2000. During her tenure as an investment banker, Ms. Jarrett covered biotechnology and pharmaceutical companies, primarily in the San Francisco Bay Area. She currently serves on the board of directors of Syndax Pharmaceuticals, Inc. (Nasdaq: SNDX), Sagimet Biosciences, Inc. (Nasdaq: SGMT), Zura Bio Ltd (Nasdaq: ZURA), Cajal Therapeutics and LifeMine Therapeutics, and previously served on the boards of directors of Arena Pharmaceuticals, Inc. from July 2017 until its acquisition by Pfizer in March 2022, Audentes Therapeutics from July 2017 until its acquisition by Astellas Pharma Inc. in January 2020, Radius Health, Inc. from May 2022 until its acquisition by Gurnet Point Capital and Patient Square Capital in August 2022 and Consonance-HFW Acquisition Corp. from December 2020 until its business combination with Surrozen Operating, Inc. in August 2021. Ms. Jarrett holds a B.A. in Economics, cum laude, from Dartmouth College and an M.B.A. from Stanford Graduate School of Business. </w:t>
      </w:r>
      <w:r>
        <w:rPr>
          <w:rFonts w:ascii="Times New Roman" w:cs="Times New Roman" w:eastAsia="Times New Roman" w:hAnsi="Times New Roman"/>
          <w:sz w:val="19"/>
          <w:szCs w:val="19"/>
          <w:color w:val="auto"/>
        </w:rPr>
        <w:t>We believe Ms. Jarrett is qualified to serve on the Board due to her extensive leadership,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executive, managerial and board experience within pharmaceutical and biotechnology industries.</w:t>
      </w: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960" w:h="17280" w:orient="portrait"/>
          <w:cols w:equalWidth="0" w:num="1">
            <w:col w:w="10800"/>
          </w:cols>
          <w:pgMar w:left="1080" w:top="1440" w:right="1080" w:bottom="751" w:gutter="0" w:footer="0" w:header="0"/>
          <w:type w:val="continuous"/>
        </w:sectPr>
      </w:pPr>
    </w:p>
    <w:bookmarkStart w:id="139" w:name="page140"/>
    <w:bookmarkEnd w:id="139"/>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information regarding our executive officers, as of April 22, 2026:</w:t>
      </w:r>
    </w:p>
    <w:p>
      <w:pPr>
        <w:spacing w:after="0" w:line="254"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20" w:type="dxa"/>
            <w:vAlign w:val="bottom"/>
          </w:tcPr>
          <w:p>
            <w:pPr>
              <w:spacing w:after="0"/>
              <w:rPr>
                <w:sz w:val="17"/>
                <w:szCs w:val="17"/>
                <w:color w:val="auto"/>
              </w:rPr>
            </w:pPr>
          </w:p>
        </w:tc>
        <w:tc>
          <w:tcPr>
            <w:tcW w:w="494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Position(s)</w:t>
            </w:r>
          </w:p>
        </w:tc>
      </w:tr>
      <w:tr>
        <w:trPr>
          <w:trHeight w:val="32"/>
        </w:trPr>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44"/>
        </w:trPr>
        <w:tc>
          <w:tcPr>
            <w:tcW w:w="256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Jennifer Jarrett</w:t>
            </w:r>
            <w:r>
              <w:rPr>
                <w:rFonts w:ascii="Times New Roman" w:cs="Times New Roman" w:eastAsia="Times New Roman" w:hAnsi="Times New Roman"/>
                <w:sz w:val="26"/>
                <w:szCs w:val="26"/>
                <w:color w:val="auto"/>
                <w:vertAlign w:val="superscript"/>
              </w:rPr>
              <w:t>(1)</w:t>
            </w:r>
          </w:p>
        </w:tc>
        <w:tc>
          <w:tcPr>
            <w:tcW w:w="1020" w:type="dxa"/>
            <w:vAlign w:val="bottom"/>
            <w:gridSpan w:val="2"/>
            <w:shd w:val="clear" w:color="auto" w:fill="D5EEEE"/>
          </w:tcPr>
          <w:p>
            <w:pPr>
              <w:jc w:val="center"/>
              <w:ind w:left="40"/>
              <w:spacing w:after="0"/>
              <w:rPr>
                <w:sz w:val="20"/>
                <w:szCs w:val="20"/>
                <w:color w:val="auto"/>
              </w:rPr>
            </w:pPr>
            <w:r>
              <w:rPr>
                <w:rFonts w:ascii="Times New Roman" w:cs="Times New Roman" w:eastAsia="Times New Roman" w:hAnsi="Times New Roman"/>
                <w:sz w:val="20"/>
                <w:szCs w:val="20"/>
                <w:color w:val="auto"/>
                <w:w w:val="99"/>
              </w:rPr>
              <w:t>55</w:t>
            </w:r>
          </w:p>
        </w:tc>
        <w:tc>
          <w:tcPr>
            <w:tcW w:w="120" w:type="dxa"/>
            <w:vAlign w:val="bottom"/>
            <w:shd w:val="clear" w:color="auto" w:fill="D5EEEE"/>
          </w:tcPr>
          <w:p>
            <w:pPr>
              <w:spacing w:after="0"/>
              <w:rPr>
                <w:sz w:val="21"/>
                <w:szCs w:val="21"/>
                <w:color w:val="auto"/>
              </w:rPr>
            </w:pPr>
          </w:p>
        </w:tc>
        <w:tc>
          <w:tcPr>
            <w:tcW w:w="49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r>
      <w:tr>
        <w:trPr>
          <w:trHeight w:val="244"/>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Lori Firmani</w:t>
            </w:r>
          </w:p>
        </w:tc>
        <w:tc>
          <w:tcPr>
            <w:tcW w:w="10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53</w:t>
            </w:r>
          </w:p>
        </w:tc>
        <w:tc>
          <w:tcPr>
            <w:tcW w:w="1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44"/>
        </w:trPr>
        <w:tc>
          <w:tcPr>
            <w:tcW w:w="25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Becker Hewes</w:t>
            </w:r>
          </w:p>
        </w:tc>
        <w:tc>
          <w:tcPr>
            <w:tcW w:w="1020" w:type="dxa"/>
            <w:vAlign w:val="bottom"/>
            <w:gridSpan w:val="2"/>
            <w:shd w:val="clear" w:color="auto" w:fill="D5EEEE"/>
          </w:tcPr>
          <w:p>
            <w:pPr>
              <w:jc w:val="center"/>
              <w:ind w:left="40"/>
              <w:spacing w:after="0"/>
              <w:rPr>
                <w:sz w:val="20"/>
                <w:szCs w:val="20"/>
                <w:color w:val="auto"/>
              </w:rPr>
            </w:pPr>
            <w:r>
              <w:rPr>
                <w:rFonts w:ascii="Times New Roman" w:cs="Times New Roman" w:eastAsia="Times New Roman" w:hAnsi="Times New Roman"/>
                <w:sz w:val="20"/>
                <w:szCs w:val="20"/>
                <w:color w:val="auto"/>
                <w:w w:val="99"/>
              </w:rPr>
              <w:t>60</w:t>
            </w:r>
          </w:p>
        </w:tc>
        <w:tc>
          <w:tcPr>
            <w:tcW w:w="120" w:type="dxa"/>
            <w:vAlign w:val="bottom"/>
            <w:shd w:val="clear" w:color="auto" w:fill="D5EEEE"/>
          </w:tcPr>
          <w:p>
            <w:pPr>
              <w:spacing w:after="0"/>
              <w:rPr>
                <w:sz w:val="21"/>
                <w:szCs w:val="21"/>
                <w:color w:val="auto"/>
              </w:rPr>
            </w:pPr>
          </w:p>
        </w:tc>
        <w:tc>
          <w:tcPr>
            <w:tcW w:w="49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Chief Medical Officer</w:t>
            </w:r>
          </w:p>
        </w:tc>
      </w:tr>
      <w:tr>
        <w:trPr>
          <w:trHeight w:val="244"/>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Sherwin Sattarzadeh</w:t>
            </w:r>
          </w:p>
        </w:tc>
        <w:tc>
          <w:tcPr>
            <w:tcW w:w="10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47</w:t>
            </w:r>
          </w:p>
        </w:tc>
        <w:tc>
          <w:tcPr>
            <w:tcW w:w="1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Chief Operating Officer</w:t>
            </w:r>
          </w:p>
        </w:tc>
      </w:tr>
      <w:tr>
        <w:trPr>
          <w:trHeight w:val="244"/>
        </w:trPr>
        <w:tc>
          <w:tcPr>
            <w:tcW w:w="25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Garrett Winslow</w:t>
            </w:r>
          </w:p>
        </w:tc>
        <w:tc>
          <w:tcPr>
            <w:tcW w:w="1020" w:type="dxa"/>
            <w:vAlign w:val="bottom"/>
            <w:gridSpan w:val="2"/>
            <w:shd w:val="clear" w:color="auto" w:fill="D5EEEE"/>
          </w:tcPr>
          <w:p>
            <w:pPr>
              <w:jc w:val="center"/>
              <w:ind w:left="40"/>
              <w:spacing w:after="0"/>
              <w:rPr>
                <w:sz w:val="20"/>
                <w:szCs w:val="20"/>
                <w:color w:val="auto"/>
              </w:rPr>
            </w:pPr>
            <w:r>
              <w:rPr>
                <w:rFonts w:ascii="Times New Roman" w:cs="Times New Roman" w:eastAsia="Times New Roman" w:hAnsi="Times New Roman"/>
                <w:sz w:val="20"/>
                <w:szCs w:val="20"/>
                <w:color w:val="auto"/>
                <w:w w:val="99"/>
              </w:rPr>
              <w:t>47</w:t>
            </w:r>
          </w:p>
        </w:tc>
        <w:tc>
          <w:tcPr>
            <w:tcW w:w="120" w:type="dxa"/>
            <w:vAlign w:val="bottom"/>
            <w:shd w:val="clear" w:color="auto" w:fill="D5EEEE"/>
          </w:tcPr>
          <w:p>
            <w:pPr>
              <w:spacing w:after="0"/>
              <w:rPr>
                <w:sz w:val="21"/>
                <w:szCs w:val="21"/>
                <w:color w:val="auto"/>
              </w:rPr>
            </w:pPr>
          </w:p>
        </w:tc>
        <w:tc>
          <w:tcPr>
            <w:tcW w:w="49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General Counsel</w:t>
            </w:r>
          </w:p>
        </w:tc>
      </w:tr>
    </w:tbl>
    <w:p>
      <w:pPr>
        <w:spacing w:after="0" w:line="218" w:lineRule="exact"/>
        <w:rPr>
          <w:sz w:val="20"/>
          <w:szCs w:val="20"/>
          <w:color w:val="auto"/>
        </w:rPr>
      </w:pPr>
    </w:p>
    <w:p>
      <w:pPr>
        <w:ind w:left="1400" w:hanging="311"/>
        <w:spacing w:after="0"/>
        <w:tabs>
          <w:tab w:leader="none" w:pos="1400" w:val="left"/>
        </w:tabs>
        <w:numPr>
          <w:ilvl w:val="0"/>
          <w:numId w:val="5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20"/>
          <w:szCs w:val="20"/>
          <w:i w:val="1"/>
          <w:iCs w:val="1"/>
          <w:color w:val="auto"/>
        </w:rPr>
        <w:t>Ms. Jarrett is also a director of the Company, and her biographical information appears on page 8.</w:t>
      </w:r>
    </w:p>
    <w:p>
      <w:pPr>
        <w:spacing w:after="0" w:line="200" w:lineRule="exact"/>
        <w:rPr>
          <w:sz w:val="20"/>
          <w:szCs w:val="20"/>
          <w:color w:val="auto"/>
        </w:rPr>
      </w:pP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Lori Firmani </w:t>
      </w:r>
      <w:r>
        <w:rPr>
          <w:rFonts w:ascii="Times New Roman" w:cs="Times New Roman" w:eastAsia="Times New Roman" w:hAnsi="Times New Roman"/>
          <w:sz w:val="20"/>
          <w:szCs w:val="20"/>
          <w:color w:val="auto"/>
        </w:rPr>
        <w:t>has served as our Chief Financial Officer since August 2024. Prior to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9"/>
          <w:szCs w:val="19"/>
          <w:color w:val="auto"/>
        </w:rPr>
        <w:t>Ms. Firmani was our Vice President, Finance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9"/>
          <w:szCs w:val="19"/>
          <w:color w:val="auto"/>
        </w:rPr>
        <w:t>and Corporate Controller since November 2020. Prior to that, Ms. Firmani served as Chief Financial Officer of Spring Bank Pharmaceuticals, Inc. from April 2020 until its acquisition in November 2020, and prior to that served in financial roles of increasing responsibility from January 2016 to April 2020. Ms. Firmani is a certified public accountant in the Commonwealth of Massachusetts and holds an MBA from Babson College and a BS in Accounting from the State University of New York at Geneseo.</w:t>
      </w:r>
    </w:p>
    <w:p>
      <w:pPr>
        <w:spacing w:after="0" w:line="18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Becker Hewes </w:t>
      </w:r>
      <w:r>
        <w:rPr>
          <w:rFonts w:ascii="Times New Roman" w:cs="Times New Roman" w:eastAsia="Times New Roman" w:hAnsi="Times New Roman"/>
          <w:sz w:val="19"/>
          <w:szCs w:val="19"/>
          <w:color w:val="auto"/>
        </w:rPr>
        <w:t>has served as our Chief Medical Officer since January 2026. Prior to that, Dr. Hewes served as Chief Medical Officer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9"/>
          <w:szCs w:val="19"/>
          <w:color w:val="auto"/>
        </w:rPr>
        <w:t>at Blueprint Medicines Corporation, a biopharmaceutical company, from January 2021 to January 2026, where he was responsible for all Clinical Development activities and served as a member of the Executive Committee. Prior to that he served as their Senior Vice President, Clinical Development from May 2020 to January 2021. Dr. Hewes also served as Chief Medical Officer of Repertoire Immune Medicines, a biotechnology company, from February 2017 to May 2020. Prior to that he held positions in clinical development at Novartis, AstraZeneca, Genzyme and Wyeth pharmaceuticals. He received his BS from Vanderbilt University and an MD from Georgetown University. He completed his residency at New York Hospital/Cornell Medical Center and his fellowship training in Pediatric Oncology at Emory University.</w:t>
      </w:r>
    </w:p>
    <w:p>
      <w:pPr>
        <w:spacing w:after="0" w:line="19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Sherwin Sattarzadeh </w:t>
      </w:r>
      <w:r>
        <w:rPr>
          <w:rFonts w:ascii="Times New Roman" w:cs="Times New Roman" w:eastAsia="Times New Roman" w:hAnsi="Times New Roman"/>
          <w:sz w:val="20"/>
          <w:szCs w:val="20"/>
          <w:color w:val="auto"/>
        </w:rPr>
        <w:t>has served as our Chief Operating Officer since January 2026. Prior to that, Mr. Sattarzadeh served as Chief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Business Officer at Blueprint Medicines Corporation from January 2025 to October 2025, where he was responsible for overseeing the company’s business development activities. During his 10 years at Blueprint Medicines Corporation, Mr. Sattarzadeh held other positions of increasing responsibility including Head of Regulatory Affairs, Chief of Staff from March 2020 to January 2024, and SVP Strategic Operations from January 2022 to January 2025. He has an extensive background in hematology/oncology and rare disease drug development, having led and contributed to the global approvals of AYVAKIT® (avapritinib), GAVRETO® (pralsetinib), CERDELGA® (eliglustat) and MOZOBIL® (plerixafor). Mr. Sattarzadeh received his M.B.A. from Boston University and holds an B.Sc. in Chemistry from the University of British Columbia.</w:t>
      </w:r>
    </w:p>
    <w:p>
      <w:pPr>
        <w:spacing w:after="0" w:line="20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Garrett Winslow </w:t>
      </w:r>
      <w:r>
        <w:rPr>
          <w:rFonts w:ascii="Times New Roman" w:cs="Times New Roman" w:eastAsia="Times New Roman" w:hAnsi="Times New Roman"/>
          <w:sz w:val="20"/>
          <w:szCs w:val="20"/>
          <w:color w:val="auto"/>
        </w:rPr>
        <w:t>has served as our General Counsel and Corporate Secretary since May 2021. Mr. Winslow served as the General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Counsel and Corporate Secretary of Spring Bank Pharmaceuticals, Inc., a biopharmaceutical company, from January 2017 to November 2020. Prior to that, Mr. Winslow was a member in the Corporate and Securities group at the Boston office of Mintz, Levin, Cohn, Ferris, Glovsky, and Popeo, P.C. Mr. Winslow received his Masters in Taxation from Boston University Law School, J.D. from Suffolk University Law School and B.A. degree in Business Administration from the University of Washington.</w:t>
      </w: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960" w:h="17280" w:orient="portrait"/>
          <w:cols w:equalWidth="0" w:num="1">
            <w:col w:w="10800"/>
          </w:cols>
          <w:pgMar w:left="1080" w:top="1440" w:right="1080" w:bottom="751" w:gutter="0" w:footer="0" w:header="0"/>
          <w:type w:val="continuous"/>
        </w:sectPr>
      </w:pPr>
    </w:p>
    <w:bookmarkStart w:id="140" w:name="page141"/>
    <w:bookmarkEnd w:id="140"/>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BOARD OF DIRECTORS AND ITS COMMITTEES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Composition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has fixed its size at six directors, and the terms of office of the directors are divided into three classes:</w:t>
      </w:r>
    </w:p>
    <w:p>
      <w:pPr>
        <w:spacing w:after="0" w:line="125" w:lineRule="exact"/>
        <w:rPr>
          <w:sz w:val="20"/>
          <w:szCs w:val="20"/>
          <w:color w:val="auto"/>
        </w:rPr>
      </w:pPr>
    </w:p>
    <w:p>
      <w:pPr>
        <w:ind w:left="980" w:hanging="542"/>
        <w:spacing w:after="0"/>
        <w:tabs>
          <w:tab w:leader="none" w:pos="9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I, whose term will expire at the annual meeting of stockholders to be held in 2027;</w:t>
      </w:r>
    </w:p>
    <w:p>
      <w:pPr>
        <w:spacing w:after="0" w:line="240" w:lineRule="exact"/>
        <w:rPr>
          <w:rFonts w:ascii="Times New Roman" w:cs="Times New Roman" w:eastAsia="Times New Roman" w:hAnsi="Times New Roman"/>
          <w:sz w:val="20"/>
          <w:szCs w:val="20"/>
          <w:color w:val="auto"/>
        </w:rPr>
      </w:pPr>
    </w:p>
    <w:p>
      <w:pPr>
        <w:ind w:left="980" w:hanging="542"/>
        <w:spacing w:after="0"/>
        <w:tabs>
          <w:tab w:leader="none" w:pos="9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II, whose term will expire at the annual meeting of stockholders to be held in 2028; and</w:t>
      </w:r>
    </w:p>
    <w:p>
      <w:pPr>
        <w:spacing w:after="0" w:line="240" w:lineRule="exact"/>
        <w:rPr>
          <w:rFonts w:ascii="Times New Roman" w:cs="Times New Roman" w:eastAsia="Times New Roman" w:hAnsi="Times New Roman"/>
          <w:sz w:val="20"/>
          <w:szCs w:val="20"/>
          <w:color w:val="auto"/>
        </w:rPr>
      </w:pPr>
    </w:p>
    <w:p>
      <w:pPr>
        <w:ind w:left="980" w:hanging="542"/>
        <w:spacing w:after="0"/>
        <w:tabs>
          <w:tab w:leader="none" w:pos="9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III, whose term will expire at the upcoming Annual Meeting.</w:t>
      </w:r>
    </w:p>
    <w:p>
      <w:pPr>
        <w:spacing w:after="0" w:line="24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Class I consists of Julianne Bruno and Jennifer Jarrett; Class II consists of Christopher Cain, Ph.D., and Peter Harwin; and Class III consists of Michael Landsittel and Cameron Turtle, D.Phil. At each annual meeting of stockholders, the successors to directors whose terms will then expire shall serve from the time of election and qualification until the third annual meeting of stockholders following election and until their successors are duly elected and qualified.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Independence</w:t>
      </w:r>
    </w:p>
    <w:p>
      <w:pPr>
        <w:spacing w:after="0" w:line="24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Our Board of Directors has determined, upon the recommendation of our Nominating and Corporate Governance Committee, that each of our directors, except for Jennifer Jarrett, who serves as our President and Chief Executive Officer, is independent within the meaning of the director independence standards of the Nasdaq Stock Market LLC (“Nasdaq”) rules and the SEC. There are no family relationships among any of our directors or executive officers. Ms. Jarrett is not an independent director under these rules because she is an executive officer of the Company. Former directors Jayson Dallas, Carl Goldfischer, Amit Munshi, Anne Prener, David Shapiro and Amy Wechsler were independent under Nasdaq listing rules during the period each served on our Board. Former director Hans Schambye was not independent during the period he served on our Board because he also served as President and Chief Executive Officer of the Company.</w:t>
      </w:r>
    </w:p>
    <w:p>
      <w:pPr>
        <w:spacing w:after="0" w:line="20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In making such determination, our Board of Directors evaluated, and will continue to evaluate at least on an annual basis, all relationships between us and each director in light of relevant facts and circumstances for the purposes of determining whether a material relationship exists that might signal a potential conflict of interest or otherwise interfere with such director’s ability to satisfy his or her responsibilities as an independent director.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Time Commitments</w:t>
      </w:r>
    </w:p>
    <w:p>
      <w:pPr>
        <w:spacing w:after="0" w:line="244"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While Board members benefit from service on the boards of other companies and such service is encouraged, pursuant to our corporate governance guidelines, directors are expected to limit the number of other boards on which they serve so as not to interfere with their service as a director of the Company. Directors must notify the Chair of the Nominating Committee when accepting a seat on the board of directors of another business corporation. As part of the annual director nomination process, the Nominating Committee considers directors’ adherence to these expectations.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Meetings and Attendance</w:t>
      </w:r>
    </w:p>
    <w:p>
      <w:pPr>
        <w:spacing w:after="0" w:line="24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During the fiscal year ended December 31, 2025, our Board of Directors held 17 meetings and the various committees of our Board of Directors met a total of seven times. Each of the directors, other than our former director Amy Wechsler, attended at least 75% of the meetings of the Board of Directors and the committees of the Board of Directors on which he or she served during the fiscal year ended December 31, 2025, in each case, which were held during the period for which he or she was a director and/or a member of the applicable committee. We encourage our directors to attend our annual meetings of stockholders. Five out of our seven directors then-in-office attended our 2025 annual meeting of stockholders.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Committees</w:t>
      </w:r>
    </w:p>
    <w:p>
      <w:pPr>
        <w:spacing w:after="0" w:line="24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Our Board of Directors has established three standing committees: the Audit Committee, the Compensation Committee and the Nominating and Corporate Governance Committee, each of which is comprised solely of independent directors, and is described more fully below. Each of the Audit Committee, Compensation Committee and Nominating and Corporate Governance Committee operates pursuant to a written charter and each committee reviews and assesses the adequacy of its charter and submits its charter to the Board of Directors for approval. The charters for the Audit Committee, Compensation Committee and Nominating and Corporate Governance Committee are all available on our website at www.damoratx.com under “Investors” at “Corporate Governance.”</w:t>
      </w:r>
    </w:p>
    <w:p>
      <w:pPr>
        <w:sectPr>
          <w:pgSz w:w="12960" w:h="17280" w:orient="portrait"/>
          <w:cols w:equalWidth="0" w:num="1">
            <w:col w:w="10780"/>
          </w:cols>
          <w:pgMar w:left="1080" w:top="1440" w:right="110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2960" w:h="17280" w:orient="portrait"/>
          <w:cols w:equalWidth="0" w:num="1">
            <w:col w:w="10780"/>
          </w:cols>
          <w:pgMar w:left="1080" w:top="1440" w:right="1100" w:bottom="751" w:gutter="0" w:footer="0" w:header="0"/>
          <w:type w:val="continuous"/>
        </w:sectPr>
      </w:pPr>
    </w:p>
    <w:bookmarkStart w:id="141" w:name="page142"/>
    <w:bookmarkEnd w:id="141"/>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Audit Committee</w:t>
      </w:r>
    </w:p>
    <w:p>
      <w:pPr>
        <w:spacing w:after="0" w:line="24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Our Audit Committee is currently composed of Julianne Bruno, Michael Landsittel and Cameron Turtle, D.Phil, with Mr. Landsittel serving as Chair of the committee. Our Board of Directors has determined that each member of the Audit Committee meets the independence requirements of Rule 10A-3 under the Exchange Act and the applicable listing standards of Nasdaq. Our Board of Directors has determined that Mr. Landsittel is an “audit committee financial expert” within the meaning of the SEC regulations and applicable listing standards of Nasdaq. During the fiscal year ended December 31, 2025, the Audit Committee held six meetings. The report of the Audit Committee is included in this Proxy Statement under “Report of the Audit Committee.” The Audit Committee’s responsibilities include:</w:t>
      </w:r>
    </w:p>
    <w:p>
      <w:pPr>
        <w:spacing w:after="0" w:line="204" w:lineRule="exact"/>
        <w:rPr>
          <w:sz w:val="20"/>
          <w:szCs w:val="20"/>
          <w:color w:val="auto"/>
        </w:rPr>
      </w:pPr>
    </w:p>
    <w:p>
      <w:pPr>
        <w:ind w:left="980" w:hanging="544"/>
        <w:spacing w:after="0" w:line="258" w:lineRule="auto"/>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appointing, approving the compensation of, and assessing the independence of our independent registered public accounting firm;</w:t>
      </w:r>
    </w:p>
    <w:p>
      <w:pPr>
        <w:spacing w:after="0" w:line="1" w:lineRule="exact"/>
        <w:rPr>
          <w:rFonts w:ascii="Times New Roman" w:cs="Times New Roman" w:eastAsia="Times New Roman" w:hAnsi="Times New Roman"/>
          <w:sz w:val="20"/>
          <w:szCs w:val="20"/>
          <w:color w:val="auto"/>
        </w:rPr>
      </w:pPr>
    </w:p>
    <w:p>
      <w:pPr>
        <w:ind w:left="980" w:hanging="544"/>
        <w:spacing w:after="0" w:line="256" w:lineRule="auto"/>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pre-approving auditing and permissible non-audit services, and the terms of such services, to be provided by our independent registered public accounting firm;</w:t>
      </w:r>
    </w:p>
    <w:p>
      <w:pPr>
        <w:ind w:left="980" w:hanging="544"/>
        <w:spacing w:after="0" w:line="256" w:lineRule="auto"/>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discussing with management and our independent registered public accounting firm our annual and quarterly financial statements and related disclosures as well as critical accounting policies and practices used by us;</w:t>
      </w:r>
    </w:p>
    <w:p>
      <w:pPr>
        <w:ind w:left="980" w:hanging="544"/>
        <w:spacing w:after="0"/>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coordinating the oversight and reviewing the adequacy of our internal control over financial reporting;</w:t>
      </w:r>
    </w:p>
    <w:p>
      <w:pPr>
        <w:spacing w:after="0" w:line="31" w:lineRule="exact"/>
        <w:rPr>
          <w:rFonts w:ascii="Times New Roman" w:cs="Times New Roman" w:eastAsia="Times New Roman" w:hAnsi="Times New Roman"/>
          <w:sz w:val="20"/>
          <w:szCs w:val="20"/>
          <w:color w:val="auto"/>
        </w:rPr>
      </w:pPr>
    </w:p>
    <w:p>
      <w:pPr>
        <w:ind w:left="980" w:hanging="544"/>
        <w:spacing w:after="0"/>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policies and procedures for the receipt and retention of accounting-related complaints and concerns;</w:t>
      </w:r>
    </w:p>
    <w:p>
      <w:pPr>
        <w:spacing w:after="0" w:line="31" w:lineRule="exact"/>
        <w:rPr>
          <w:rFonts w:ascii="Times New Roman" w:cs="Times New Roman" w:eastAsia="Times New Roman" w:hAnsi="Times New Roman"/>
          <w:sz w:val="20"/>
          <w:szCs w:val="20"/>
          <w:color w:val="auto"/>
        </w:rPr>
      </w:pPr>
    </w:p>
    <w:p>
      <w:pPr>
        <w:jc w:val="both"/>
        <w:ind w:left="980" w:hanging="544"/>
        <w:spacing w:after="0" w:line="250" w:lineRule="auto"/>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2" w:lineRule="exact"/>
        <w:rPr>
          <w:rFonts w:ascii="Times New Roman" w:cs="Times New Roman" w:eastAsia="Times New Roman" w:hAnsi="Times New Roman"/>
          <w:sz w:val="20"/>
          <w:szCs w:val="20"/>
          <w:color w:val="auto"/>
        </w:rPr>
      </w:pPr>
    </w:p>
    <w:p>
      <w:pPr>
        <w:ind w:left="980" w:hanging="544"/>
        <w:spacing w:after="0" w:line="256" w:lineRule="auto"/>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monitoring the integrity of our financial statements and our compliance with legal and regulatory requirements as they relate to our financial statements and accounting matters;</w:t>
      </w:r>
    </w:p>
    <w:p>
      <w:pPr>
        <w:ind w:left="980" w:hanging="544"/>
        <w:spacing w:after="0" w:line="256" w:lineRule="auto"/>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the Board of Directors with its oversight of our programs, plans, controls and policies relating to cybersecurity and data protection risks;</w:t>
      </w:r>
    </w:p>
    <w:p>
      <w:pPr>
        <w:ind w:left="980" w:hanging="544"/>
        <w:spacing w:after="0"/>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preparing the audit committee report required by SEC rules to be included in our annual proxy statement;</w:t>
      </w:r>
    </w:p>
    <w:p>
      <w:pPr>
        <w:spacing w:after="0" w:line="8" w:lineRule="exact"/>
        <w:rPr>
          <w:rFonts w:ascii="Times New Roman" w:cs="Times New Roman" w:eastAsia="Times New Roman" w:hAnsi="Times New Roman"/>
          <w:sz w:val="20"/>
          <w:szCs w:val="20"/>
          <w:color w:val="auto"/>
        </w:rPr>
      </w:pPr>
    </w:p>
    <w:p>
      <w:pPr>
        <w:ind w:left="980" w:hanging="544"/>
        <w:spacing w:after="0"/>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all related person transactions for potential conflict of interest situations and approving such transactions; and</w:t>
      </w:r>
    </w:p>
    <w:p>
      <w:pPr>
        <w:spacing w:after="0" w:line="31" w:lineRule="exact"/>
        <w:rPr>
          <w:rFonts w:ascii="Times New Roman" w:cs="Times New Roman" w:eastAsia="Times New Roman" w:hAnsi="Times New Roman"/>
          <w:sz w:val="20"/>
          <w:szCs w:val="20"/>
          <w:color w:val="auto"/>
        </w:rPr>
      </w:pPr>
    </w:p>
    <w:p>
      <w:pPr>
        <w:ind w:left="980" w:hanging="544"/>
        <w:spacing w:after="0" w:line="272" w:lineRule="auto"/>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annually, reviewing and reassessing the adequacy of the audit committee charter and recommending to the Board of Directors any amendments or modifications to the charter that the Audit Committee deems appropriate.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w:t>
      </w:r>
    </w:p>
    <w:p>
      <w:pPr>
        <w:spacing w:after="0" w:line="24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Our Compensation Committee is currently composed of Julianne Bruno and Christopher Cain, Ph.D., with Dr. Cain serving as Chair of the committee. Our Board of Directors has determined that each member of the Compensation Committee is “independent” as defined under the applicable listing standards of Nasdaq. During the fiscal year ended December 31, 2025, the Compensation Committee did not hold any meetings as all compensation related decisions were made by the independent members of the Board of Directors. The Compensation Committee’s responsibilities include:</w:t>
      </w:r>
    </w:p>
    <w:p>
      <w:pPr>
        <w:spacing w:after="0" w:line="201" w:lineRule="exact"/>
        <w:rPr>
          <w:sz w:val="20"/>
          <w:szCs w:val="20"/>
          <w:color w:val="auto"/>
        </w:rPr>
      </w:pPr>
    </w:p>
    <w:p>
      <w:pPr>
        <w:ind w:left="980" w:hanging="544"/>
        <w:spacing w:after="0" w:line="258" w:lineRule="auto"/>
        <w:tabs>
          <w:tab w:leader="none" w:pos="9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on a periodic basis the operation of our executive compensation programs to determine whether they remain supportive of our business objectives;</w:t>
      </w:r>
    </w:p>
    <w:p>
      <w:pPr>
        <w:spacing w:after="0" w:line="1" w:lineRule="exact"/>
        <w:rPr>
          <w:rFonts w:ascii="Times New Roman" w:cs="Times New Roman" w:eastAsia="Times New Roman" w:hAnsi="Times New Roman"/>
          <w:sz w:val="20"/>
          <w:szCs w:val="20"/>
          <w:color w:val="auto"/>
        </w:rPr>
      </w:pPr>
    </w:p>
    <w:p>
      <w:pPr>
        <w:ind w:left="980" w:hanging="544"/>
        <w:spacing w:after="0" w:line="256" w:lineRule="auto"/>
        <w:tabs>
          <w:tab w:leader="none" w:pos="9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performance of our Chief Executive Officer, and approving or recommending to the Board of Directors the compensation of our Chief Executive Officer;</w:t>
      </w:r>
    </w:p>
    <w:p>
      <w:pPr>
        <w:ind w:left="980" w:hanging="544"/>
        <w:spacing w:after="0" w:line="256" w:lineRule="auto"/>
        <w:tabs>
          <w:tab w:leader="none" w:pos="9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performance of our other executive officers, and approving the compensation of our other executive officers;</w:t>
      </w:r>
    </w:p>
    <w:p>
      <w:pPr>
        <w:ind w:left="980" w:hanging="544"/>
        <w:spacing w:after="0"/>
        <w:tabs>
          <w:tab w:leader="none" w:pos="9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overseeing and administering our compensation and similar plans;</w:t>
      </w:r>
    </w:p>
    <w:p>
      <w:pPr>
        <w:spacing w:after="0" w:line="31" w:lineRule="exact"/>
        <w:rPr>
          <w:rFonts w:ascii="Times New Roman" w:cs="Times New Roman" w:eastAsia="Times New Roman" w:hAnsi="Times New Roman"/>
          <w:sz w:val="20"/>
          <w:szCs w:val="20"/>
          <w:color w:val="auto"/>
        </w:rPr>
      </w:pPr>
    </w:p>
    <w:p>
      <w:pPr>
        <w:ind w:left="980" w:hanging="544"/>
        <w:spacing w:after="0"/>
        <w:tabs>
          <w:tab w:leader="none" w:pos="9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structures and guidelines for various incentive compensation and benefit plans;</w:t>
      </w:r>
    </w:p>
    <w:p>
      <w:pPr>
        <w:spacing w:after="0" w:line="31" w:lineRule="exact"/>
        <w:rPr>
          <w:rFonts w:ascii="Times New Roman" w:cs="Times New Roman" w:eastAsia="Times New Roman" w:hAnsi="Times New Roman"/>
          <w:sz w:val="20"/>
          <w:szCs w:val="20"/>
          <w:color w:val="auto"/>
        </w:rPr>
      </w:pPr>
    </w:p>
    <w:p>
      <w:pPr>
        <w:ind w:left="980" w:hanging="544"/>
        <w:spacing w:after="0"/>
        <w:tabs>
          <w:tab w:leader="none" w:pos="9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and recommending to the Board of Directors the compensation of our outside directors;</w:t>
      </w:r>
    </w:p>
    <w:p>
      <w:pPr>
        <w:spacing w:after="0" w:line="31" w:lineRule="exact"/>
        <w:rPr>
          <w:rFonts w:ascii="Times New Roman" w:cs="Times New Roman" w:eastAsia="Times New Roman" w:hAnsi="Times New Roman"/>
          <w:sz w:val="20"/>
          <w:szCs w:val="20"/>
          <w:color w:val="auto"/>
        </w:rPr>
      </w:pPr>
    </w:p>
    <w:p>
      <w:pPr>
        <w:ind w:left="980" w:hanging="544"/>
        <w:spacing w:after="0" w:line="256" w:lineRule="auto"/>
        <w:tabs>
          <w:tab w:leader="none" w:pos="9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preparing the compensation committee report required by SEC rules, if and when required, to be included in our annual proxy statement;</w:t>
      </w:r>
    </w:p>
    <w:p>
      <w:pPr>
        <w:ind w:left="980" w:hanging="544"/>
        <w:spacing w:after="0" w:line="272" w:lineRule="auto"/>
        <w:tabs>
          <w:tab w:leader="none" w:pos="9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the retention, termination or compensation of any consulting firm or outside advisor to assist in the evaluation of compensation matters;</w:t>
      </w:r>
    </w:p>
    <w:p>
      <w:pPr>
        <w:spacing w:after="0" w:line="181" w:lineRule="exact"/>
        <w:rPr>
          <w:rFonts w:ascii="Times New Roman" w:cs="Times New Roman" w:eastAsia="Times New Roman" w:hAnsi="Times New Roman"/>
          <w:sz w:val="20"/>
          <w:szCs w:val="20"/>
          <w:color w:val="auto"/>
        </w:rPr>
      </w:pPr>
    </w:p>
    <w:p>
      <w:pPr>
        <w:ind w:left="980" w:hanging="544"/>
        <w:spacing w:after="0"/>
        <w:tabs>
          <w:tab w:leader="none" w:pos="9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administering our Incentive Compensation Recovery Policy; and</w:t>
      </w:r>
    </w:p>
    <w:p>
      <w:pPr>
        <w:spacing w:after="0" w:line="36" w:lineRule="exact"/>
        <w:rPr>
          <w:rFonts w:ascii="Times New Roman" w:cs="Times New Roman" w:eastAsia="Times New Roman" w:hAnsi="Times New Roman"/>
          <w:sz w:val="20"/>
          <w:szCs w:val="20"/>
          <w:color w:val="auto"/>
        </w:rPr>
      </w:pPr>
    </w:p>
    <w:p>
      <w:pPr>
        <w:jc w:val="both"/>
        <w:ind w:left="980" w:hanging="544"/>
        <w:spacing w:after="0" w:line="256" w:lineRule="auto"/>
        <w:tabs>
          <w:tab w:leader="none" w:pos="9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annually, reviewing and reassessing the adequacy of the compensation committee charter and recommending to the Board of Directors any amendments or modifications to the charter that the Compensation Committee deems appropriate.</w:t>
      </w:r>
    </w:p>
    <w:p>
      <w:pPr>
        <w:sectPr>
          <w:pgSz w:w="12960" w:h="17280" w:orient="portrait"/>
          <w:cols w:equalWidth="0" w:num="1">
            <w:col w:w="10700"/>
          </w:cols>
          <w:pgMar w:left="1080" w:top="1440" w:right="1180" w:bottom="751"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11</w:t>
      </w:r>
    </w:p>
    <w:p>
      <w:pPr>
        <w:sectPr>
          <w:pgSz w:w="12960" w:h="17280" w:orient="portrait"/>
          <w:cols w:equalWidth="0" w:num="1">
            <w:col w:w="10700"/>
          </w:cols>
          <w:pgMar w:left="1080" w:top="1440" w:right="1180" w:bottom="751" w:gutter="0" w:footer="0" w:header="0"/>
          <w:type w:val="continuous"/>
        </w:sectPr>
      </w:pPr>
    </w:p>
    <w:bookmarkStart w:id="142" w:name="page143"/>
    <w:bookmarkEnd w:id="142"/>
    <w:p>
      <w:pPr>
        <w:spacing w:after="0" w:line="21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Our Compensation Committee makes adjustments to annual compensation, determines bonuses and equity awards, and establishes (with input from the Board of Directors) new performance objectives. Our Compensation Committee will consider matters related to individual compensation, such as compensation for new executive hires, as well as high-level strategic issues, such as the efficacy of the Company’s compensation strategy, potential modifications to that strategy and new trends, plans or approaches to compensation. Generally, the Compensation Committee’s process comprises two related elements: the determination of compensation levels and the establishment of performance objectives for the current year. For executives other than the Chief Executive Officer, our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analyses of executive and director compensation paid at a peer group of other companies approved by our Compensation Committee. The Compensation Committee may delegate its authority to grant certain equity awards to one or more officers of the Company, including our Chief Executive Officer. The Compensation Committee did not delegate such authority in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Committee Interlocks</w:t>
      </w:r>
    </w:p>
    <w:p>
      <w:pPr>
        <w:spacing w:after="0" w:line="238"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9"/>
          <w:szCs w:val="19"/>
          <w:color w:val="auto"/>
        </w:rPr>
        <w:t>None of the members of our Compensation Committee has at any time during the prior three years been one of our officers or employees. None of our executive officers currently serves, or in the past fiscal year has served, as a member of the board or compensation committee of any entity that has one or more executive officers serving on our Board or Compensation Committee.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Nominating and Corporate Governance Committee</w:t>
      </w:r>
    </w:p>
    <w:p>
      <w:pPr>
        <w:spacing w:after="0" w:line="240" w:lineRule="exact"/>
        <w:rPr>
          <w:sz w:val="20"/>
          <w:szCs w:val="20"/>
          <w:color w:val="auto"/>
        </w:rPr>
      </w:pPr>
    </w:p>
    <w:p>
      <w:pPr>
        <w:ind w:right="500"/>
        <w:spacing w:after="0" w:line="249" w:lineRule="auto"/>
        <w:rPr>
          <w:sz w:val="20"/>
          <w:szCs w:val="20"/>
          <w:color w:val="auto"/>
        </w:rPr>
      </w:pPr>
      <w:r>
        <w:rPr>
          <w:rFonts w:ascii="Times New Roman" w:cs="Times New Roman" w:eastAsia="Times New Roman" w:hAnsi="Times New Roman"/>
          <w:sz w:val="20"/>
          <w:szCs w:val="20"/>
          <w:color w:val="auto"/>
        </w:rPr>
        <w:t>Our Nominating and Corporate Governance Committee is composed of Christopher Cain, Ph.D., Peter Harwin and Michael Landsittel, with Mr. Harwin serving as Chair of the committee. Our Board of Directors has determined that each member of the Nominating and Corporate Governance Committee is “independent” as defined under the applicable listing standards of Nasdaq. During fiscal year ended December 31, 2025, the Nominating and Corporate Governance Committee held one meeting. The Nominating and Corporate Governance Committee’s responsibilities include:</w:t>
      </w:r>
    </w:p>
    <w:p>
      <w:pPr>
        <w:spacing w:after="0" w:line="201" w:lineRule="exact"/>
        <w:rPr>
          <w:sz w:val="20"/>
          <w:szCs w:val="20"/>
          <w:color w:val="auto"/>
        </w:rPr>
      </w:pPr>
    </w:p>
    <w:p>
      <w:pPr>
        <w:ind w:left="980" w:hanging="544"/>
        <w:spacing w:after="0"/>
        <w:tabs>
          <w:tab w:leader="none" w:pos="9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and recommending to the Board of Directors criteria for Board of Director and committee membership;</w:t>
      </w:r>
    </w:p>
    <w:p>
      <w:pPr>
        <w:spacing w:after="0" w:line="36" w:lineRule="exact"/>
        <w:rPr>
          <w:rFonts w:ascii="Times New Roman" w:cs="Times New Roman" w:eastAsia="Times New Roman" w:hAnsi="Times New Roman"/>
          <w:sz w:val="20"/>
          <w:szCs w:val="20"/>
          <w:color w:val="auto"/>
        </w:rPr>
      </w:pPr>
    </w:p>
    <w:p>
      <w:pPr>
        <w:ind w:left="980" w:right="100" w:hanging="544"/>
        <w:spacing w:after="0" w:line="272" w:lineRule="auto"/>
        <w:tabs>
          <w:tab w:leader="none" w:pos="9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procedures for identifying and evaluating Board of Director candidates, including nominees recommended by stockholders;</w:t>
      </w:r>
    </w:p>
    <w:p>
      <w:pPr>
        <w:spacing w:after="0" w:line="181" w:lineRule="exact"/>
        <w:rPr>
          <w:rFonts w:ascii="Times New Roman" w:cs="Times New Roman" w:eastAsia="Times New Roman" w:hAnsi="Times New Roman"/>
          <w:sz w:val="20"/>
          <w:szCs w:val="20"/>
          <w:color w:val="auto"/>
        </w:rPr>
      </w:pPr>
    </w:p>
    <w:p>
      <w:pPr>
        <w:ind w:left="980" w:right="100" w:hanging="544"/>
        <w:spacing w:after="0" w:line="277" w:lineRule="auto"/>
        <w:tabs>
          <w:tab w:leader="none" w:pos="9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composition of the Board of Directors to confirm that it is composed of members containing the appropriate skills and expertise to advise us;</w:t>
      </w:r>
    </w:p>
    <w:p>
      <w:pPr>
        <w:spacing w:after="0" w:line="177" w:lineRule="exact"/>
        <w:rPr>
          <w:rFonts w:ascii="Times New Roman" w:cs="Times New Roman" w:eastAsia="Times New Roman" w:hAnsi="Times New Roman"/>
          <w:sz w:val="20"/>
          <w:szCs w:val="20"/>
          <w:color w:val="auto"/>
        </w:rPr>
      </w:pPr>
    </w:p>
    <w:p>
      <w:pPr>
        <w:ind w:left="980" w:hanging="544"/>
        <w:spacing w:after="0"/>
        <w:tabs>
          <w:tab w:leader="none" w:pos="9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individuals qualified to become members of the Board of Directors;</w:t>
      </w:r>
    </w:p>
    <w:p>
      <w:pPr>
        <w:spacing w:after="0" w:line="248" w:lineRule="exact"/>
        <w:rPr>
          <w:rFonts w:ascii="Times New Roman" w:cs="Times New Roman" w:eastAsia="Times New Roman" w:hAnsi="Times New Roman"/>
          <w:sz w:val="20"/>
          <w:szCs w:val="20"/>
          <w:color w:val="auto"/>
        </w:rPr>
      </w:pPr>
    </w:p>
    <w:p>
      <w:pPr>
        <w:ind w:left="980" w:right="100" w:hanging="544"/>
        <w:spacing w:after="0" w:line="277" w:lineRule="auto"/>
        <w:tabs>
          <w:tab w:leader="none" w:pos="9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recommending to the Board of Directors the persons to be nominated for election as directors and to each of the Board of Directors’ committees;</w:t>
      </w:r>
    </w:p>
    <w:p>
      <w:pPr>
        <w:spacing w:after="0" w:line="177" w:lineRule="exact"/>
        <w:rPr>
          <w:rFonts w:ascii="Times New Roman" w:cs="Times New Roman" w:eastAsia="Times New Roman" w:hAnsi="Times New Roman"/>
          <w:sz w:val="20"/>
          <w:szCs w:val="20"/>
          <w:color w:val="auto"/>
        </w:rPr>
      </w:pPr>
    </w:p>
    <w:p>
      <w:pPr>
        <w:ind w:left="980" w:right="100" w:hanging="544"/>
        <w:spacing w:after="0" w:line="277" w:lineRule="auto"/>
        <w:tabs>
          <w:tab w:leader="none" w:pos="9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assessing and recommending to the Board of Directors a code of business conduct and ethics and a set of corporate governance guidelines;</w:t>
      </w:r>
    </w:p>
    <w:p>
      <w:pPr>
        <w:spacing w:after="0" w:line="177" w:lineRule="exact"/>
        <w:rPr>
          <w:rFonts w:ascii="Times New Roman" w:cs="Times New Roman" w:eastAsia="Times New Roman" w:hAnsi="Times New Roman"/>
          <w:sz w:val="20"/>
          <w:szCs w:val="20"/>
          <w:color w:val="auto"/>
        </w:rPr>
      </w:pPr>
    </w:p>
    <w:p>
      <w:pPr>
        <w:ind w:left="980" w:hanging="544"/>
        <w:spacing w:after="0"/>
        <w:tabs>
          <w:tab w:leader="none" w:pos="9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and review, from time to time, a succession plan for key members of management;</w:t>
      </w:r>
    </w:p>
    <w:p>
      <w:pPr>
        <w:spacing w:after="0" w:line="248" w:lineRule="exact"/>
        <w:rPr>
          <w:rFonts w:ascii="Times New Roman" w:cs="Times New Roman" w:eastAsia="Times New Roman" w:hAnsi="Times New Roman"/>
          <w:sz w:val="20"/>
          <w:szCs w:val="20"/>
          <w:color w:val="auto"/>
        </w:rPr>
      </w:pPr>
    </w:p>
    <w:p>
      <w:pPr>
        <w:ind w:left="980" w:hanging="544"/>
        <w:spacing w:after="0"/>
        <w:tabs>
          <w:tab w:leader="none" w:pos="9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overseeing the evaluation of our Board of Directors and management;</w:t>
      </w:r>
    </w:p>
    <w:p>
      <w:pPr>
        <w:spacing w:after="0" w:line="248" w:lineRule="exact"/>
        <w:rPr>
          <w:rFonts w:ascii="Times New Roman" w:cs="Times New Roman" w:eastAsia="Times New Roman" w:hAnsi="Times New Roman"/>
          <w:sz w:val="20"/>
          <w:szCs w:val="20"/>
          <w:color w:val="auto"/>
        </w:rPr>
      </w:pPr>
    </w:p>
    <w:p>
      <w:pPr>
        <w:ind w:left="980" w:hanging="544"/>
        <w:spacing w:after="0"/>
        <w:tabs>
          <w:tab w:leader="none" w:pos="9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overseeing our environmental, social and governance initiatives; and</w:t>
      </w:r>
    </w:p>
    <w:p>
      <w:pPr>
        <w:spacing w:after="0" w:line="248" w:lineRule="exact"/>
        <w:rPr>
          <w:rFonts w:ascii="Times New Roman" w:cs="Times New Roman" w:eastAsia="Times New Roman" w:hAnsi="Times New Roman"/>
          <w:sz w:val="20"/>
          <w:szCs w:val="20"/>
          <w:color w:val="auto"/>
        </w:rPr>
      </w:pPr>
    </w:p>
    <w:p>
      <w:pPr>
        <w:jc w:val="both"/>
        <w:ind w:left="980" w:right="100" w:hanging="544"/>
        <w:spacing w:after="0" w:line="258" w:lineRule="auto"/>
        <w:tabs>
          <w:tab w:leader="none" w:pos="9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annually, reviewing and reassessing the adequacy of the nominating and corporate governance committee charter and recommending to the Board of Directors any amendments or modifications to the charter that the Nominating and Corporate Governance Committee deems appropriate.</w:t>
      </w: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960" w:h="17280" w:orient="portrait"/>
          <w:cols w:equalWidth="0" w:num="1">
            <w:col w:w="10800"/>
          </w:cols>
          <w:pgMar w:left="1080" w:top="1440" w:right="1080" w:bottom="751" w:gutter="0" w:footer="0" w:header="0"/>
          <w:type w:val="continuous"/>
        </w:sectPr>
      </w:pPr>
    </w:p>
    <w:bookmarkStart w:id="143" w:name="page144"/>
    <w:bookmarkEnd w:id="143"/>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Identifying and Evaluating Director Nominees</w:t>
      </w:r>
    </w:p>
    <w:p>
      <w:pPr>
        <w:spacing w:after="0" w:line="24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Our Board of Directors is responsible for identifying and recommending qualified members of our Board of Directors. The Board of Directors delegates the selection process to the Nominating and Corporate Governance Committee, with the expectation that other members of the Board of Directors will take part in the process as appropriate.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Generally, our Nominating and Corporate Governance Committee may identify candidates for director nominees in consultation with our management team or other directors, through the use of search firms or other advisors, through the recommendations submitted by stockholders or through such other methods as the Nominating and Corporate Governance Committee deems to be helpful to identify candidates. Once candidates have been identified, our Nominating and Corporate Governance Committee confirms that the candidates meet all of the minimum qualifications for director nominees established by the Nominating and Corporate Governance Committee.</w:t>
      </w:r>
    </w:p>
    <w:p>
      <w:pPr>
        <w:spacing w:after="0" w:line="4"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0"/>
          <w:szCs w:val="20"/>
          <w:color w:val="auto"/>
        </w:rPr>
        <w:t>The Nominating and Corporate Governance Committee may gather information about the candidates through interviews, detailed questionnaires, background checks or any other means that the Nominating and Corporate Governance Committee deems to be appropriate in the evaluation process. The Nominating and Corporate Governance Committee then discusses and evaluates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as director nominees for election to the Board of Directors.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Qualifications</w:t>
      </w:r>
    </w:p>
    <w:p>
      <w:pPr>
        <w:spacing w:after="0" w:line="24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Our Nominating and Corporate Governance Committee’s priority in selecting members of the Board of Directors is identification of persons who will further the interests of Damora Therapeutics through their established record of professional accomplishment, the ability to contribute positively to the collaborative culture among members of the Board of Directors, and professional and personal experiences and expertise relevant to our growth strategy. They will consider, among other things, the following when recommending candidates for the Board of Directors’ selection as director nominees for the Board and as candidates for appointment to the Board of Directors’ committees: the current size and composition of the Board, the needs of the Board and its respective committees, such factors as character, integrity, judgment, reputation, the skills of the proposed director candidate, the ability to devote sufficient time, his or her depth and breadth of professional experience, education or other background characteristics, his or her independence and understanding of the Company’s business and industry, length of service, and other relevant criteria.</w:t>
      </w:r>
    </w:p>
    <w:p>
      <w:pPr>
        <w:spacing w:after="0" w:line="20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The Nominating and Corporate Governance Committee will consider candidates recommended by stockholders. The policy adopted by the Nominating and Corporate Governance Committee provides that candidates recommended by stockholders are given appropriate consideration in a similar manner as other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Non-Management Director Meetings</w:t>
      </w:r>
    </w:p>
    <w:p>
      <w:pPr>
        <w:spacing w:after="0" w:line="24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auto"/>
        </w:rPr>
        <w:t>Our independent directors meet in regularly scheduled executive sessions without management. These executive sessions occur in conjunction with regularly scheduled meetings of our Board of Directors and its standing committees and otherwise as needed.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Communication with the Directors</w:t>
      </w: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Any interested party with concerns about our company may report such concerns or otherwise communicate to the Board of Directors, as a whole or to committees or individual directors, by submitting a written communication to the attention of the Board of Directors, committee or individual directors, as applicable, at the following address: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 Damora Therapeutics, Inc.</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221 Crescent Street</w:t>
      </w:r>
    </w:p>
    <w:p>
      <w:pPr>
        <w:jc w:val="center"/>
        <w:ind w:right="-39"/>
        <w:spacing w:after="0"/>
        <w:rPr>
          <w:sz w:val="20"/>
          <w:szCs w:val="20"/>
          <w:color w:val="auto"/>
        </w:rPr>
      </w:pPr>
      <w:r>
        <w:rPr>
          <w:rFonts w:ascii="Times New Roman" w:cs="Times New Roman" w:eastAsia="Times New Roman" w:hAnsi="Times New Roman"/>
          <w:sz w:val="20"/>
          <w:szCs w:val="20"/>
          <w:color w:val="auto"/>
        </w:rPr>
        <w:t>Building 23, Suite 105</w:t>
      </w:r>
    </w:p>
    <w:p>
      <w:pPr>
        <w:jc w:val="center"/>
        <w:ind w:right="-39"/>
        <w:spacing w:after="0"/>
        <w:rPr>
          <w:sz w:val="20"/>
          <w:szCs w:val="20"/>
          <w:color w:val="auto"/>
        </w:rPr>
      </w:pPr>
      <w:r>
        <w:rPr>
          <w:rFonts w:ascii="Times New Roman" w:cs="Times New Roman" w:eastAsia="Times New Roman" w:hAnsi="Times New Roman"/>
          <w:sz w:val="20"/>
          <w:szCs w:val="20"/>
          <w:color w:val="auto"/>
        </w:rPr>
        <w:t>Waltham, MA 02453</w:t>
      </w:r>
    </w:p>
    <w:p>
      <w:pPr>
        <w:spacing w:after="0" w:line="212"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color w:val="auto"/>
        </w:rPr>
        <w:t>You may submit your concern anonymously or confidentially by postal mail. You may also indicate whether you are a stockholder, supplier, or other interested party.</w:t>
      </w:r>
    </w:p>
    <w:p>
      <w:pPr>
        <w:spacing w:after="0" w:line="1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A copy of any such written communication may also be forwarded to the Company’s legal counsel and a copy of such communication may be retained for a reasonable period of time. The directors may discuss the matter with the Company’s legal counsel, with independent advisors, with other directors, or with the Company’s management, or may take other action or no action as the director determines in good faith, using reasonable judgment, and applying his or her own discretion.</w:t>
      </w:r>
    </w:p>
    <w:p>
      <w:pPr>
        <w:sectPr>
          <w:pgSz w:w="12960" w:h="17280" w:orient="portrait"/>
          <w:cols w:equalWidth="0" w:num="1">
            <w:col w:w="10760"/>
          </w:cols>
          <w:pgMar w:left="1080" w:top="1440" w:right="112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w:t>
      </w:r>
    </w:p>
    <w:p>
      <w:pPr>
        <w:sectPr>
          <w:pgSz w:w="12960" w:h="17280" w:orient="portrait"/>
          <w:cols w:equalWidth="0" w:num="1">
            <w:col w:w="10760"/>
          </w:cols>
          <w:pgMar w:left="1080" w:top="1440" w:right="1120" w:bottom="751" w:gutter="0" w:footer="0" w:header="0"/>
          <w:type w:val="continuous"/>
        </w:sectPr>
      </w:pPr>
    </w:p>
    <w:bookmarkStart w:id="144" w:name="page145"/>
    <w:bookmarkEnd w:id="144"/>
    <w:p>
      <w:pPr>
        <w:spacing w:after="0" w:line="2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In general, communications relating to corporate governance and long-term corporate strategy are more likely to be forwarded than communications relating to ordinary business affairs, personal grievances, and matters as to which we receive repetitive or duplicative communications.</w:t>
      </w:r>
    </w:p>
    <w:p>
      <w:pPr>
        <w:spacing w:after="0" w:line="18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color w:val="auto"/>
        </w:rPr>
        <w:t>The Audit Committee oversees the procedures for the receipt, retention, and treatment of complaints received by the Company regarding accounting, internal accounting controls, or audit matters, and the confidential, anonymous submission by employees of concerns regarding questionable accounting, internal accounting controls or auditing matters.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 Engagement</w:t>
      </w:r>
    </w:p>
    <w:p>
      <w:pPr>
        <w:spacing w:after="0" w:line="24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Senior management regularly engages with our stockholders at industry conferences and investor meetings. In response to feedback gained through these meetings, we remain focused on delivering on our growth strategy, and we continue to enhance the transparency and disclosure of our financial, operational and governance performance.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Leadership Structure and Risk Oversight</w:t>
      </w:r>
    </w:p>
    <w:p>
      <w:pPr>
        <w:spacing w:after="0" w:line="24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Our Board of Directors is currently chaired by Peter Harwin. The Board of Directors has determined that Mr. Harwin is an independent director. However, our corporate governance guidelines provide that the Chair of the Board of Directors may be filled based upon the Board of Directors’ view of what is in the best interest of the company, and that such person could be the Company’s Chief Executive Officer or another member of the Board who is not an independent director. The Board believes that this structure is appropriate for the Company as the independent Chair’s leadership of the Board and oversight of corporate governance matters enables our CEO to focus on leading the Company’s business.</w:t>
      </w:r>
    </w:p>
    <w:p>
      <w:pPr>
        <w:spacing w:after="0" w:line="20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Risk is inherent with every business, and how well a business manages risk can ultimately determine its success. We face a number of risks, including risks relating to our financial condition, research and development activities, operations, strategic direction and intellectual property, as more fully discussed under “Risk Factors” in our 2025 Annual Report. Management is responsible for the day-to-day management of risks we face, while our Board of Directors, as a whole and through its committees, including as disclosed in the descriptions of the standing committees and in the charters of each of such committees, has responsibility for the oversight of risk management.</w:t>
      </w:r>
    </w:p>
    <w:p>
      <w:pPr>
        <w:spacing w:after="0" w:line="20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full Board of Directors (or the appropriate committee thereof in the case of risks that are under the purview of a particular committee) discusses with management our major risk exposures, their potential impact on us, and the steps we take to manage them. When a committee of the Board of Directors is responsible for evaluating and overseeing the management of a particular risk or risks, the Chair of the relevant committee reports on the discussion to the full Board of Directors during the committee reports portion of the next Board of Directors meeting. This enables the Board of Directors and its committees to coordinate the risk oversight role, particularly with respect to risk interrelationships.</w:t>
      </w:r>
    </w:p>
    <w:p>
      <w:pPr>
        <w:sectPr>
          <w:pgSz w:w="12960" w:h="17280" w:orient="portrait"/>
          <w:cols w:equalWidth="0" w:num="1">
            <w:col w:w="10760"/>
          </w:cols>
          <w:pgMar w:left="1080" w:top="1440" w:right="112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ectPr>
          <w:pgSz w:w="12960" w:h="17280" w:orient="portrait"/>
          <w:cols w:equalWidth="0" w:num="1">
            <w:col w:w="10760"/>
          </w:cols>
          <w:pgMar w:left="1080" w:top="1440" w:right="1120" w:bottom="751" w:gutter="0" w:footer="0" w:header="0"/>
          <w:type w:val="continuous"/>
        </w:sectPr>
      </w:pPr>
    </w:p>
    <w:bookmarkStart w:id="145" w:name="page146"/>
    <w:bookmarkEnd w:id="145"/>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OFFICER COMPENSATION</w:t>
      </w:r>
    </w:p>
    <w:p>
      <w:pPr>
        <w:spacing w:after="0" w:line="24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following discussion contains forward 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w:t>
      </w:r>
    </w:p>
    <w:p>
      <w:pPr>
        <w:spacing w:after="0" w:line="18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As a smaller reporting company, we have opted to comply with the scaled executive compensation disclosure rules applicable to “smaller reporting companies,” as such term is defined in the rules promulgated under the Securities Act. The compensation provided to our named executive officers for the fiscal years ended December 31, 2025 and 2024 is detailed in the Summary Compensation Table and accompanying footnotes and narrative that follow. Our named executive officers for 2025 are:</w:t>
      </w:r>
    </w:p>
    <w:p>
      <w:pPr>
        <w:spacing w:after="0" w:line="208" w:lineRule="exact"/>
        <w:rPr>
          <w:sz w:val="20"/>
          <w:szCs w:val="20"/>
          <w:color w:val="auto"/>
        </w:rPr>
      </w:pPr>
    </w:p>
    <w:p>
      <w:pPr>
        <w:ind w:left="720" w:hanging="360"/>
        <w:spacing w:after="0"/>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Hans T. Schambye, M.D., Ph.D., our former President and Chief Executive Officer;</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Lori Firmani, our Chief Financial Officer; and</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Garrett Winslow, our General Counsel.</w:t>
      </w:r>
    </w:p>
    <w:p>
      <w:pPr>
        <w:spacing w:after="0" w:line="2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Dr. Schambye ceased serving as the Company’s Chief Executive Officer and President, and his employment was terminated by the Company without cause, effective as of February 10, 2026. Sherwin Sattarzadeh served as the Company’s interim principal executive officer until Jennifer Jarrett was appointed as President and Chief Executive Officer of the Company, effective as of March 30, 2026.</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During 2025, the compensation of our named executive officers consisted of a combination of base salary, cash incentive compensation and long-term incentive compensation, as more fully described below. Our named executive officers, like all full-time employees, are eligible to participate in our health and welfare benefit plans.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244"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color w:val="auto"/>
        </w:rPr>
        <w:t>The following table sets forth information regarding compensation awarded to, earned by or paid to each of our named executive officers for the years ended December 31, 2025 and 2024, as applicable.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4"/>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4"/>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Salary</w:t>
            </w: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2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w:t>
            </w:r>
          </w:p>
        </w:tc>
        <w:tc>
          <w:tcPr>
            <w:tcW w:w="2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20" w:type="dxa"/>
            <w:vAlign w:val="bottom"/>
          </w:tcPr>
          <w:p>
            <w:pPr>
              <w:spacing w:after="0"/>
              <w:rPr>
                <w:sz w:val="17"/>
                <w:szCs w:val="17"/>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40" w:type="dxa"/>
            <w:vAlign w:val="bottom"/>
          </w:tcPr>
          <w:p>
            <w:pPr>
              <w:spacing w:after="0"/>
              <w:rPr>
                <w:sz w:val="17"/>
                <w:szCs w:val="17"/>
                <w:color w:val="auto"/>
              </w:rPr>
            </w:pPr>
          </w:p>
        </w:tc>
        <w:tc>
          <w:tcPr>
            <w:tcW w:w="1020" w:type="dxa"/>
            <w:vAlign w:val="bottom"/>
            <w:tcBorders>
              <w:bottom w:val="single" w:sz="8" w:color="auto"/>
            </w:tcBorders>
          </w:tcPr>
          <w:p>
            <w:pPr>
              <w:jc w:val="center"/>
              <w:ind w:right="280"/>
              <w:spacing w:after="0" w:line="20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center"/>
              <w:ind w:right="240"/>
              <w:spacing w:after="0" w:line="20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b w:val="1"/>
                <w:bCs w:val="1"/>
                <w:color w:val="auto"/>
                <w:vertAlign w:val="superscript"/>
              </w:rPr>
              <w:t>(2)</w:t>
            </w:r>
          </w:p>
        </w:tc>
        <w:tc>
          <w:tcPr>
            <w:tcW w:w="280" w:type="dxa"/>
            <w:vAlign w:val="bottom"/>
          </w:tcPr>
          <w:p>
            <w:pPr>
              <w:spacing w:after="0"/>
              <w:rPr>
                <w:sz w:val="17"/>
                <w:szCs w:val="17"/>
                <w:color w:val="auto"/>
              </w:rPr>
            </w:pPr>
          </w:p>
        </w:tc>
        <w:tc>
          <w:tcPr>
            <w:tcW w:w="940" w:type="dxa"/>
            <w:vAlign w:val="bottom"/>
            <w:tcBorders>
              <w:bottom w:val="single" w:sz="8" w:color="auto"/>
            </w:tcBorders>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0"/>
                <w:szCs w:val="20"/>
                <w:b w:val="1"/>
                <w:bCs w:val="1"/>
                <w:color w:val="auto"/>
                <w:w w:val="87"/>
                <w:vertAlign w:val="superscript"/>
              </w:rPr>
              <w:t>(3)</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0"/>
                <w:szCs w:val="20"/>
                <w:b w:val="1"/>
                <w:bCs w:val="1"/>
                <w:color w:val="auto"/>
                <w:w w:val="87"/>
                <w:vertAlign w:val="superscript"/>
              </w:rPr>
              <w:t>(4)</w:t>
            </w:r>
          </w:p>
        </w:tc>
        <w:tc>
          <w:tcPr>
            <w:tcW w:w="14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40" w:type="dxa"/>
            <w:vAlign w:val="bottom"/>
          </w:tcPr>
          <w:p>
            <w:pPr>
              <w:spacing w:after="0"/>
              <w:rPr>
                <w:sz w:val="17"/>
                <w:szCs w:val="17"/>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0</wp:posOffset>
                </wp:positionV>
                <wp:extent cx="1847850" cy="15494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7850" cy="154940"/>
                        </a:xfrm>
                        <a:prstGeom prst="rect">
                          <a:avLst/>
                        </a:prstGeom>
                        <a:solidFill>
                          <a:srgbClr val="D5EEEE"/>
                        </a:solidFill>
                      </wps:spPr>
                      <wps:bodyPr/>
                    </wps:wsp>
                  </a:graphicData>
                </a:graphic>
              </wp:anchor>
            </w:drawing>
          </mc:Choice>
          <mc:Fallback>
            <w:pict>
              <v:rect id="Shape 50" o:spid="_x0000_s1075" style="position:absolute;margin-left:0pt;margin-top:0pt;width:14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1847850</wp:posOffset>
                </wp:positionH>
                <wp:positionV relativeFrom="paragraph">
                  <wp:posOffset>-9525</wp:posOffset>
                </wp:positionV>
                <wp:extent cx="81915" cy="16383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915" cy="163830"/>
                        </a:xfrm>
                        <a:prstGeom prst="rect">
                          <a:avLst/>
                        </a:prstGeom>
                        <a:solidFill>
                          <a:srgbClr val="D5EEEE"/>
                        </a:solidFill>
                      </wps:spPr>
                      <wps:bodyPr/>
                    </wps:wsp>
                  </a:graphicData>
                </a:graphic>
              </wp:anchor>
            </w:drawing>
          </mc:Choice>
          <mc:Fallback>
            <w:pict>
              <v:rect id="Shape 51" o:spid="_x0000_s1076" style="position:absolute;margin-left:145.5pt;margin-top:-0.7499pt;width:6.4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1929765</wp:posOffset>
                </wp:positionH>
                <wp:positionV relativeFrom="paragraph">
                  <wp:posOffset>0</wp:posOffset>
                </wp:positionV>
                <wp:extent cx="458470" cy="15494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8470" cy="154940"/>
                        </a:xfrm>
                        <a:prstGeom prst="rect">
                          <a:avLst/>
                        </a:prstGeom>
                        <a:solidFill>
                          <a:srgbClr val="D5EEEE"/>
                        </a:solidFill>
                      </wps:spPr>
                      <wps:bodyPr/>
                    </wps:wsp>
                  </a:graphicData>
                </a:graphic>
              </wp:anchor>
            </w:drawing>
          </mc:Choice>
          <mc:Fallback>
            <w:pict>
              <v:rect id="Shape 52" o:spid="_x0000_s1077" style="position:absolute;margin-left:151.95pt;margin-top:0pt;width:36.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2388235</wp:posOffset>
                </wp:positionH>
                <wp:positionV relativeFrom="paragraph">
                  <wp:posOffset>-9525</wp:posOffset>
                </wp:positionV>
                <wp:extent cx="82550" cy="16383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0" cy="163830"/>
                        </a:xfrm>
                        <a:prstGeom prst="rect">
                          <a:avLst/>
                        </a:prstGeom>
                        <a:solidFill>
                          <a:srgbClr val="D5EEEE"/>
                        </a:solidFill>
                      </wps:spPr>
                      <wps:bodyPr/>
                    </wps:wsp>
                  </a:graphicData>
                </a:graphic>
              </wp:anchor>
            </w:drawing>
          </mc:Choice>
          <mc:Fallback>
            <w:pict>
              <v:rect id="Shape 53" o:spid="_x0000_s1078" style="position:absolute;margin-left:188.05pt;margin-top:-0.7499pt;width:6.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2470785</wp:posOffset>
                </wp:positionH>
                <wp:positionV relativeFrom="paragraph">
                  <wp:posOffset>0</wp:posOffset>
                </wp:positionV>
                <wp:extent cx="647700" cy="15494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154940"/>
                        </a:xfrm>
                        <a:prstGeom prst="rect">
                          <a:avLst/>
                        </a:prstGeom>
                        <a:solidFill>
                          <a:srgbClr val="D5EEEE"/>
                        </a:solidFill>
                      </wps:spPr>
                      <wps:bodyPr/>
                    </wps:wsp>
                  </a:graphicData>
                </a:graphic>
              </wp:anchor>
            </w:drawing>
          </mc:Choice>
          <mc:Fallback>
            <w:pict>
              <v:rect id="Shape 54" o:spid="_x0000_s1079" style="position:absolute;margin-left:194.55pt;margin-top:0pt;width: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3118485</wp:posOffset>
                </wp:positionH>
                <wp:positionV relativeFrom="paragraph">
                  <wp:posOffset>-9525</wp:posOffset>
                </wp:positionV>
                <wp:extent cx="109220" cy="16383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220" cy="163830"/>
                        </a:xfrm>
                        <a:prstGeom prst="rect">
                          <a:avLst/>
                        </a:prstGeom>
                        <a:solidFill>
                          <a:srgbClr val="D5EEEE"/>
                        </a:solidFill>
                      </wps:spPr>
                      <wps:bodyPr/>
                    </wps:wsp>
                  </a:graphicData>
                </a:graphic>
              </wp:anchor>
            </w:drawing>
          </mc:Choice>
          <mc:Fallback>
            <w:pict>
              <v:rect id="Shape 55" o:spid="_x0000_s1080" style="position:absolute;margin-left:245.55pt;margin-top:-0.7499pt;width:8.6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3227705</wp:posOffset>
                </wp:positionH>
                <wp:positionV relativeFrom="paragraph">
                  <wp:posOffset>0</wp:posOffset>
                </wp:positionV>
                <wp:extent cx="602615" cy="15494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615" cy="154940"/>
                        </a:xfrm>
                        <a:prstGeom prst="rect">
                          <a:avLst/>
                        </a:prstGeom>
                        <a:solidFill>
                          <a:srgbClr val="D5EEEE"/>
                        </a:solidFill>
                      </wps:spPr>
                      <wps:bodyPr/>
                    </wps:wsp>
                  </a:graphicData>
                </a:graphic>
              </wp:anchor>
            </w:drawing>
          </mc:Choice>
          <mc:Fallback>
            <w:pict>
              <v:rect id="Shape 56" o:spid="_x0000_s1081" style="position:absolute;margin-left:254.15pt;margin-top:0pt;width:47.4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3830320</wp:posOffset>
                </wp:positionH>
                <wp:positionV relativeFrom="paragraph">
                  <wp:posOffset>-8890</wp:posOffset>
                </wp:positionV>
                <wp:extent cx="178435" cy="16383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435" cy="163830"/>
                        </a:xfrm>
                        <a:prstGeom prst="rect">
                          <a:avLst/>
                        </a:prstGeom>
                        <a:solidFill>
                          <a:srgbClr val="D5EEEE"/>
                        </a:solidFill>
                      </wps:spPr>
                      <wps:bodyPr/>
                    </wps:wsp>
                  </a:graphicData>
                </a:graphic>
              </wp:anchor>
            </w:drawing>
          </mc:Choice>
          <mc:Fallback>
            <w:pict>
              <v:rect id="Shape 57" o:spid="_x0000_s1082" style="position:absolute;margin-left:301.6pt;margin-top:-0.6999pt;width:14.0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4008755</wp:posOffset>
                </wp:positionH>
                <wp:positionV relativeFrom="paragraph">
                  <wp:posOffset>0</wp:posOffset>
                </wp:positionV>
                <wp:extent cx="605155" cy="15494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155" cy="154940"/>
                        </a:xfrm>
                        <a:prstGeom prst="rect">
                          <a:avLst/>
                        </a:prstGeom>
                        <a:solidFill>
                          <a:srgbClr val="D5EEEE"/>
                        </a:solidFill>
                      </wps:spPr>
                      <wps:bodyPr/>
                    </wps:wsp>
                  </a:graphicData>
                </a:graphic>
              </wp:anchor>
            </w:drawing>
          </mc:Choice>
          <mc:Fallback>
            <w:pict>
              <v:rect id="Shape 58" o:spid="_x0000_s1083" style="position:absolute;margin-left:315.65pt;margin-top:0pt;width:47.6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4613910</wp:posOffset>
                </wp:positionH>
                <wp:positionV relativeFrom="paragraph">
                  <wp:posOffset>-9525</wp:posOffset>
                </wp:positionV>
                <wp:extent cx="94615" cy="16383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615" cy="163830"/>
                        </a:xfrm>
                        <a:prstGeom prst="rect">
                          <a:avLst/>
                        </a:prstGeom>
                        <a:solidFill>
                          <a:srgbClr val="D5EEEE"/>
                        </a:solidFill>
                      </wps:spPr>
                      <wps:bodyPr/>
                    </wps:wsp>
                  </a:graphicData>
                </a:graphic>
              </wp:anchor>
            </w:drawing>
          </mc:Choice>
          <mc:Fallback>
            <w:pict>
              <v:rect id="Shape 59" o:spid="_x0000_s1084" style="position:absolute;margin-left:363.3pt;margin-top:-0.7499pt;width:7.4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4708525</wp:posOffset>
                </wp:positionH>
                <wp:positionV relativeFrom="paragraph">
                  <wp:posOffset>0</wp:posOffset>
                </wp:positionV>
                <wp:extent cx="608330" cy="15494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330" cy="154940"/>
                        </a:xfrm>
                        <a:prstGeom prst="rect">
                          <a:avLst/>
                        </a:prstGeom>
                        <a:solidFill>
                          <a:srgbClr val="D5EEEE"/>
                        </a:solidFill>
                      </wps:spPr>
                      <wps:bodyPr/>
                    </wps:wsp>
                  </a:graphicData>
                </a:graphic>
              </wp:anchor>
            </w:drawing>
          </mc:Choice>
          <mc:Fallback>
            <w:pict>
              <v:rect id="Shape 60" o:spid="_x0000_s1085" style="position:absolute;margin-left:370.75pt;margin-top:0pt;width:47.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5316855</wp:posOffset>
                </wp:positionH>
                <wp:positionV relativeFrom="paragraph">
                  <wp:posOffset>-9525</wp:posOffset>
                </wp:positionV>
                <wp:extent cx="94615" cy="16383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615" cy="163830"/>
                        </a:xfrm>
                        <a:prstGeom prst="rect">
                          <a:avLst/>
                        </a:prstGeom>
                        <a:solidFill>
                          <a:srgbClr val="D5EEEE"/>
                        </a:solidFill>
                      </wps:spPr>
                      <wps:bodyPr/>
                    </wps:wsp>
                  </a:graphicData>
                </a:graphic>
              </wp:anchor>
            </w:drawing>
          </mc:Choice>
          <mc:Fallback>
            <w:pict>
              <v:rect id="Shape 61" o:spid="_x0000_s1086" style="position:absolute;margin-left:418.65pt;margin-top:-0.7499pt;width:7.4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5411470</wp:posOffset>
                </wp:positionH>
                <wp:positionV relativeFrom="paragraph">
                  <wp:posOffset>0</wp:posOffset>
                </wp:positionV>
                <wp:extent cx="623570" cy="15494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3570" cy="154940"/>
                        </a:xfrm>
                        <a:prstGeom prst="rect">
                          <a:avLst/>
                        </a:prstGeom>
                        <a:solidFill>
                          <a:srgbClr val="D5EEEE"/>
                        </a:solidFill>
                      </wps:spPr>
                      <wps:bodyPr/>
                    </wps:wsp>
                  </a:graphicData>
                </a:graphic>
              </wp:anchor>
            </w:drawing>
          </mc:Choice>
          <mc:Fallback>
            <w:pict>
              <v:rect id="Shape 62" o:spid="_x0000_s1087" style="position:absolute;margin-left:426.1pt;margin-top:0pt;width:49.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6035040</wp:posOffset>
                </wp:positionH>
                <wp:positionV relativeFrom="paragraph">
                  <wp:posOffset>-9525</wp:posOffset>
                </wp:positionV>
                <wp:extent cx="145415" cy="16383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415" cy="163830"/>
                        </a:xfrm>
                        <a:prstGeom prst="rect">
                          <a:avLst/>
                        </a:prstGeom>
                        <a:solidFill>
                          <a:srgbClr val="D5EEEE"/>
                        </a:solidFill>
                      </wps:spPr>
                      <wps:bodyPr/>
                    </wps:wsp>
                  </a:graphicData>
                </a:graphic>
              </wp:anchor>
            </w:drawing>
          </mc:Choice>
          <mc:Fallback>
            <w:pict>
              <v:rect id="Shape 63" o:spid="_x0000_s1088" style="position:absolute;margin-left:475.2pt;margin-top:-0.7499pt;width:11.4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6180455</wp:posOffset>
                </wp:positionH>
                <wp:positionV relativeFrom="paragraph">
                  <wp:posOffset>0</wp:posOffset>
                </wp:positionV>
                <wp:extent cx="645795" cy="15494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5795" cy="154940"/>
                        </a:xfrm>
                        <a:prstGeom prst="rect">
                          <a:avLst/>
                        </a:prstGeom>
                        <a:solidFill>
                          <a:srgbClr val="D5EEEE"/>
                        </a:solidFill>
                      </wps:spPr>
                      <wps:bodyPr/>
                    </wps:wsp>
                  </a:graphicData>
                </a:graphic>
              </wp:anchor>
            </w:drawing>
          </mc:Choice>
          <mc:Fallback>
            <w:pict>
              <v:rect id="Shape 64" o:spid="_x0000_s1089" style="position:absolute;margin-left:486.65pt;margin-top:0pt;width:50.8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6842125</wp:posOffset>
                </wp:positionH>
                <wp:positionV relativeFrom="paragraph">
                  <wp:posOffset>-9525</wp:posOffset>
                </wp:positionV>
                <wp:extent cx="0" cy="16383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3830"/>
                        </a:xfrm>
                        <a:prstGeom prst="line">
                          <a:avLst/>
                        </a:prstGeom>
                        <a:solidFill>
                          <a:srgbClr val="FFFFFF"/>
                        </a:solidFill>
                        <a:ln w="31749">
                          <a:solidFill>
                            <a:srgbClr val="D5EEEE"/>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8.75pt,-0.7499pt" to="538.75pt,12.15pt" o:allowincell="f" strokecolor="#D5EEEE" strokeweight="2.4999pt"/>
            </w:pict>
          </mc:Fallback>
        </mc:AlternateContent>
      </w:r>
    </w:p>
    <w:p>
      <w:pPr>
        <w:spacing w:after="0"/>
        <w:rPr>
          <w:sz w:val="20"/>
          <w:szCs w:val="20"/>
          <w:color w:val="auto"/>
        </w:rPr>
      </w:pPr>
      <w:r>
        <w:rPr>
          <w:rFonts w:ascii="Times New Roman" w:cs="Times New Roman" w:eastAsia="Times New Roman" w:hAnsi="Times New Roman"/>
          <w:sz w:val="20"/>
          <w:szCs w:val="20"/>
          <w:color w:val="auto"/>
        </w:rPr>
        <w:t>Hans T. Schambye, M.D., Ph.D.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Former President and</w:t>
            </w:r>
          </w:p>
        </w:tc>
        <w:tc>
          <w:tcPr>
            <w:tcW w:w="1360" w:type="dxa"/>
            <w:vAlign w:val="bottom"/>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2025</w:t>
            </w:r>
          </w:p>
        </w:tc>
        <w:tc>
          <w:tcPr>
            <w:tcW w:w="122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547,521</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678,594</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102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73,677</w:t>
            </w:r>
          </w:p>
        </w:tc>
        <w:tc>
          <w:tcPr>
            <w:tcW w:w="116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1,299,792</w:t>
            </w:r>
          </w:p>
        </w:tc>
        <w:tc>
          <w:tcPr>
            <w:tcW w:w="0" w:type="dxa"/>
            <w:vAlign w:val="bottom"/>
          </w:tcPr>
          <w:p>
            <w:pPr>
              <w:spacing w:after="0"/>
              <w:rPr>
                <w:sz w:val="1"/>
                <w:szCs w:val="1"/>
                <w:color w:val="auto"/>
              </w:rPr>
            </w:pPr>
          </w:p>
        </w:tc>
      </w:tr>
      <w:tr>
        <w:trPr>
          <w:trHeight w:val="150"/>
        </w:trPr>
        <w:tc>
          <w:tcPr>
            <w:tcW w:w="25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Chief Executive Officer</w:t>
            </w:r>
          </w:p>
        </w:tc>
        <w:tc>
          <w:tcPr>
            <w:tcW w:w="13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56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560" w:type="dxa"/>
            <w:vAlign w:val="bottom"/>
            <w:shd w:val="clear" w:color="auto" w:fill="D5EEEE"/>
          </w:tcPr>
          <w:p>
            <w:pPr>
              <w:spacing w:after="0"/>
              <w:rPr>
                <w:sz w:val="21"/>
                <w:szCs w:val="21"/>
                <w:color w:val="auto"/>
              </w:rPr>
            </w:pPr>
          </w:p>
        </w:tc>
        <w:tc>
          <w:tcPr>
            <w:tcW w:w="1360" w:type="dxa"/>
            <w:vAlign w:val="bottom"/>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2024</w:t>
            </w:r>
          </w:p>
        </w:tc>
        <w:tc>
          <w:tcPr>
            <w:tcW w:w="122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526,084</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502,587</w:t>
            </w:r>
          </w:p>
        </w:tc>
        <w:tc>
          <w:tcPr>
            <w:tcW w:w="400" w:type="dxa"/>
            <w:vAlign w:val="bottom"/>
            <w:shd w:val="clear" w:color="auto" w:fill="D5EEEE"/>
          </w:tcPr>
          <w:p>
            <w:pPr>
              <w:ind w:left="20"/>
              <w:spacing w:after="0"/>
              <w:rPr>
                <w:sz w:val="20"/>
                <w:szCs w:val="20"/>
                <w:color w:val="auto"/>
              </w:rPr>
            </w:pPr>
            <w:r>
              <w:rPr>
                <w:rFonts w:ascii="Times New Roman" w:cs="Times New Roman" w:eastAsia="Times New Roman" w:hAnsi="Times New Roman"/>
                <w:sz w:val="13"/>
                <w:szCs w:val="13"/>
                <w:color w:val="auto"/>
              </w:rPr>
              <w:t>(6)</w:t>
            </w:r>
          </w:p>
        </w:tc>
        <w:tc>
          <w:tcPr>
            <w:tcW w:w="102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258,879</w:t>
            </w:r>
          </w:p>
        </w:tc>
        <w:tc>
          <w:tcPr>
            <w:tcW w:w="116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142,000</w:t>
            </w:r>
          </w:p>
        </w:tc>
        <w:tc>
          <w:tcPr>
            <w:tcW w:w="1180" w:type="dxa"/>
            <w:vAlign w:val="bottom"/>
            <w:gridSpan w:val="2"/>
            <w:shd w:val="clear" w:color="auto" w:fill="D5EEEE"/>
          </w:tcPr>
          <w:p>
            <w:pPr>
              <w:jc w:val="right"/>
              <w:ind w:right="55"/>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(6)</w:t>
            </w: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1,429,550</w:t>
            </w:r>
          </w:p>
        </w:tc>
        <w:tc>
          <w:tcPr>
            <w:tcW w:w="0" w:type="dxa"/>
            <w:vAlign w:val="bottom"/>
          </w:tcPr>
          <w:p>
            <w:pPr>
              <w:spacing w:after="0"/>
              <w:rPr>
                <w:sz w:val="1"/>
                <w:szCs w:val="1"/>
                <w:color w:val="auto"/>
              </w:rPr>
            </w:pPr>
          </w:p>
        </w:tc>
      </w:tr>
      <w:tr>
        <w:trPr>
          <w:trHeight w:val="244"/>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Lori Firmani</w:t>
            </w:r>
          </w:p>
        </w:tc>
        <w:tc>
          <w:tcPr>
            <w:tcW w:w="1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360" w:type="dxa"/>
            <w:vAlign w:val="bottom"/>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2025</w:t>
            </w:r>
          </w:p>
        </w:tc>
        <w:tc>
          <w:tcPr>
            <w:tcW w:w="122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311,249</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202,500</w:t>
            </w:r>
          </w:p>
        </w:tc>
        <w:tc>
          <w:tcPr>
            <w:tcW w:w="400" w:type="dxa"/>
            <w:vAlign w:val="bottom"/>
            <w:shd w:val="clear" w:color="auto" w:fill="D5EEEE"/>
          </w:tcPr>
          <w:p>
            <w:pPr>
              <w:ind w:left="20"/>
              <w:spacing w:after="0"/>
              <w:rPr>
                <w:sz w:val="20"/>
                <w:szCs w:val="20"/>
                <w:color w:val="auto"/>
              </w:rPr>
            </w:pPr>
            <w:r>
              <w:rPr>
                <w:rFonts w:ascii="Times New Roman" w:cs="Times New Roman" w:eastAsia="Times New Roman" w:hAnsi="Times New Roman"/>
                <w:sz w:val="13"/>
                <w:szCs w:val="13"/>
                <w:color w:val="auto"/>
              </w:rPr>
              <w:t>(7)</w:t>
            </w:r>
          </w:p>
        </w:tc>
        <w:tc>
          <w:tcPr>
            <w:tcW w:w="102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22,463</w:t>
            </w:r>
          </w:p>
        </w:tc>
        <w:tc>
          <w:tcPr>
            <w:tcW w:w="116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27,000</w:t>
            </w:r>
          </w:p>
        </w:tc>
        <w:tc>
          <w:tcPr>
            <w:tcW w:w="300" w:type="dxa"/>
            <w:vAlign w:val="bottom"/>
            <w:shd w:val="clear" w:color="auto" w:fill="D5EEEE"/>
          </w:tcPr>
          <w:p>
            <w:pPr>
              <w:jc w:val="right"/>
              <w:ind w:right="55"/>
              <w:spacing w:after="0"/>
              <w:rPr>
                <w:sz w:val="20"/>
                <w:szCs w:val="20"/>
                <w:color w:val="auto"/>
              </w:rPr>
            </w:pPr>
            <w:r>
              <w:rPr>
                <w:rFonts w:ascii="Times New Roman" w:cs="Times New Roman" w:eastAsia="Times New Roman" w:hAnsi="Times New Roman"/>
                <w:sz w:val="13"/>
                <w:szCs w:val="13"/>
                <w:color w:val="auto"/>
              </w:rPr>
              <w:t>(8)</w:t>
            </w: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563,211</w:t>
            </w:r>
          </w:p>
        </w:tc>
        <w:tc>
          <w:tcPr>
            <w:tcW w:w="0" w:type="dxa"/>
            <w:vAlign w:val="bottom"/>
          </w:tcPr>
          <w:p>
            <w:pPr>
              <w:spacing w:after="0"/>
              <w:rPr>
                <w:sz w:val="1"/>
                <w:szCs w:val="1"/>
                <w:color w:val="auto"/>
              </w:rPr>
            </w:pPr>
          </w:p>
        </w:tc>
      </w:tr>
      <w:tr>
        <w:trPr>
          <w:trHeight w:val="244"/>
        </w:trPr>
        <w:tc>
          <w:tcPr>
            <w:tcW w:w="2560" w:type="dxa"/>
            <w:vAlign w:val="bottom"/>
          </w:tcPr>
          <w:p>
            <w:pPr>
              <w:spacing w:after="0"/>
              <w:rPr>
                <w:sz w:val="21"/>
                <w:szCs w:val="21"/>
                <w:color w:val="auto"/>
              </w:rPr>
            </w:pP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2024</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261,188</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158,640</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76,314</w:t>
            </w:r>
          </w:p>
        </w:tc>
        <w:tc>
          <w:tcPr>
            <w:tcW w:w="11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39,050</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26,700</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(9)</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561,892</w:t>
            </w:r>
          </w:p>
        </w:tc>
        <w:tc>
          <w:tcPr>
            <w:tcW w:w="0" w:type="dxa"/>
            <w:vAlign w:val="bottom"/>
          </w:tcPr>
          <w:p>
            <w:pPr>
              <w:spacing w:after="0"/>
              <w:rPr>
                <w:sz w:val="1"/>
                <w:szCs w:val="1"/>
                <w:color w:val="auto"/>
              </w:rPr>
            </w:pPr>
          </w:p>
        </w:tc>
      </w:tr>
      <w:tr>
        <w:trPr>
          <w:trHeight w:val="244"/>
        </w:trPr>
        <w:tc>
          <w:tcPr>
            <w:tcW w:w="25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Garrett Winslow</w:t>
            </w:r>
          </w:p>
        </w:tc>
        <w:tc>
          <w:tcPr>
            <w:tcW w:w="1360" w:type="dxa"/>
            <w:vAlign w:val="bottom"/>
            <w:shd w:val="clear" w:color="auto" w:fill="D5EEEE"/>
          </w:tcPr>
          <w:p>
            <w:pPr>
              <w:spacing w:after="0"/>
              <w:rPr>
                <w:sz w:val="21"/>
                <w:szCs w:val="21"/>
                <w:color w:val="auto"/>
              </w:rPr>
            </w:pPr>
          </w:p>
        </w:tc>
        <w:tc>
          <w:tcPr>
            <w:tcW w:w="1220" w:type="dxa"/>
            <w:vAlign w:val="bottom"/>
            <w:shd w:val="clear" w:color="auto" w:fill="D5EEEE"/>
          </w:tcPr>
          <w:p>
            <w:pPr>
              <w:spacing w:after="0"/>
              <w:rPr>
                <w:sz w:val="21"/>
                <w:szCs w:val="21"/>
                <w:color w:val="auto"/>
              </w:rPr>
            </w:pPr>
          </w:p>
        </w:tc>
        <w:tc>
          <w:tcPr>
            <w:tcW w:w="920" w:type="dxa"/>
            <w:vAlign w:val="bottom"/>
            <w:shd w:val="clear" w:color="auto" w:fill="D5EEEE"/>
          </w:tcPr>
          <w:p>
            <w:pPr>
              <w:spacing w:after="0"/>
              <w:rPr>
                <w:sz w:val="21"/>
                <w:szCs w:val="21"/>
                <w:color w:val="auto"/>
              </w:rPr>
            </w:pPr>
          </w:p>
        </w:tc>
        <w:tc>
          <w:tcPr>
            <w:tcW w:w="400" w:type="dxa"/>
            <w:vAlign w:val="bottom"/>
            <w:shd w:val="clear" w:color="auto" w:fill="D5EEEE"/>
          </w:tcPr>
          <w:p>
            <w:pPr>
              <w:spacing w:after="0"/>
              <w:rPr>
                <w:sz w:val="21"/>
                <w:szCs w:val="21"/>
                <w:color w:val="auto"/>
              </w:rPr>
            </w:pPr>
          </w:p>
        </w:tc>
        <w:tc>
          <w:tcPr>
            <w:tcW w:w="1020" w:type="dxa"/>
            <w:vAlign w:val="bottom"/>
            <w:shd w:val="clear" w:color="auto" w:fill="D5EEEE"/>
          </w:tcPr>
          <w:p>
            <w:pPr>
              <w:spacing w:after="0"/>
              <w:rPr>
                <w:sz w:val="21"/>
                <w:szCs w:val="21"/>
                <w:color w:val="auto"/>
              </w:rPr>
            </w:pPr>
          </w:p>
        </w:tc>
        <w:tc>
          <w:tcPr>
            <w:tcW w:w="1160" w:type="dxa"/>
            <w:vAlign w:val="bottom"/>
            <w:shd w:val="clear" w:color="auto" w:fill="D5EEEE"/>
          </w:tcPr>
          <w:p>
            <w:pPr>
              <w:spacing w:after="0"/>
              <w:rPr>
                <w:sz w:val="21"/>
                <w:szCs w:val="21"/>
                <w:color w:val="auto"/>
              </w:rPr>
            </w:pPr>
          </w:p>
        </w:tc>
        <w:tc>
          <w:tcPr>
            <w:tcW w:w="88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9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Counsel</w:t>
            </w: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2025</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400,400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400,400</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26,955</w:t>
            </w:r>
          </w:p>
        </w:tc>
        <w:tc>
          <w:tcPr>
            <w:tcW w:w="11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27,000</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(8)</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854,755</w:t>
            </w:r>
          </w:p>
        </w:tc>
        <w:tc>
          <w:tcPr>
            <w:tcW w:w="0" w:type="dxa"/>
            <w:vAlign w:val="bottom"/>
          </w:tcPr>
          <w:p>
            <w:pPr>
              <w:spacing w:after="0"/>
              <w:rPr>
                <w:sz w:val="1"/>
                <w:szCs w:val="1"/>
                <w:color w:val="auto"/>
              </w:rPr>
            </w:pPr>
          </w:p>
        </w:tc>
      </w:tr>
      <w:tr>
        <w:trPr>
          <w:trHeight w:val="244"/>
        </w:trPr>
        <w:tc>
          <w:tcPr>
            <w:tcW w:w="2560" w:type="dxa"/>
            <w:vAlign w:val="bottom"/>
            <w:shd w:val="clear" w:color="auto" w:fill="D5EEEE"/>
          </w:tcPr>
          <w:p>
            <w:pPr>
              <w:spacing w:after="0"/>
              <w:rPr>
                <w:sz w:val="21"/>
                <w:szCs w:val="21"/>
                <w:color w:val="auto"/>
              </w:rPr>
            </w:pPr>
          </w:p>
        </w:tc>
        <w:tc>
          <w:tcPr>
            <w:tcW w:w="1360" w:type="dxa"/>
            <w:vAlign w:val="bottom"/>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2024</w:t>
            </w:r>
          </w:p>
        </w:tc>
        <w:tc>
          <w:tcPr>
            <w:tcW w:w="1220" w:type="dxa"/>
            <w:vAlign w:val="bottom"/>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400,400</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307,692</w:t>
            </w:r>
          </w:p>
        </w:tc>
        <w:tc>
          <w:tcPr>
            <w:tcW w:w="400" w:type="dxa"/>
            <w:vAlign w:val="bottom"/>
            <w:shd w:val="clear" w:color="auto" w:fill="D5EEEE"/>
          </w:tcPr>
          <w:p>
            <w:pPr>
              <w:ind w:left="20"/>
              <w:spacing w:after="0"/>
              <w:rPr>
                <w:sz w:val="20"/>
                <w:szCs w:val="20"/>
                <w:color w:val="auto"/>
              </w:rPr>
            </w:pPr>
            <w:r>
              <w:rPr>
                <w:rFonts w:ascii="Times New Roman" w:cs="Times New Roman" w:eastAsia="Times New Roman" w:hAnsi="Times New Roman"/>
                <w:sz w:val="13"/>
                <w:szCs w:val="13"/>
                <w:color w:val="auto"/>
              </w:rPr>
              <w:t>(9)</w:t>
            </w:r>
          </w:p>
        </w:tc>
        <w:tc>
          <w:tcPr>
            <w:tcW w:w="102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rPr>
              <w:t>91,576</w:t>
            </w:r>
          </w:p>
        </w:tc>
        <w:tc>
          <w:tcPr>
            <w:tcW w:w="1160" w:type="dxa"/>
            <w:vAlign w:val="bottom"/>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71,000</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26,700</w:t>
            </w:r>
          </w:p>
        </w:tc>
        <w:tc>
          <w:tcPr>
            <w:tcW w:w="300" w:type="dxa"/>
            <w:vAlign w:val="bottom"/>
            <w:shd w:val="clear" w:color="auto" w:fill="D5EEEE"/>
          </w:tcPr>
          <w:p>
            <w:pPr>
              <w:jc w:val="right"/>
              <w:ind w:right="55"/>
              <w:spacing w:after="0"/>
              <w:rPr>
                <w:sz w:val="20"/>
                <w:szCs w:val="20"/>
                <w:color w:val="auto"/>
              </w:rPr>
            </w:pPr>
            <w:r>
              <w:rPr>
                <w:rFonts w:ascii="Times New Roman" w:cs="Times New Roman" w:eastAsia="Times New Roman" w:hAnsi="Times New Roman"/>
                <w:sz w:val="13"/>
                <w:szCs w:val="13"/>
                <w:color w:val="auto"/>
              </w:rPr>
              <w:t>(9)</w:t>
            </w:r>
          </w:p>
        </w:tc>
        <w:tc>
          <w:tcPr>
            <w:tcW w:w="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897,368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960" w:h="17280" w:orient="portrait"/>
          <w:cols w:equalWidth="0" w:num="1">
            <w:col w:w="10800"/>
          </w:cols>
          <w:pgMar w:left="1080" w:top="1440" w:right="1080" w:bottom="751" w:gutter="0" w:footer="0" w:header="0"/>
          <w:type w:val="continuous"/>
        </w:sectPr>
      </w:pPr>
    </w:p>
    <w:bookmarkStart w:id="146" w:name="page147"/>
    <w:bookmarkEnd w:id="146"/>
    <w:p>
      <w:pPr>
        <w:spacing w:after="0" w:line="213" w:lineRule="exact"/>
        <w:rPr>
          <w:sz w:val="20"/>
          <w:szCs w:val="20"/>
          <w:color w:val="auto"/>
        </w:rPr>
      </w:pPr>
    </w:p>
    <w:p>
      <w:pPr>
        <w:jc w:val="both"/>
        <w:ind w:left="495" w:hanging="490"/>
        <w:spacing w:after="0" w:line="249" w:lineRule="auto"/>
        <w:tabs>
          <w:tab w:leader="none" w:pos="495" w:val="left"/>
        </w:tabs>
        <w:numPr>
          <w:ilvl w:val="0"/>
          <w:numId w:val="6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For Dr. Schambye, the values stated have been converted from Danish Krone (DKK) to U.S. dollar (USD) at a rate of 6.6210:1 in 2025 and 6.8906:1 in 2024, which is the average DKK:USD exchange rate throughout the applicable fiscal year. See “Narrative Disclosure to Summary Compensation Table – Employment Arrangements” below.</w:t>
      </w:r>
    </w:p>
    <w:p>
      <w:pPr>
        <w:jc w:val="both"/>
        <w:ind w:left="495" w:hanging="495"/>
        <w:spacing w:after="0"/>
        <w:tabs>
          <w:tab w:leader="none" w:pos="495" w:val="left"/>
        </w:tabs>
        <w:numPr>
          <w:ilvl w:val="0"/>
          <w:numId w:val="6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amounts set forth herein reflect bonuses earned during the respective years. For Dr. Schambye, the values stated have been converted from Danish Krone (DKK) to U.S. dollar (USD) at a rate of 6.4491:1 in 2025 and 7.1706:1 in 2024, which is the DKK:USD exchange rate prevailing as of the effective date of the respective bonus determination by our Compensation Committee.</w:t>
      </w:r>
    </w:p>
    <w:p>
      <w:pPr>
        <w:jc w:val="both"/>
        <w:ind w:left="495" w:hanging="490"/>
        <w:spacing w:after="0"/>
        <w:tabs>
          <w:tab w:leader="none" w:pos="495" w:val="left"/>
        </w:tabs>
        <w:numPr>
          <w:ilvl w:val="0"/>
          <w:numId w:val="6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These amounts reflect the aggregate grant date fair value of option awards granted in fiscal years 2025 and 2024, respectively, computed in accordance with FASB ASC Topic 718. Such grant date fair values do not take into account any estimated forfeitures. Assumptions used in the calculation of these amounts are included in Note 13 to our consolidated financial statements included in our 2025 Annual Report. The amounts reported in this column reflect the accounting cost for these stock options and do not correspond to the actual economic value that may be received by our named executive officers upon the exercise of the stock options or any sale of the underlying shares of our common stock.</w:t>
      </w:r>
    </w:p>
    <w:p>
      <w:pPr>
        <w:jc w:val="both"/>
        <w:ind w:left="495" w:hanging="490"/>
        <w:spacing w:after="0"/>
        <w:tabs>
          <w:tab w:leader="none" w:pos="495" w:val="left"/>
        </w:tabs>
        <w:numPr>
          <w:ilvl w:val="0"/>
          <w:numId w:val="6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These amounts reflect the aggregate grant date fair value of restricted stock unit awards granted in fiscal year 2024, computed in accordance with FASB ASC Topic 718. Assumptions used in the calculation of these amounts are included in Note 13 to our consolidated financial statements included in our 2025 Annual Report. No restricted stock unit awards were granted in fiscal year 2025.</w:t>
      </w:r>
    </w:p>
    <w:p>
      <w:pPr>
        <w:jc w:val="both"/>
        <w:ind w:left="495" w:hanging="490"/>
        <w:spacing w:after="0"/>
        <w:tabs>
          <w:tab w:leader="none" w:pos="495" w:val="left"/>
        </w:tabs>
        <w:numPr>
          <w:ilvl w:val="0"/>
          <w:numId w:val="6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amount set forth herein reflect an annual bonus of $337,067 earned for 2025 and a retention bonus of $341,527 earned during 2025. For the retention bonus, the value stated was converted from Danish Krone (DKK) to U.S. dollar (USD) at a rate of 6.3649:1, which is the DKK:USD exchange rate prevailing as of the effective date of the payment of the retention bonus.</w:t>
      </w:r>
    </w:p>
    <w:p>
      <w:pPr>
        <w:ind w:left="495" w:hanging="490"/>
        <w:spacing w:after="0"/>
        <w:tabs>
          <w:tab w:leader="none" w:pos="495" w:val="left"/>
        </w:tabs>
        <w:numPr>
          <w:ilvl w:val="0"/>
          <w:numId w:val="6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values reported have been updated to report the one-time special bonus payment made to Dr. Schambye in 2024 in the “Bonus” column of this table. Such payment was previously reported in the “All Other Compensation” column of this table.</w:t>
      </w:r>
    </w:p>
    <w:p>
      <w:pPr>
        <w:ind w:left="495" w:hanging="490"/>
        <w:spacing w:after="0"/>
        <w:tabs>
          <w:tab w:leader="none" w:pos="495" w:val="left"/>
        </w:tabs>
        <w:numPr>
          <w:ilvl w:val="0"/>
          <w:numId w:val="6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amount set forth herein reflects an annual bonus of $112,500 earned for 2025 and a retention bonus of $90,000 paid in 2025.</w:t>
      </w:r>
    </w:p>
    <w:p>
      <w:pPr>
        <w:ind w:left="495" w:hanging="490"/>
        <w:spacing w:after="0"/>
        <w:tabs>
          <w:tab w:leader="none" w:pos="495" w:val="left"/>
        </w:tabs>
        <w:numPr>
          <w:ilvl w:val="0"/>
          <w:numId w:val="6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amount set forth herein reflects 401(k) plan employer matching contributions of $21,000 and employer contributions of $6,000 under a health savings account.</w:t>
      </w:r>
    </w:p>
    <w:p>
      <w:pPr>
        <w:jc w:val="both"/>
        <w:ind w:left="495" w:hanging="490"/>
        <w:spacing w:after="0"/>
        <w:tabs>
          <w:tab w:leader="none" w:pos="495" w:val="left"/>
        </w:tabs>
        <w:numPr>
          <w:ilvl w:val="0"/>
          <w:numId w:val="6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amounts reported have been updated to report the retention bonus payments made to Ms. Firmani and Mr. Winslow in 2024 in the “Bonus” column of this table. Such payments were previously reported for such named executive officers in the “All Other Compensation” column of this table.</w:t>
      </w:r>
    </w:p>
    <w:p>
      <w:pPr>
        <w:ind w:left="495" w:hanging="490"/>
        <w:spacing w:after="0" w:line="248" w:lineRule="auto"/>
        <w:tabs>
          <w:tab w:leader="none" w:pos="495" w:val="left"/>
        </w:tabs>
        <w:numPr>
          <w:ilvl w:val="0"/>
          <w:numId w:val="6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amount set forth herein reflects an annual bonus of $240,240 earned for 2025 and a retention bonus of $160,160 paid in 2025.</w:t>
      </w:r>
    </w:p>
    <w:p>
      <w:pPr>
        <w:spacing w:after="0" w:line="193" w:lineRule="exact"/>
        <w:rPr>
          <w:sz w:val="20"/>
          <w:szCs w:val="20"/>
          <w:color w:val="auto"/>
        </w:rPr>
      </w:pPr>
    </w:p>
    <w:p>
      <w:pPr>
        <w:ind w:left="135"/>
        <w:spacing w:after="0"/>
        <w:rPr>
          <w:sz w:val="20"/>
          <w:szCs w:val="20"/>
          <w:color w:val="auto"/>
        </w:rPr>
      </w:pPr>
      <w:r>
        <w:rPr>
          <w:rFonts w:ascii="Times New Roman" w:cs="Times New Roman" w:eastAsia="Times New Roman" w:hAnsi="Times New Roman"/>
          <w:sz w:val="20"/>
          <w:szCs w:val="20"/>
          <w:b w:val="1"/>
          <w:bCs w:val="1"/>
          <w:color w:val="auto"/>
        </w:rPr>
        <w:t>Narrative Disclosure to Summary Compensation Table</w:t>
      </w:r>
    </w:p>
    <w:p>
      <w:pPr>
        <w:spacing w:after="0" w:line="244" w:lineRule="exact"/>
        <w:rPr>
          <w:sz w:val="20"/>
          <w:szCs w:val="20"/>
          <w:color w:val="auto"/>
        </w:rPr>
      </w:pPr>
    </w:p>
    <w:p>
      <w:pPr>
        <w:ind w:left="135" w:right="140"/>
        <w:spacing w:after="0" w:line="252" w:lineRule="auto"/>
        <w:rPr>
          <w:sz w:val="20"/>
          <w:szCs w:val="20"/>
          <w:color w:val="auto"/>
        </w:rPr>
      </w:pPr>
      <w:r>
        <w:rPr>
          <w:rFonts w:ascii="Times New Roman" w:cs="Times New Roman" w:eastAsia="Times New Roman" w:hAnsi="Times New Roman"/>
          <w:sz w:val="20"/>
          <w:szCs w:val="20"/>
          <w:color w:val="auto"/>
        </w:rPr>
        <w:t>The amounts provided above were paid pursuant to the terms of each named executive officer’s letter agreement, in each case, as described below. Any salary or bonus determinations made for non-U.S. employees of the Company in U.S. Dollars were converted into and paid in such employee’s local currency based on the exchange rate prevailing as of the effective date of the respective salary increase or bonus determination, as applicable, unless otherwise determined by the Board of Directors.</w:t>
      </w:r>
    </w:p>
    <w:p>
      <w:pPr>
        <w:spacing w:after="0" w:line="194" w:lineRule="exact"/>
        <w:rPr>
          <w:sz w:val="20"/>
          <w:szCs w:val="20"/>
          <w:color w:val="auto"/>
        </w:rPr>
      </w:pPr>
    </w:p>
    <w:p>
      <w:pPr>
        <w:ind w:left="135"/>
        <w:spacing w:after="0"/>
        <w:rPr>
          <w:sz w:val="20"/>
          <w:szCs w:val="20"/>
          <w:color w:val="auto"/>
        </w:rPr>
      </w:pPr>
      <w:r>
        <w:rPr>
          <w:rFonts w:ascii="Times New Roman" w:cs="Times New Roman" w:eastAsia="Times New Roman" w:hAnsi="Times New Roman"/>
          <w:sz w:val="20"/>
          <w:szCs w:val="20"/>
          <w:b w:val="1"/>
          <w:bCs w:val="1"/>
          <w:i w:val="1"/>
          <w:iCs w:val="1"/>
          <w:color w:val="auto"/>
        </w:rPr>
        <w:t>Cash Bonus</w:t>
      </w:r>
    </w:p>
    <w:p>
      <w:pPr>
        <w:spacing w:after="0" w:line="240" w:lineRule="exact"/>
        <w:rPr>
          <w:sz w:val="20"/>
          <w:szCs w:val="20"/>
          <w:color w:val="auto"/>
        </w:rPr>
      </w:pPr>
    </w:p>
    <w:p>
      <w:pPr>
        <w:ind w:left="135" w:right="80"/>
        <w:spacing w:after="0" w:line="249" w:lineRule="auto"/>
        <w:rPr>
          <w:sz w:val="20"/>
          <w:szCs w:val="20"/>
          <w:color w:val="auto"/>
        </w:rPr>
      </w:pPr>
      <w:r>
        <w:rPr>
          <w:rFonts w:ascii="Times New Roman" w:cs="Times New Roman" w:eastAsia="Times New Roman" w:hAnsi="Times New Roman"/>
          <w:sz w:val="20"/>
          <w:szCs w:val="20"/>
          <w:color w:val="auto"/>
        </w:rPr>
        <w:t>Our discretionary annual bonus program is intended to reward our named executive officers for meeting objective or subjective performance goals for a fiscal year. Our Board of Directors or Compensation Committee may approve annual bonuses for our named executive officers based on individual performance, company performance, or as otherwise determined appropriate. The target bonus, as a percent of base salary, for each of our named executive officers is listed below and the amounts ultimately earned are set forth in the Summary Compensation Table above.</w:t>
      </w:r>
    </w:p>
    <w:p>
      <w:pPr>
        <w:spacing w:after="0" w:line="91" w:lineRule="exact"/>
        <w:rPr>
          <w:sz w:val="20"/>
          <w:szCs w:val="20"/>
          <w:color w:val="auto"/>
        </w:rPr>
      </w:pPr>
    </w:p>
    <w:tbl>
      <w:tblPr>
        <w:tblLayout w:type="fixed"/>
        <w:tblInd w:w="2455"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 Target Bonus</w:t>
            </w:r>
          </w:p>
        </w:tc>
      </w:tr>
      <w:tr>
        <w:trPr>
          <w:trHeight w:val="203"/>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0" w:type="dxa"/>
            <w:vAlign w:val="bottom"/>
            <w:tcBorders>
              <w:bottom w:val="single" w:sz="8" w:color="D5EEEE"/>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of base salary)</w:t>
            </w:r>
          </w:p>
        </w:tc>
      </w:tr>
      <w:tr>
        <w:trPr>
          <w:trHeight w:val="239"/>
        </w:trPr>
        <w:tc>
          <w:tcPr>
            <w:tcW w:w="44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Hans T. Schambye, M.D., Ph.D.</w:t>
            </w:r>
          </w:p>
        </w:tc>
        <w:tc>
          <w:tcPr>
            <w:tcW w:w="260" w:type="dxa"/>
            <w:vAlign w:val="bottom"/>
            <w:shd w:val="clear" w:color="auto" w:fill="D5EEEE"/>
          </w:tcPr>
          <w:p>
            <w:pPr>
              <w:spacing w:after="0"/>
              <w:rPr>
                <w:sz w:val="20"/>
                <w:szCs w:val="20"/>
                <w:color w:val="auto"/>
              </w:rPr>
            </w:pPr>
          </w:p>
        </w:tc>
        <w:tc>
          <w:tcPr>
            <w:tcW w:w="142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9"/>
              </w:rPr>
              <w:t>60</w:t>
            </w:r>
          </w:p>
        </w:tc>
      </w:tr>
      <w:tr>
        <w:trPr>
          <w:trHeight w:val="244"/>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Lori Firmani</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30</w:t>
            </w:r>
          </w:p>
        </w:tc>
      </w:tr>
      <w:tr>
        <w:trPr>
          <w:trHeight w:val="244"/>
        </w:trPr>
        <w:tc>
          <w:tcPr>
            <w:tcW w:w="44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Garrett Winslow</w:t>
            </w:r>
          </w:p>
        </w:tc>
        <w:tc>
          <w:tcPr>
            <w:tcW w:w="1680" w:type="dxa"/>
            <w:vAlign w:val="bottom"/>
            <w:gridSpan w:val="2"/>
            <w:shd w:val="clear" w:color="auto" w:fill="D5EEEE"/>
          </w:tcPr>
          <w:p>
            <w:pPr>
              <w:jc w:val="center"/>
              <w:ind w:left="140"/>
              <w:spacing w:after="0"/>
              <w:rPr>
                <w:sz w:val="20"/>
                <w:szCs w:val="20"/>
                <w:color w:val="auto"/>
              </w:rPr>
            </w:pPr>
            <w:r>
              <w:rPr>
                <w:rFonts w:ascii="Times New Roman" w:cs="Times New Roman" w:eastAsia="Times New Roman" w:hAnsi="Times New Roman"/>
                <w:sz w:val="20"/>
                <w:szCs w:val="20"/>
                <w:color w:val="auto"/>
                <w:w w:val="99"/>
              </w:rPr>
              <w:t>40</w:t>
            </w:r>
          </w:p>
        </w:tc>
      </w:tr>
    </w:tbl>
    <w:p>
      <w:pPr>
        <w:spacing w:after="0" w:line="200" w:lineRule="exact"/>
        <w:rPr>
          <w:sz w:val="20"/>
          <w:szCs w:val="20"/>
          <w:color w:val="auto"/>
        </w:rPr>
      </w:pPr>
    </w:p>
    <w:p>
      <w:pPr>
        <w:sectPr>
          <w:pgSz w:w="12960" w:h="17280" w:orient="portrait"/>
          <w:cols w:equalWidth="0" w:num="1">
            <w:col w:w="10935"/>
          </w:cols>
          <w:pgMar w:left="945" w:top="1440" w:right="108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0"/>
          <w:szCs w:val="20"/>
          <w:color w:val="auto"/>
        </w:rPr>
        <w:t>16</w:t>
      </w:r>
    </w:p>
    <w:p>
      <w:pPr>
        <w:sectPr>
          <w:pgSz w:w="12960" w:h="17280" w:orient="portrait"/>
          <w:cols w:equalWidth="0" w:num="1">
            <w:col w:w="10935"/>
          </w:cols>
          <w:pgMar w:left="945" w:top="1440" w:right="1080" w:bottom="751" w:gutter="0" w:footer="0" w:header="0"/>
          <w:type w:val="continuous"/>
        </w:sectPr>
      </w:pPr>
    </w:p>
    <w:bookmarkStart w:id="147" w:name="page148"/>
    <w:bookmarkEnd w:id="147"/>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Employment Arrangements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Service Agreement and Separation Agreement with Hans T. Schambye, M.D., Ph.D.</w:t>
      </w:r>
    </w:p>
    <w:p>
      <w:pPr>
        <w:spacing w:after="0" w:line="23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In connection with our initial hiring of Dr. Schambye as our Chief Executive Officer, we entered into a service agreement with him in April 2013. The service agreement provides that Dr. Schambye is entitled to an annualized base salary, to be adjusted in accordance with normal business practices and at our sole discretion, during his employment with us, and that he is eligible, at our sole discretion, to earn an annual bonus target, to be adjusted with normal business practices and at our sole discretion. Under the service agreement, Dr. Schambye’s employment with us can be terminated at any time and for any reason by him with three months’ written notice or us with nine months’ written notice of termination on the last day of a month.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2025, Dr. Schambye received a bonus of DKK 2,173,800, which was determined by the Board of Directors in its discretion. Dr.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Schambye did not receive an increase to his base salary for calendar year 2025.</w:t>
      </w:r>
    </w:p>
    <w:p>
      <w:pPr>
        <w:spacing w:after="0" w:line="212"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On February 6, 2026, our Board of Directors determined that, effective as of February 10, 2026, Dr. Schambye would cease serving as the Company’s Chief Executive Officer and President and his employment was terminated by the Company without Cause (as defined in the Company’s Executive Separation Benefits Plan (the “Separation Benefits Plan”)). Dr. Schambye entered into a separation agreement pursuant to which, as compensation for the lack of notice of termination and in lieu of any payment in lieu of notice, he received the following separation benefits: (i) 15 months of base salary, (ii) a pro rata bonus for 2026 equal to DKK 238,225, (iii) full acceleration of his outstanding equity awards, and (iv) a cash payment of DKK 2,173,800, representing his unpaid retention bonus in accordance with his retention bonus agreement. Such benefits were provided in accordance with the Separation Benefits Plan, except that the base salary continuation and pro-rated bonus were paid in a single lump sum and all of Dr. Schambye’s outstanding equity awards were accelerated.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Employment Agreement with Lori Firmani</w:t>
      </w:r>
    </w:p>
    <w:p>
      <w:pPr>
        <w:spacing w:after="0" w:line="22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 connection with our initial hiring of Ms. Firmani as our Vice President of Finance, we entered into an employment agreement with her in November 2020, providing for standard terms of employment including base salary, annual target bonus and benefits eligibility. Under the employment agreement, Ms. Firmani’s employment with us can be terminated at any time and for any reason by her or us at any time. See “</w:t>
      </w:r>
      <w:r>
        <w:rPr>
          <w:rFonts w:ascii="Times New Roman" w:cs="Times New Roman" w:eastAsia="Times New Roman" w:hAnsi="Times New Roman"/>
          <w:sz w:val="20"/>
          <w:szCs w:val="20"/>
          <w:i w:val="1"/>
          <w:iCs w:val="1"/>
          <w:color w:val="auto"/>
        </w:rPr>
        <w:t>—Additional Narrative Description—Change of Control and Severance Arrangements</w:t>
      </w:r>
      <w:r>
        <w:rPr>
          <w:rFonts w:ascii="Times New Roman" w:cs="Times New Roman" w:eastAsia="Times New Roman" w:hAnsi="Times New Roman"/>
          <w:sz w:val="20"/>
          <w:szCs w:val="20"/>
          <w:color w:val="auto"/>
        </w:rPr>
        <w:t>” below for a description of the severance obligations that Ms. Firmani is entitled to.</w:t>
      </w:r>
    </w:p>
    <w:p>
      <w:pPr>
        <w:spacing w:after="0" w:line="19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On November 10, 2025, Ms. Firmani's base salary was increased to $375,000 in connection with her appointment as Chief Financial Officer. For 2025, Ms. Firmani received a bonus of $112,500, which was determined by the Board of Directors in its discretion.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Employment Agreement with Garrett Winslow</w:t>
      </w:r>
    </w:p>
    <w:p>
      <w:pPr>
        <w:spacing w:after="0" w:line="22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In connection with our initial hiring of Mr. Winslow as our General Counsel, we entered into an employment agreement with him in April 2021, providing for standard terms of employment including base salary, annual target bonus and benefits eligibility. See “</w:t>
      </w:r>
      <w:r>
        <w:rPr>
          <w:rFonts w:ascii="Times New Roman" w:cs="Times New Roman" w:eastAsia="Times New Roman" w:hAnsi="Times New Roman"/>
          <w:sz w:val="20"/>
          <w:szCs w:val="20"/>
          <w:i w:val="1"/>
          <w:iCs w:val="1"/>
          <w:color w:val="auto"/>
        </w:rPr>
        <w:t>—Additional Narrative Description—Change of Control and Severance Arrangements</w:t>
      </w:r>
      <w:r>
        <w:rPr>
          <w:rFonts w:ascii="Times New Roman" w:cs="Times New Roman" w:eastAsia="Times New Roman" w:hAnsi="Times New Roman"/>
          <w:sz w:val="20"/>
          <w:szCs w:val="20"/>
          <w:color w:val="auto"/>
        </w:rPr>
        <w:t>” below for a description of the severance obligations that Mr. Winslow is entitled to.</w:t>
      </w:r>
    </w:p>
    <w:p>
      <w:pPr>
        <w:spacing w:after="0" w:line="18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For 2025, Mr. Winslow received a bonus of $240,240, which was determined by the Board of Directors in its discretion. Mr. Winslow did not receive an increase to his base salary for calendar year 2025.</w:t>
      </w:r>
    </w:p>
    <w:p>
      <w:pPr>
        <w:spacing w:after="0" w:line="15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On March 20, 2026, we entered into an offer letter for continued employment with Mr. Winslow pursuant to which he will receive an annual base salary of $440,000 and will participate in the Company’s annual incentive plan, with a target annual bonus of 40% of his base salary. In addition, the offer letter also provides for an equity award grant of non- qualified stock options to purchase 250,000 shares of the Company’s common stock that vest as to 25% on the first anniversary of the grant and monthly thereafter through the fourth anniversary of the grant date.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Retention Agreements</w:t>
      </w:r>
    </w:p>
    <w:p>
      <w:pPr>
        <w:spacing w:after="0" w:line="23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In connection with the completion of our asset acquisition with Bridge Medicines in October 2024 (the “Asset Purchase”), our Board of Directors approved retention agreements for all employees remaining with us following the closing of the Asset Purchase, including Dr. Schambye, Ms. Firmani and Mr. Winslow. Pursuant to the terms of these retention agreements, each executive was entitled to a cash bonus, separate from any annual bonus for 2024 or 2025, equal to 100% of his or her target bonus upon the earlier of (i) December 31, 2025, (ii) a Sale Event (as defined in our Separation Benefits Plan described below under “</w:t>
      </w:r>
      <w:r>
        <w:rPr>
          <w:rFonts w:ascii="Times New Roman" w:cs="Times New Roman" w:eastAsia="Times New Roman" w:hAnsi="Times New Roman"/>
          <w:sz w:val="20"/>
          <w:szCs w:val="20"/>
          <w:i w:val="1"/>
          <w:iCs w:val="1"/>
          <w:color w:val="auto"/>
        </w:rPr>
        <w:t>Additional Narrative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Description - Change in Control and Severance Arrangements</w:t>
      </w:r>
      <w:r>
        <w:rPr>
          <w:rFonts w:ascii="Times New Roman" w:cs="Times New Roman" w:eastAsia="Times New Roman" w:hAnsi="Times New Roman"/>
          <w:sz w:val="20"/>
          <w:szCs w:val="20"/>
          <w:color w:val="auto"/>
        </w:rPr>
        <w:t>”), or (iii) his or her termination without Cause (as defined in the</w:t>
      </w: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960" w:h="17280" w:orient="portrait"/>
          <w:cols w:equalWidth="0" w:num="1">
            <w:col w:w="10800"/>
          </w:cols>
          <w:pgMar w:left="1080" w:top="1440" w:right="1080" w:bottom="751" w:gutter="0" w:footer="0" w:header="0"/>
          <w:type w:val="continuous"/>
        </w:sectPr>
      </w:pPr>
    </w:p>
    <w:bookmarkStart w:id="148" w:name="page149"/>
    <w:bookmarkEnd w:id="148"/>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Separation Benefits Plan). On December 31, 2025, Dr. Schambye received his bonus of DKK 2,173,800 and Ms. Firmani and Mr.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Winslow received their bonus of $90,000 and $160,160,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November 7, 2025, our Board of Directors approved additional retention agreements for Dr. Schambye, Ms. Firmani and</w:t>
      </w:r>
    </w:p>
    <w:p>
      <w:pPr>
        <w:spacing w:after="0" w:line="28"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20"/>
          <w:szCs w:val="20"/>
          <w:color w:val="auto"/>
        </w:rPr>
        <w:t>Mr. Winslow. Pursuant to the terms of these retention agreements, each executive is entitled to a cash bonus equal to 100% of his or her target bonus upon the earlier of (i) April 30, 2026 or (ii) the date that the Company terminates the executive without Cause (as defined in the Separation Benefits Plan). The retention bonus for Dr. Schambye, Ms. Firmani and Mr. Winslow is equal to DKK 2,173,800, $112,500 and $160,160,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described above, Dr. Schambye received his retention bonus in connection with his termination of employment by the Company.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 End</w:t>
      </w:r>
    </w:p>
    <w:p>
      <w:pPr>
        <w:spacing w:after="0" w:line="24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following table sets forth information regarding outstanding stock options and restricted stock units held by our named executive officers as of December 31, 2025. Vesting in all instances is subject to the named executive officer’s continued service to the Company through the applicable vesting dates.</w:t>
      </w:r>
    </w:p>
    <w:p>
      <w:pPr>
        <w:sectPr>
          <w:pgSz w:w="12960" w:h="17280" w:orient="portrait"/>
          <w:cols w:equalWidth="0" w:num="1">
            <w:col w:w="10740"/>
          </w:cols>
          <w:pgMar w:left="1080" w:top="1440" w:right="1140" w:bottom="751" w:gutter="0" w:footer="0" w:header="0"/>
        </w:sect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184"/>
        </w:trPr>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r>
      <w:tr>
        <w:trPr>
          <w:trHeight w:val="184"/>
        </w:trPr>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r>
      <w:tr>
        <w:trPr>
          <w:trHeight w:val="184"/>
        </w:trPr>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r>
      <w:tr>
        <w:trPr>
          <w:trHeight w:val="184"/>
        </w:trPr>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r>
      <w:tr>
        <w:trPr>
          <w:trHeight w:val="184"/>
        </w:trPr>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Exercisable</w:t>
            </w:r>
          </w:p>
        </w:tc>
      </w:tr>
      <w:tr>
        <w:trPr>
          <w:trHeight w:val="203"/>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Hans T. Schambye, M.D., Ph.D.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44"/>
        </w:trPr>
        <w:tc>
          <w:tcPr>
            <w:tcW w:w="3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Former President and Chief Executive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48"/>
        </w:trPr>
        <w:tc>
          <w:tcPr>
            <w:tcW w:w="3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xml:space="preserve">Officer </w:t>
            </w:r>
            <w:r>
              <w:rPr>
                <w:rFonts w:ascii="Times New Roman" w:cs="Times New Roman" w:eastAsia="Times New Roman" w:hAnsi="Times New Roman"/>
                <w:sz w:val="20"/>
                <w:szCs w:val="20"/>
                <w:color w:val="auto"/>
                <w:vertAlign w:val="superscript"/>
              </w:rPr>
              <w:t>(7)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40"/>
        </w:trPr>
        <w:tc>
          <w:tcPr>
            <w:tcW w:w="3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w:t>
            </w:r>
          </w:p>
        </w:tc>
      </w:tr>
      <w:tr>
        <w:trPr>
          <w:trHeight w:val="244"/>
        </w:trPr>
        <w:tc>
          <w:tcPr>
            <w:tcW w:w="3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20,798</w:t>
            </w:r>
          </w:p>
        </w:tc>
      </w:tr>
      <w:tr>
        <w:trPr>
          <w:trHeight w:val="244"/>
        </w:trPr>
        <w:tc>
          <w:tcPr>
            <w:tcW w:w="3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r>
      <w:tr>
        <w:trPr>
          <w:trHeight w:val="244"/>
        </w:trPr>
        <w:tc>
          <w:tcPr>
            <w:tcW w:w="3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w:t>
            </w:r>
          </w:p>
        </w:tc>
      </w:tr>
      <w:tr>
        <w:trPr>
          <w:trHeight w:val="244"/>
        </w:trPr>
        <w:tc>
          <w:tcPr>
            <w:tcW w:w="3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r>
      <w:tr>
        <w:trPr>
          <w:trHeight w:val="223"/>
        </w:trPr>
        <w:tc>
          <w:tcPr>
            <w:tcW w:w="3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w:t>
            </w:r>
          </w:p>
        </w:tc>
      </w:tr>
      <w:tr>
        <w:trPr>
          <w:trHeight w:val="266"/>
        </w:trPr>
        <w:tc>
          <w:tcPr>
            <w:tcW w:w="3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68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Lori Firmani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44"/>
        </w:trPr>
        <w:tc>
          <w:tcPr>
            <w:tcW w:w="3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Chief Financial Officer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44"/>
        </w:trPr>
        <w:tc>
          <w:tcPr>
            <w:tcW w:w="3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23"/>
        </w:trPr>
        <w:tc>
          <w:tcPr>
            <w:tcW w:w="3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r>
      <w:tr>
        <w:trPr>
          <w:trHeight w:val="266"/>
        </w:trPr>
        <w:tc>
          <w:tcPr>
            <w:tcW w:w="3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732"/>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Garrett Winslow</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r>
      <w:tr>
        <w:trPr>
          <w:trHeight w:val="242"/>
        </w:trPr>
        <w:tc>
          <w:tcPr>
            <w:tcW w:w="3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Counsel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44"/>
        </w:trPr>
        <w:tc>
          <w:tcPr>
            <w:tcW w:w="3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r>
    </w:tbl>
    <w:p>
      <w:pPr>
        <w:spacing w:after="0" w:line="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4,550</w:t>
      </w:r>
    </w:p>
    <w:p>
      <w:pPr>
        <w:spacing w:after="0" w:line="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228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174"/>
        </w:trPr>
        <w:tc>
          <w:tcPr>
            <w:tcW w:w="380" w:type="dxa"/>
            <w:vAlign w:val="bottom"/>
          </w:tcPr>
          <w:p>
            <w:pPr>
              <w:spacing w:after="0"/>
              <w:rPr>
                <w:sz w:val="15"/>
                <w:szCs w:val="15"/>
                <w:color w:val="auto"/>
              </w:rPr>
            </w:pPr>
          </w:p>
        </w:tc>
        <w:tc>
          <w:tcPr>
            <w:tcW w:w="10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40"/>
              <w:spacing w:after="0" w:line="174" w:lineRule="exact"/>
              <w:rPr>
                <w:sz w:val="20"/>
                <w:szCs w:val="20"/>
                <w:color w:val="auto"/>
              </w:rPr>
            </w:pPr>
            <w:r>
              <w:rPr>
                <w:rFonts w:ascii="Times New Roman" w:cs="Times New Roman" w:eastAsia="Times New Roman" w:hAnsi="Times New Roman"/>
                <w:sz w:val="16"/>
                <w:szCs w:val="16"/>
                <w:b w:val="1"/>
                <w:bCs w:val="1"/>
                <w:color w:val="auto"/>
                <w:w w:val="98"/>
              </w:rPr>
              <w:t>Market Value</w:t>
            </w: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20" w:type="dxa"/>
            <w:vAlign w:val="bottom"/>
          </w:tcPr>
          <w:p>
            <w:pPr>
              <w:spacing w:after="0"/>
              <w:rPr>
                <w:sz w:val="16"/>
                <w:szCs w:val="16"/>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of</w:t>
            </w: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or Units</w:t>
            </w:r>
          </w:p>
        </w:tc>
        <w:tc>
          <w:tcPr>
            <w:tcW w:w="220" w:type="dxa"/>
            <w:vAlign w:val="bottom"/>
          </w:tcPr>
          <w:p>
            <w:pPr>
              <w:spacing w:after="0"/>
              <w:rPr>
                <w:sz w:val="16"/>
                <w:szCs w:val="16"/>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Shares or Units</w:t>
            </w: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Stock That</w:t>
            </w:r>
          </w:p>
        </w:tc>
        <w:tc>
          <w:tcPr>
            <w:tcW w:w="220" w:type="dxa"/>
            <w:vAlign w:val="bottom"/>
          </w:tcPr>
          <w:p>
            <w:pPr>
              <w:spacing w:after="0"/>
              <w:rPr>
                <w:sz w:val="16"/>
                <w:szCs w:val="16"/>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of Stock That</w:t>
            </w: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 Pric</w:t>
            </w:r>
          </w:p>
        </w:tc>
        <w:tc>
          <w:tcPr>
            <w:tcW w:w="22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220" w:type="dxa"/>
            <w:vAlign w:val="bottom"/>
          </w:tcPr>
          <w:p>
            <w:pPr>
              <w:spacing w:after="0"/>
              <w:rPr>
                <w:sz w:val="16"/>
                <w:szCs w:val="16"/>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Unexercisable</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3"/>
              </w:rPr>
              <w:t>e</w:t>
            </w:r>
          </w:p>
        </w:tc>
        <w:tc>
          <w:tcPr>
            <w:tcW w:w="22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220" w:type="dxa"/>
            <w:vAlign w:val="bottom"/>
          </w:tcPr>
          <w:p>
            <w:pPr>
              <w:spacing w:after="0"/>
              <w:rPr>
                <w:sz w:val="16"/>
                <w:szCs w:val="16"/>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0"/>
                <w:szCs w:val="20"/>
                <w:b w:val="1"/>
                <w:bCs w:val="1"/>
                <w:color w:val="auto"/>
                <w:w w:val="87"/>
                <w:vertAlign w:val="superscript"/>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1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3/22/2030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1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3/22/2030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1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3/22/2030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1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6/24/2030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11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10/6/2030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1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1/5/2031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2"/>
        </w:trPr>
        <w:tc>
          <w:tcPr>
            <w:tcW w:w="3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85"/>
              </w:rPr>
              <w:t>(1)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1/4/2032</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4"/>
                <w:szCs w:val="14"/>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72"/>
        </w:trPr>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85"/>
              </w:rPr>
              <w:t>(2)</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1/4/2033</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4"/>
                <w:szCs w:val="14"/>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94"/>
        </w:trPr>
        <w:tc>
          <w:tcPr>
            <w:tcW w:w="380" w:type="dxa"/>
            <w:vAlign w:val="bottom"/>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w w:val="85"/>
              </w:rPr>
              <w:t>(3)</w:t>
            </w:r>
          </w:p>
        </w:tc>
        <w:tc>
          <w:tcPr>
            <w:tcW w:w="10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380" w:type="dxa"/>
            <w:vAlign w:val="bottom"/>
            <w:vMerge w:val="continue"/>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31,237</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8"/>
              </w:rPr>
              <w:t>10/9/2034</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380" w:type="dxa"/>
            <w:vAlign w:val="bottom"/>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w w:val="85"/>
              </w:rPr>
              <w:t>(4)</w:t>
            </w:r>
          </w:p>
        </w:tc>
        <w:tc>
          <w:tcPr>
            <w:tcW w:w="10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80" w:type="dxa"/>
            <w:vAlign w:val="bottom"/>
            <w:vMerge w:val="continue"/>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1/4/2035</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3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92,040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1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11/23/2030</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2"/>
        </w:trPr>
        <w:tc>
          <w:tcPr>
            <w:tcW w:w="3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85"/>
              </w:rPr>
              <w:t>(1)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1/4/2032</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4"/>
                <w:szCs w:val="14"/>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72"/>
        </w:trPr>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85"/>
              </w:rPr>
              <w:t>(2)</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1/4/2033</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4"/>
                <w:szCs w:val="14"/>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94"/>
        </w:trPr>
        <w:tc>
          <w:tcPr>
            <w:tcW w:w="380" w:type="dxa"/>
            <w:vAlign w:val="bottom"/>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w w:val="85"/>
              </w:rPr>
              <w:t>(3)</w:t>
            </w:r>
          </w:p>
        </w:tc>
        <w:tc>
          <w:tcPr>
            <w:tcW w:w="10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380" w:type="dxa"/>
            <w:vAlign w:val="bottom"/>
            <w:vMerge w:val="continue"/>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8"/>
              </w:rPr>
              <w:t>10/9/2034</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380" w:type="dxa"/>
            <w:vAlign w:val="bottom"/>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w w:val="85"/>
              </w:rPr>
              <w:t>(4)</w:t>
            </w:r>
          </w:p>
        </w:tc>
        <w:tc>
          <w:tcPr>
            <w:tcW w:w="10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80" w:type="dxa"/>
            <w:vAlign w:val="bottom"/>
            <w:vMerge w:val="continue"/>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1/4/2035</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3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6"/>
        </w:trPr>
        <w:tc>
          <w:tcPr>
            <w:tcW w:w="3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85"/>
              </w:rPr>
              <w:t>(5)</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140.25</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8"/>
              </w:rPr>
              <w:t>6/15/2031</w:t>
            </w:r>
          </w:p>
        </w:tc>
        <w:tc>
          <w:tcPr>
            <w:tcW w:w="10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72"/>
        </w:trPr>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85"/>
              </w:rPr>
              <w:t>(1)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1/4/2032</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4"/>
                <w:szCs w:val="14"/>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72"/>
        </w:trPr>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85"/>
              </w:rPr>
              <w:t>(2)</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1/4/2033</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4"/>
                <w:szCs w:val="14"/>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94"/>
        </w:trPr>
        <w:tc>
          <w:tcPr>
            <w:tcW w:w="380" w:type="dxa"/>
            <w:vAlign w:val="bottom"/>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w w:val="85"/>
              </w:rPr>
              <w:t>(3)</w:t>
            </w:r>
          </w:p>
        </w:tc>
        <w:tc>
          <w:tcPr>
            <w:tcW w:w="10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380" w:type="dxa"/>
            <w:vAlign w:val="bottom"/>
            <w:vMerge w:val="continue"/>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8"/>
              </w:rPr>
              <w:t>10/9/2034</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380" w:type="dxa"/>
            <w:vAlign w:val="bottom"/>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w w:val="85"/>
              </w:rPr>
              <w:t>(4)</w:t>
            </w:r>
          </w:p>
        </w:tc>
        <w:tc>
          <w:tcPr>
            <w:tcW w:w="10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80" w:type="dxa"/>
            <w:vAlign w:val="bottom"/>
            <w:vMerge w:val="continue"/>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1/4/2035</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3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46,020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-2767965</wp:posOffset>
                </wp:positionH>
                <wp:positionV relativeFrom="paragraph">
                  <wp:posOffset>-3683635</wp:posOffset>
                </wp:positionV>
                <wp:extent cx="6857365" cy="15494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54940"/>
                        </a:xfrm>
                        <a:prstGeom prst="rect">
                          <a:avLst/>
                        </a:prstGeom>
                        <a:solidFill>
                          <a:srgbClr val="D5EEEE"/>
                        </a:solidFill>
                      </wps:spPr>
                      <wps:bodyPr/>
                    </wps:wsp>
                  </a:graphicData>
                </a:graphic>
              </wp:anchor>
            </w:drawing>
          </mc:Choice>
          <mc:Fallback>
            <w:pict>
              <v:rect id="Shape 66" o:spid="_x0000_s1091" style="position:absolute;margin-left:-217.9499pt;margin-top:-290.0499pt;width:53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-2767965</wp:posOffset>
                </wp:positionH>
                <wp:positionV relativeFrom="paragraph">
                  <wp:posOffset>-3373755</wp:posOffset>
                </wp:positionV>
                <wp:extent cx="6857365" cy="15494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54940"/>
                        </a:xfrm>
                        <a:prstGeom prst="rect">
                          <a:avLst/>
                        </a:prstGeom>
                        <a:solidFill>
                          <a:srgbClr val="D5EEEE"/>
                        </a:solidFill>
                      </wps:spPr>
                      <wps:bodyPr/>
                    </wps:wsp>
                  </a:graphicData>
                </a:graphic>
              </wp:anchor>
            </w:drawing>
          </mc:Choice>
          <mc:Fallback>
            <w:pict>
              <v:rect id="Shape 67" o:spid="_x0000_s1092" style="position:absolute;margin-left:-217.9499pt;margin-top:-265.6499pt;width:53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-2767965</wp:posOffset>
                </wp:positionH>
                <wp:positionV relativeFrom="paragraph">
                  <wp:posOffset>-3063875</wp:posOffset>
                </wp:positionV>
                <wp:extent cx="6857365" cy="15494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54940"/>
                        </a:xfrm>
                        <a:prstGeom prst="rect">
                          <a:avLst/>
                        </a:prstGeom>
                        <a:solidFill>
                          <a:srgbClr val="D5EEEE"/>
                        </a:solidFill>
                      </wps:spPr>
                      <wps:bodyPr/>
                    </wps:wsp>
                  </a:graphicData>
                </a:graphic>
              </wp:anchor>
            </w:drawing>
          </mc:Choice>
          <mc:Fallback>
            <w:pict>
              <v:rect id="Shape 68" o:spid="_x0000_s1093" style="position:absolute;margin-left:-217.9499pt;margin-top:-241.2499pt;width:53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-2767965</wp:posOffset>
                </wp:positionH>
                <wp:positionV relativeFrom="paragraph">
                  <wp:posOffset>-2753995</wp:posOffset>
                </wp:positionV>
                <wp:extent cx="6857365" cy="15494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54940"/>
                        </a:xfrm>
                        <a:prstGeom prst="rect">
                          <a:avLst/>
                        </a:prstGeom>
                        <a:solidFill>
                          <a:srgbClr val="D5EEEE"/>
                        </a:solidFill>
                      </wps:spPr>
                      <wps:bodyPr/>
                    </wps:wsp>
                  </a:graphicData>
                </a:graphic>
              </wp:anchor>
            </w:drawing>
          </mc:Choice>
          <mc:Fallback>
            <w:pict>
              <v:rect id="Shape 69" o:spid="_x0000_s1094" style="position:absolute;margin-left:-217.9499pt;margin-top:-216.8499pt;width:53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-2767965</wp:posOffset>
                </wp:positionH>
                <wp:positionV relativeFrom="paragraph">
                  <wp:posOffset>-2444115</wp:posOffset>
                </wp:positionV>
                <wp:extent cx="6857365" cy="15494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54940"/>
                        </a:xfrm>
                        <a:prstGeom prst="rect">
                          <a:avLst/>
                        </a:prstGeom>
                        <a:solidFill>
                          <a:srgbClr val="D5EEEE"/>
                        </a:solidFill>
                      </wps:spPr>
                      <wps:bodyPr/>
                    </wps:wsp>
                  </a:graphicData>
                </a:graphic>
              </wp:anchor>
            </w:drawing>
          </mc:Choice>
          <mc:Fallback>
            <w:pict>
              <v:rect id="Shape 70" o:spid="_x0000_s1095" style="position:absolute;margin-left:-217.9499pt;margin-top:-192.4499pt;width:53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-2768600</wp:posOffset>
                </wp:positionH>
                <wp:positionV relativeFrom="paragraph">
                  <wp:posOffset>-2148840</wp:posOffset>
                </wp:positionV>
                <wp:extent cx="6858000" cy="13970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39700"/>
                        </a:xfrm>
                        <a:prstGeom prst="rect">
                          <a:avLst/>
                        </a:prstGeom>
                        <a:solidFill>
                          <a:srgbClr val="D5EEEE"/>
                        </a:solidFill>
                      </wps:spPr>
                      <wps:bodyPr/>
                    </wps:wsp>
                  </a:graphicData>
                </a:graphic>
              </wp:anchor>
            </w:drawing>
          </mc:Choice>
          <mc:Fallback>
            <w:pict>
              <v:rect id="Shape 71" o:spid="_x0000_s1096" style="position:absolute;margin-left:-218pt;margin-top:-169.1999pt;width:540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-2767965</wp:posOffset>
                </wp:positionH>
                <wp:positionV relativeFrom="paragraph">
                  <wp:posOffset>-1853565</wp:posOffset>
                </wp:positionV>
                <wp:extent cx="6857365" cy="15494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54940"/>
                        </a:xfrm>
                        <a:prstGeom prst="rect">
                          <a:avLst/>
                        </a:prstGeom>
                        <a:solidFill>
                          <a:srgbClr val="D5EEEE"/>
                        </a:solidFill>
                      </wps:spPr>
                      <wps:bodyPr/>
                    </wps:wsp>
                  </a:graphicData>
                </a:graphic>
              </wp:anchor>
            </w:drawing>
          </mc:Choice>
          <mc:Fallback>
            <w:pict>
              <v:rect id="Shape 72" o:spid="_x0000_s1097" style="position:absolute;margin-left:-217.9499pt;margin-top:-145.9499pt;width:53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-2767965</wp:posOffset>
                </wp:positionH>
                <wp:positionV relativeFrom="paragraph">
                  <wp:posOffset>-1543685</wp:posOffset>
                </wp:positionV>
                <wp:extent cx="6857365" cy="15494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54940"/>
                        </a:xfrm>
                        <a:prstGeom prst="rect">
                          <a:avLst/>
                        </a:prstGeom>
                        <a:solidFill>
                          <a:srgbClr val="D5EEEE"/>
                        </a:solidFill>
                      </wps:spPr>
                      <wps:bodyPr/>
                    </wps:wsp>
                  </a:graphicData>
                </a:graphic>
              </wp:anchor>
            </w:drawing>
          </mc:Choice>
          <mc:Fallback>
            <w:pict>
              <v:rect id="Shape 73" o:spid="_x0000_s1098" style="position:absolute;margin-left:-217.9499pt;margin-top:-121.5499pt;width:53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-2767965</wp:posOffset>
                </wp:positionH>
                <wp:positionV relativeFrom="paragraph">
                  <wp:posOffset>-1233805</wp:posOffset>
                </wp:positionV>
                <wp:extent cx="6857365" cy="15494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54940"/>
                        </a:xfrm>
                        <a:prstGeom prst="rect">
                          <a:avLst/>
                        </a:prstGeom>
                        <a:solidFill>
                          <a:srgbClr val="D5EEEE"/>
                        </a:solidFill>
                      </wps:spPr>
                      <wps:bodyPr/>
                    </wps:wsp>
                  </a:graphicData>
                </a:graphic>
              </wp:anchor>
            </w:drawing>
          </mc:Choice>
          <mc:Fallback>
            <w:pict>
              <v:rect id="Shape 74" o:spid="_x0000_s1099" style="position:absolute;margin-left:-217.9499pt;margin-top:-97.1499pt;width:53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-2767965</wp:posOffset>
                </wp:positionH>
                <wp:positionV relativeFrom="paragraph">
                  <wp:posOffset>-923925</wp:posOffset>
                </wp:positionV>
                <wp:extent cx="6857365" cy="15494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54940"/>
                        </a:xfrm>
                        <a:prstGeom prst="rect">
                          <a:avLst/>
                        </a:prstGeom>
                        <a:solidFill>
                          <a:srgbClr val="D5EEEE"/>
                        </a:solidFill>
                      </wps:spPr>
                      <wps:bodyPr/>
                    </wps:wsp>
                  </a:graphicData>
                </a:graphic>
              </wp:anchor>
            </w:drawing>
          </mc:Choice>
          <mc:Fallback>
            <w:pict>
              <v:rect id="Shape 75" o:spid="_x0000_s1100" style="position:absolute;margin-left:-217.9499pt;margin-top:-72.7499pt;width:53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-2767965</wp:posOffset>
                </wp:positionH>
                <wp:positionV relativeFrom="paragraph">
                  <wp:posOffset>-614045</wp:posOffset>
                </wp:positionV>
                <wp:extent cx="6857365" cy="15494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54940"/>
                        </a:xfrm>
                        <a:prstGeom prst="rect">
                          <a:avLst/>
                        </a:prstGeom>
                        <a:solidFill>
                          <a:srgbClr val="D5EEEE"/>
                        </a:solidFill>
                      </wps:spPr>
                      <wps:bodyPr/>
                    </wps:wsp>
                  </a:graphicData>
                </a:graphic>
              </wp:anchor>
            </w:drawing>
          </mc:Choice>
          <mc:Fallback>
            <w:pict>
              <v:rect id="Shape 76" o:spid="_x0000_s1101" style="position:absolute;margin-left:-217.9499pt;margin-top:-48.3499pt;width:53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-2767965</wp:posOffset>
                </wp:positionH>
                <wp:positionV relativeFrom="paragraph">
                  <wp:posOffset>-304165</wp:posOffset>
                </wp:positionV>
                <wp:extent cx="6857365" cy="15494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54940"/>
                        </a:xfrm>
                        <a:prstGeom prst="rect">
                          <a:avLst/>
                        </a:prstGeom>
                        <a:solidFill>
                          <a:srgbClr val="D5EEEE"/>
                        </a:solidFill>
                      </wps:spPr>
                      <wps:bodyPr/>
                    </wps:wsp>
                  </a:graphicData>
                </a:graphic>
              </wp:anchor>
            </w:drawing>
          </mc:Choice>
          <mc:Fallback>
            <w:pict>
              <v:rect id="Shape 77" o:spid="_x0000_s1102" style="position:absolute;margin-left:-217.9499pt;margin-top:-23.9499pt;width:53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drawing>
          <wp:anchor simplePos="0" relativeHeight="251657728" behindDoc="1" locked="0" layoutInCell="0" allowOverlap="1">
            <wp:simplePos x="0" y="0"/>
            <wp:positionH relativeFrom="column">
              <wp:posOffset>-694690</wp:posOffset>
            </wp:positionH>
            <wp:positionV relativeFrom="paragraph">
              <wp:posOffset>-4698365</wp:posOffset>
            </wp:positionV>
            <wp:extent cx="315341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0">
                      <a:extLst>
                        <a:ext uri="{28A0092B-C50C-407E-A947-70E740481C1C}"/>
                      </a:extLst>
                    </a:blip>
                    <a:srcRect/>
                    <a:stretch>
                      <a:fillRect/>
                    </a:stretch>
                  </pic:blipFill>
                  <pic:spPr bwMode="auto">
                    <a:xfrm>
                      <a:off x="0" y="0"/>
                      <a:ext cx="3153410" cy="38100"/>
                    </a:xfrm>
                    <a:prstGeom prst="rect">
                      <a:avLst/>
                    </a:prstGeom>
                    <a:noFill/>
                  </pic:spPr>
                </pic:pic>
              </a:graphicData>
            </a:graphic>
          </wp:anchor>
        </w:drawing>
      </w:r>
    </w:p>
    <w:p>
      <w:pPr>
        <w:spacing w:after="0" w:line="200" w:lineRule="exact"/>
        <w:rPr>
          <w:sz w:val="20"/>
          <w:szCs w:val="20"/>
          <w:color w:val="auto"/>
        </w:rPr>
      </w:pPr>
    </w:p>
    <w:p>
      <w:pPr>
        <w:sectPr>
          <w:pgSz w:w="12960" w:h="17280" w:orient="portrait"/>
          <w:cols w:equalWidth="0" w:num="2">
            <w:col w:w="4260" w:space="100"/>
            <w:col w:w="6380"/>
          </w:cols>
          <w:pgMar w:left="1080" w:top="1440" w:right="1140" w:bottom="751" w:gutter="0" w:footer="0" w:header="0"/>
          <w:type w:val="continuous"/>
        </w:sectPr>
      </w:pPr>
    </w:p>
    <w:p>
      <w:pPr>
        <w:spacing w:after="0" w:line="237" w:lineRule="exact"/>
        <w:rPr>
          <w:sz w:val="20"/>
          <w:szCs w:val="20"/>
          <w:color w:val="auto"/>
        </w:rPr>
      </w:pPr>
    </w:p>
    <w:p>
      <w:pPr>
        <w:jc w:val="both"/>
        <w:ind w:left="860" w:right="180" w:hanging="500"/>
        <w:spacing w:after="0" w:line="266" w:lineRule="auto"/>
        <w:tabs>
          <w:tab w:leader="none" w:pos="860" w:val="left"/>
        </w:tabs>
        <w:numPr>
          <w:ilvl w:val="0"/>
          <w:numId w:val="6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This option was granted on January 4, 2022 and 25% of the shares subject to such option vested and became exercisable on January 4, 2023, with the remaining shares vesting in equal monthly installments thereafter through January 4, 2026.</w:t>
      </w:r>
    </w:p>
    <w:p>
      <w:pPr>
        <w:spacing w:after="0" w:line="1" w:lineRule="exact"/>
        <w:rPr>
          <w:rFonts w:ascii="Times New Roman" w:cs="Times New Roman" w:eastAsia="Times New Roman" w:hAnsi="Times New Roman"/>
          <w:sz w:val="19"/>
          <w:szCs w:val="19"/>
          <w:i w:val="1"/>
          <w:iCs w:val="1"/>
          <w:color w:val="auto"/>
        </w:rPr>
      </w:pPr>
    </w:p>
    <w:p>
      <w:pPr>
        <w:jc w:val="both"/>
        <w:ind w:left="860" w:right="180" w:hanging="500"/>
        <w:spacing w:after="0" w:line="252" w:lineRule="auto"/>
        <w:tabs>
          <w:tab w:leader="none" w:pos="860" w:val="left"/>
        </w:tabs>
        <w:numPr>
          <w:ilvl w:val="0"/>
          <w:numId w:val="6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This option was granted on January 4, 2023 and 25% of the shares subject to such option vested and became exercisable on January 4, 2024, with the remaining shares vesting in equal monthly installments thereafter through January 4, 2027.</w:t>
      </w:r>
    </w:p>
    <w:p>
      <w:pPr>
        <w:spacing w:after="0" w:line="1" w:lineRule="exact"/>
        <w:rPr>
          <w:rFonts w:ascii="Times New Roman" w:cs="Times New Roman" w:eastAsia="Times New Roman" w:hAnsi="Times New Roman"/>
          <w:sz w:val="19"/>
          <w:szCs w:val="19"/>
          <w:i w:val="1"/>
          <w:iCs w:val="1"/>
          <w:color w:val="auto"/>
        </w:rPr>
      </w:pPr>
    </w:p>
    <w:p>
      <w:pPr>
        <w:ind w:left="860" w:right="300" w:hanging="500"/>
        <w:spacing w:after="0"/>
        <w:tabs>
          <w:tab w:leader="none" w:pos="860" w:val="left"/>
        </w:tabs>
        <w:numPr>
          <w:ilvl w:val="0"/>
          <w:numId w:val="6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This option was granted on October 9, 2024 and the shares subject to such option vest in 48 equal monthly installments over four years from the grant date.</w:t>
      </w:r>
    </w:p>
    <w:p>
      <w:pPr>
        <w:jc w:val="both"/>
        <w:ind w:left="860" w:right="180" w:hanging="500"/>
        <w:spacing w:after="0" w:line="274" w:lineRule="auto"/>
        <w:tabs>
          <w:tab w:leader="none" w:pos="860" w:val="left"/>
        </w:tabs>
        <w:numPr>
          <w:ilvl w:val="0"/>
          <w:numId w:val="6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This option was granted on January 4, 2025 and 25% of the shares subject to such option vested and became exercisable on January 4, 2026, with the remaining shares vesting in equal monthly installments thereafter through January 4, 2029.</w:t>
      </w:r>
    </w:p>
    <w:p>
      <w:pPr>
        <w:sectPr>
          <w:pgSz w:w="12960" w:h="17280" w:orient="portrait"/>
          <w:cols w:equalWidth="0" w:num="1">
            <w:col w:w="10740"/>
          </w:cols>
          <w:pgMar w:left="1080" w:top="1440" w:right="1140" w:bottom="751" w:gutter="0" w:footer="0" w:header="0"/>
          <w:type w:val="continuous"/>
        </w:sectPr>
      </w:pP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18</w:t>
      </w:r>
    </w:p>
    <w:p>
      <w:pPr>
        <w:sectPr>
          <w:pgSz w:w="12960" w:h="17280" w:orient="portrait"/>
          <w:cols w:equalWidth="0" w:num="1">
            <w:col w:w="10740"/>
          </w:cols>
          <w:pgMar w:left="1080" w:top="1440" w:right="1140" w:bottom="751" w:gutter="0" w:footer="0" w:header="0"/>
          <w:type w:val="continuous"/>
        </w:sectPr>
      </w:pPr>
    </w:p>
    <w:bookmarkStart w:id="149" w:name="page150"/>
    <w:bookmarkEnd w:id="149"/>
    <w:p>
      <w:pPr>
        <w:spacing w:after="0" w:line="213" w:lineRule="exact"/>
        <w:rPr>
          <w:sz w:val="20"/>
          <w:szCs w:val="20"/>
          <w:color w:val="auto"/>
        </w:rPr>
      </w:pPr>
    </w:p>
    <w:p>
      <w:pPr>
        <w:ind w:left="860" w:right="160" w:hanging="500"/>
        <w:spacing w:after="0" w:line="253" w:lineRule="auto"/>
        <w:tabs>
          <w:tab w:leader="none" w:pos="860" w:val="left"/>
        </w:tabs>
        <w:numPr>
          <w:ilvl w:val="0"/>
          <w:numId w:val="6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This option was granted on June 15, 2021 and 25% of the shares subject to such option vested and became exercisable on May 3, 2022, with the remaining shares vesting in equal monthly installments thereafter through May 3, 2026.</w:t>
      </w:r>
    </w:p>
    <w:p>
      <w:pPr>
        <w:spacing w:after="0" w:line="1" w:lineRule="exact"/>
        <w:rPr>
          <w:rFonts w:ascii="Times New Roman" w:cs="Times New Roman" w:eastAsia="Times New Roman" w:hAnsi="Times New Roman"/>
          <w:sz w:val="20"/>
          <w:szCs w:val="20"/>
          <w:i w:val="1"/>
          <w:iCs w:val="1"/>
          <w:color w:val="auto"/>
        </w:rPr>
      </w:pPr>
    </w:p>
    <w:p>
      <w:pPr>
        <w:ind w:left="860" w:right="260" w:hanging="500"/>
        <w:spacing w:after="0" w:line="239" w:lineRule="auto"/>
        <w:tabs>
          <w:tab w:leader="none" w:pos="860" w:val="left"/>
        </w:tabs>
        <w:numPr>
          <w:ilvl w:val="0"/>
          <w:numId w:val="6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These dollar values are based on the closing price of the Company's shares on The Nasdaq Capital Market on December 31, 2025, which was $23.01 These restricted stock unit awards were granted on January 3, 2024. One-third of the total restricted stock units subject to the award vested on January 3, 2025 and the remaining restricted stock units will vest ratably every six months thereafter.</w:t>
      </w:r>
    </w:p>
    <w:p>
      <w:pPr>
        <w:spacing w:after="0" w:line="2" w:lineRule="exact"/>
        <w:rPr>
          <w:rFonts w:ascii="Times New Roman" w:cs="Times New Roman" w:eastAsia="Times New Roman" w:hAnsi="Times New Roman"/>
          <w:sz w:val="20"/>
          <w:szCs w:val="20"/>
          <w:i w:val="1"/>
          <w:iCs w:val="1"/>
          <w:color w:val="auto"/>
        </w:rPr>
      </w:pPr>
    </w:p>
    <w:p>
      <w:pPr>
        <w:ind w:left="860" w:right="600" w:hanging="500"/>
        <w:spacing w:after="0" w:line="247" w:lineRule="auto"/>
        <w:tabs>
          <w:tab w:leader="none" w:pos="860" w:val="left"/>
        </w:tabs>
        <w:numPr>
          <w:ilvl w:val="0"/>
          <w:numId w:val="6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Dr. Schambye’s employment was terminated by the Company effective February 10, 2026 and in connection with his termination, his outstanding equity awards were accelerated.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Narrative Description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Control and Severance Arrangements</w:t>
      </w:r>
    </w:p>
    <w:p>
      <w:pPr>
        <w:spacing w:after="0" w:line="24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On June 30, 2021, our Compensation Committee adopted the Separation Benefits Plan that is applicable to our named executive officers, as well as other members of our management team and employees designated by the Compensation Committee or Board of Directors.</w:t>
      </w:r>
    </w:p>
    <w:p>
      <w:pPr>
        <w:spacing w:after="0" w:line="18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color w:val="auto"/>
        </w:rPr>
        <w:t>The Separation Benefits Plan provides for separation benefits in the event of (i) a termination of the named executive officer’s employment by the Company other than for Cause (as such term is defined in the Separation Benefits Plan) or (ii) a resignation by such named executive officer for Good Reason (as such term is defined in the Separation Benefits Plan).</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Under the terms of the Separation Benefits Plan, subject to the execution and effectiveness of a separation and release of claims agreement, if a named executive officer’s employment is terminated by us other than for Cause, or the named executive officer resigns for Good Reason, and the termination does not occur upon a Sale Event (as such term is defined in the Separation Benefits Plan) or within 24 months following a Sale Event (the “Post-Sale Period”), we will be obligated to:</w:t>
      </w:r>
    </w:p>
    <w:p>
      <w:pPr>
        <w:spacing w:after="0" w:line="198" w:lineRule="exact"/>
        <w:rPr>
          <w:sz w:val="20"/>
          <w:szCs w:val="20"/>
          <w:color w:val="auto"/>
        </w:rPr>
      </w:pPr>
    </w:p>
    <w:p>
      <w:pPr>
        <w:ind w:left="980" w:right="80" w:hanging="544"/>
        <w:spacing w:after="0" w:line="277" w:lineRule="auto"/>
        <w:tabs>
          <w:tab w:leader="none" w:pos="9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pay the named executive officer’s monthly base salary for a period (the “Severance Period”) of (i) 15 months, in the case of Dr. Schambye, (ii) or 12 months, in the case of Mr. Winslow or Ms. Firmani;</w:t>
      </w:r>
    </w:p>
    <w:p>
      <w:pPr>
        <w:spacing w:after="0" w:line="167" w:lineRule="exact"/>
        <w:rPr>
          <w:rFonts w:ascii="Times New Roman" w:cs="Times New Roman" w:eastAsia="Times New Roman" w:hAnsi="Times New Roman"/>
          <w:sz w:val="20"/>
          <w:szCs w:val="20"/>
          <w:color w:val="auto"/>
        </w:rPr>
      </w:pPr>
    </w:p>
    <w:p>
      <w:pPr>
        <w:jc w:val="both"/>
        <w:ind w:left="980" w:right="80" w:hanging="544"/>
        <w:spacing w:after="0" w:line="258" w:lineRule="auto"/>
        <w:tabs>
          <w:tab w:leader="none" w:pos="9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 the vesting of equity awards held by the named executive officer at the date of termination (other than equity awards that vest on the basis of performance and do not provide solely for time-based vesting), such that the equity awards that would have vested during the Severance Period shall become vested;</w:t>
      </w:r>
    </w:p>
    <w:p>
      <w:pPr>
        <w:spacing w:after="0" w:line="186" w:lineRule="exact"/>
        <w:rPr>
          <w:rFonts w:ascii="Times New Roman" w:cs="Times New Roman" w:eastAsia="Times New Roman" w:hAnsi="Times New Roman"/>
          <w:sz w:val="20"/>
          <w:szCs w:val="20"/>
          <w:color w:val="auto"/>
        </w:rPr>
      </w:pPr>
    </w:p>
    <w:p>
      <w:pPr>
        <w:jc w:val="both"/>
        <w:ind w:left="980" w:right="80" w:hanging="544"/>
        <w:spacing w:after="0" w:line="258" w:lineRule="auto"/>
        <w:tabs>
          <w:tab w:leader="none" w:pos="9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to the named executive officer a prorated amount equal to the bonus award for the year in which the termination of employment occurs, subject to the achievement of applicable bonus criteria as determined by the Board of Directors and payable at the same time as annual bonuses, if any, are paid to our other executive officers; and</w:t>
      </w:r>
    </w:p>
    <w:p>
      <w:pPr>
        <w:spacing w:after="0" w:line="186" w:lineRule="exact"/>
        <w:rPr>
          <w:rFonts w:ascii="Times New Roman" w:cs="Times New Roman" w:eastAsia="Times New Roman" w:hAnsi="Times New Roman"/>
          <w:sz w:val="20"/>
          <w:szCs w:val="20"/>
          <w:color w:val="auto"/>
        </w:rPr>
      </w:pPr>
    </w:p>
    <w:p>
      <w:pPr>
        <w:jc w:val="both"/>
        <w:ind w:left="980" w:right="80" w:hanging="544"/>
        <w:spacing w:after="0" w:line="258" w:lineRule="auto"/>
        <w:tabs>
          <w:tab w:leader="none" w:pos="9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Mr. Winslow and Ms. Firmani, who are located in the United States and are eligible to receive medical, dental and/or vision insurance pursuant to COBRA, pay on their behalf the share of the monthly premiums for such coverage that it pays for active and similarly situated employees during the Severance Period.</w:t>
      </w:r>
    </w:p>
    <w:p>
      <w:pPr>
        <w:spacing w:after="0" w:line="1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Under the terms of the Separation Benefits Plan, subject to the execution and effectiveness of a severance and release of claims agreement, if, in connection with a Sale Event or during the Post-Sale Period, a named executive officer’s employment is terminated by the Company other than for Cause, or the named executive officer resigns for Good Reason, we will be obligated to:</w:t>
      </w:r>
    </w:p>
    <w:p>
      <w:pPr>
        <w:spacing w:after="0" w:line="192" w:lineRule="exact"/>
        <w:rPr>
          <w:sz w:val="20"/>
          <w:szCs w:val="20"/>
          <w:color w:val="auto"/>
        </w:rPr>
      </w:pPr>
    </w:p>
    <w:p>
      <w:pPr>
        <w:jc w:val="both"/>
        <w:ind w:left="980" w:right="80" w:hanging="544"/>
        <w:spacing w:after="0" w:line="277" w:lineRule="auto"/>
        <w:tabs>
          <w:tab w:leader="none" w:pos="9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 lump sum equal to the named executive officer’s monthly base salary for a period (the “Post-Sale Severance Period”) of (i) 18 months, in the case of the Dr. Schambye, or (ii) 12 months, in the case of Mr. Winslow or Ms. Firmani;</w:t>
      </w:r>
    </w:p>
    <w:p>
      <w:pPr>
        <w:spacing w:after="0" w:line="167" w:lineRule="exact"/>
        <w:rPr>
          <w:rFonts w:ascii="Times New Roman" w:cs="Times New Roman" w:eastAsia="Times New Roman" w:hAnsi="Times New Roman"/>
          <w:sz w:val="20"/>
          <w:szCs w:val="20"/>
          <w:color w:val="auto"/>
        </w:rPr>
      </w:pPr>
    </w:p>
    <w:p>
      <w:pPr>
        <w:jc w:val="both"/>
        <w:ind w:left="980" w:right="80" w:hanging="544"/>
        <w:spacing w:after="0" w:line="258" w:lineRule="auto"/>
        <w:tabs>
          <w:tab w:leader="none" w:pos="9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 the vesting of all equity awards held by such named executive officer at the date of termination (other than equity awards that vest on the basis of performance and do not provide solely for time-based vesting), such that all equity awards shall become 100% vested;</w:t>
      </w:r>
    </w:p>
    <w:p>
      <w:pPr>
        <w:spacing w:after="0" w:line="186" w:lineRule="exact"/>
        <w:rPr>
          <w:rFonts w:ascii="Times New Roman" w:cs="Times New Roman" w:eastAsia="Times New Roman" w:hAnsi="Times New Roman"/>
          <w:sz w:val="20"/>
          <w:szCs w:val="20"/>
          <w:color w:val="auto"/>
        </w:rPr>
      </w:pPr>
    </w:p>
    <w:p>
      <w:pPr>
        <w:jc w:val="both"/>
        <w:ind w:left="980" w:right="80" w:hanging="544"/>
        <w:spacing w:after="0" w:line="252" w:lineRule="auto"/>
        <w:tabs>
          <w:tab w:leader="none" w:pos="9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to the named executive officer a lump sum equal to 150%, in the case of Dr. Schambye, or (ii) 100%, in the case of Mr. Winslow and Ms. Firmani, of such named executive officer’s target bonus award for the year in which the termination of employment occurs, without regard to whether the performance goals or criteria applicable to such target bonus had been established or satisfied at the date of termination; and</w:t>
      </w:r>
    </w:p>
    <w:p>
      <w:pPr>
        <w:spacing w:after="0" w:line="192" w:lineRule="exact"/>
        <w:rPr>
          <w:rFonts w:ascii="Times New Roman" w:cs="Times New Roman" w:eastAsia="Times New Roman" w:hAnsi="Times New Roman"/>
          <w:sz w:val="20"/>
          <w:szCs w:val="20"/>
          <w:color w:val="auto"/>
        </w:rPr>
      </w:pPr>
    </w:p>
    <w:p>
      <w:pPr>
        <w:jc w:val="both"/>
        <w:ind w:left="980" w:right="80" w:hanging="544"/>
        <w:spacing w:after="0" w:line="252" w:lineRule="auto"/>
        <w:tabs>
          <w:tab w:leader="none" w:pos="9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Mr. Winslow and Ms. Firmani, who are located in the United States and are eligible to receive medical, dental and/or vision insurance pursuant to COBRA, pay on their behalf the share of the monthly premiums for such coverage that it pays for active and similarly situated employees during the Severance Period.</w:t>
      </w:r>
    </w:p>
    <w:p>
      <w:pPr>
        <w:sectPr>
          <w:pgSz w:w="12960" w:h="17280" w:orient="portrait"/>
          <w:cols w:equalWidth="0" w:num="1">
            <w:col w:w="10780"/>
          </w:cols>
          <w:pgMar w:left="1080" w:top="1440" w:right="1100" w:bottom="741"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960" w:h="17280" w:orient="portrait"/>
          <w:cols w:equalWidth="0" w:num="1">
            <w:col w:w="10780"/>
          </w:cols>
          <w:pgMar w:left="1080" w:top="1440" w:right="1100" w:bottom="741" w:gutter="0" w:footer="0" w:header="0"/>
          <w:type w:val="continuous"/>
        </w:sectPr>
      </w:pPr>
    </w:p>
    <w:bookmarkStart w:id="150" w:name="page151"/>
    <w:bookmarkEnd w:id="150"/>
    <w:p>
      <w:pPr>
        <w:spacing w:after="0" w:line="2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If the severance benefits provided by the Separation Benefits Plan are subject to the excise tax imposed by Section 4999 of the Internal Revenue Code of 1986, as amended, then such payments shall be reduced to avoid the imposition of such excise tax, provided, however, that such reduction shall only occur if the named executive officer’s reduced payments, in the aggregate, are greater than the aggregate payments to be received by the employee absent such reduction but with the imposition of the excise tax.</w:t>
      </w:r>
    </w:p>
    <w:p>
      <w:pPr>
        <w:spacing w:after="0" w:line="19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On March 20, 2026, we entered into an offer letter for continued employment with Mr. Winslow which sets forth his potential severance benefits. Under such offer letter, in the event Mr. Winslow’s employment is terminated without Cause or he resigns for Good Reason (as such terms are defined in the offer letter) more than three months prior to or more than 12 months following a Change in Control (as defined in the offer letter), he would be eligible to receive: (i) severance payments equal to 12 months of his base salary, (ii) a pro-rated target bonus for the year of termination, (iii) any unpaid bonus for the prior year, and (iv) Company-subsidized continuation coverage under the Company’s group health plans for up to 12 months. If such termination occurs within three months prior to or within 12 months following a Change in Control, he would instead be eligible to receive: (A) severance payments equal to 12 months of his base salary, (B) a pro-rated target bonus for the year of termination, (C) any unpaid bonus for the prior year,</w:t>
      </w:r>
    </w:p>
    <w:p>
      <w:pPr>
        <w:spacing w:after="0" w:line="5" w:lineRule="exact"/>
        <w:rPr>
          <w:sz w:val="20"/>
          <w:szCs w:val="20"/>
          <w:color w:val="auto"/>
        </w:rPr>
      </w:pPr>
    </w:p>
    <w:p>
      <w:pPr>
        <w:ind w:right="380"/>
        <w:spacing w:after="0" w:line="244" w:lineRule="auto"/>
        <w:tabs>
          <w:tab w:leader="none" w:pos="32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Company-subsidized continuation coverage under the Company’s group health plans for up to 12 months, and (E) accelerated vesting of all outstanding equity awards (with any performance conditions deemed satisfied at the greater of target or actual performance, or as otherwise provided in the applicable award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Policies and Practices Related to the Grant of Certain Equity Awards</w:t>
      </w:r>
    </w:p>
    <w:p>
      <w:pPr>
        <w:spacing w:after="0" w:line="24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Our equity awards, including stock options, are granted in connection with our yearly compensation cycle and regularly scheduled meetings of the Compensation Committee. Typically, our practice is to make annual award grants at the beginning of each fiscal year. Our policy is to not grant stock options or similar awards in anticipation of the release of material non-public information and to not time the release of material non-public information based on equity award grant date, but some option grants may be granted close in time to the release of material non-public information to the extent those options are being granted upon hiring of new executive officers, as part of plans to make non-annual award grants to certain employees or in connection with annual grants being made as part of our director compensation policy. Our practices and policies with respect to the timing of equity award grants may change in the future. During 2025, we did not grant stock options to a named executive officer in the period beginning four business days before and ending one business day after the filing of a Form 10-Q or Form 10-K or the filing or furnishing of a Form 8-K that discloses material nonpublic information, and we did not time the disclosure of material non-public information for the purpose of affecting the value of executive compensation.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 Versus Performance</w:t>
      </w:r>
    </w:p>
    <w:p>
      <w:pPr>
        <w:spacing w:after="0" w:line="12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As required by Section 953(a) of the Dodd-Frank Wall Street Reform and Consumer Protection Act and Item 402(v) of Regulation S-K, we are providing the following information about the relationship between executive compensation actually paid (as defined by SEC rules) and certain financial and operational performances of the Company. The Compensation Committee did not consider the pay versus performance disclosure when making its compensation decisions for the year ended December 31, 2025. The amounts in the table below are calculated in accordance with SEC rules and do not represent amounts actually earned or realized by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Value of Initial</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Summary</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Fixed $100</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3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 Based</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Table Total for</w:t>
            </w:r>
          </w:p>
        </w:tc>
        <w:tc>
          <w:tcPr>
            <w:tcW w:w="3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On Total</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Table Total for</w:t>
            </w:r>
          </w:p>
        </w:tc>
        <w:tc>
          <w:tcPr>
            <w:tcW w:w="3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2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Non-PEO NEOs</w:t>
            </w:r>
          </w:p>
        </w:tc>
        <w:tc>
          <w:tcPr>
            <w:tcW w:w="3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Actually Paid to</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Shareholder</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Dr. Schambye</w:t>
            </w:r>
          </w:p>
        </w:tc>
        <w:tc>
          <w:tcPr>
            <w:tcW w:w="3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Actually Paid to</w:t>
            </w:r>
          </w:p>
        </w:tc>
        <w:tc>
          <w:tcPr>
            <w:tcW w:w="2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Officer</w:t>
            </w:r>
          </w:p>
        </w:tc>
        <w:tc>
          <w:tcPr>
            <w:tcW w:w="3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Non-PEO NEOs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Return</w:t>
            </w:r>
          </w:p>
        </w:tc>
        <w:tc>
          <w:tcPr>
            <w:tcW w:w="26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Income/(Loss)</w:t>
            </w:r>
          </w:p>
        </w:tc>
      </w:tr>
      <w:tr>
        <w:trPr>
          <w:trHeight w:val="203"/>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600" w:type="dxa"/>
            <w:vAlign w:val="bottom"/>
            <w:gridSpan w:val="2"/>
          </w:tcPr>
          <w:p>
            <w:pPr>
              <w:jc w:val="center"/>
              <w:ind w:left="100"/>
              <w:spacing w:after="0" w:line="204"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0"/>
                <w:szCs w:val="20"/>
                <w:b w:val="1"/>
                <w:bCs w:val="1"/>
                <w:color w:val="auto"/>
                <w:w w:val="87"/>
                <w:vertAlign w:val="superscript"/>
              </w:rPr>
              <w:t>(1)</w:t>
            </w:r>
          </w:p>
        </w:tc>
        <w:tc>
          <w:tcPr>
            <w:tcW w:w="300" w:type="dxa"/>
            <w:vAlign w:val="bottom"/>
          </w:tcPr>
          <w:p>
            <w:pPr>
              <w:spacing w:after="0"/>
              <w:rPr>
                <w:sz w:val="17"/>
                <w:szCs w:val="17"/>
                <w:color w:val="auto"/>
              </w:rPr>
            </w:pPr>
          </w:p>
        </w:tc>
        <w:tc>
          <w:tcPr>
            <w:tcW w:w="1420" w:type="dxa"/>
            <w:vAlign w:val="bottom"/>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auto"/>
                <w:w w:val="97"/>
              </w:rPr>
              <w:t>Dr. Schambye ($)</w:t>
            </w:r>
            <w:r>
              <w:rPr>
                <w:rFonts w:ascii="Times New Roman" w:cs="Times New Roman" w:eastAsia="Times New Roman" w:hAnsi="Times New Roman"/>
                <w:sz w:val="20"/>
                <w:szCs w:val="20"/>
                <w:b w:val="1"/>
                <w:bCs w:val="1"/>
                <w:color w:val="auto"/>
                <w:w w:val="97"/>
                <w:vertAlign w:val="superscript"/>
              </w:rPr>
              <w:t>(2)</w:t>
            </w:r>
          </w:p>
        </w:tc>
        <w:tc>
          <w:tcPr>
            <w:tcW w:w="1700" w:type="dxa"/>
            <w:vAlign w:val="bottom"/>
            <w:gridSpan w:val="2"/>
          </w:tcPr>
          <w:p>
            <w:pPr>
              <w:jc w:val="center"/>
              <w:ind w:left="200"/>
              <w:spacing w:after="0" w:line="204"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0"/>
                <w:szCs w:val="20"/>
                <w:b w:val="1"/>
                <w:bCs w:val="1"/>
                <w:color w:val="auto"/>
                <w:w w:val="87"/>
                <w:vertAlign w:val="superscript"/>
              </w:rPr>
              <w:t>(3)</w:t>
            </w:r>
          </w:p>
        </w:tc>
        <w:tc>
          <w:tcPr>
            <w:tcW w:w="1620" w:type="dxa"/>
            <w:vAlign w:val="bottom"/>
            <w:gridSpan w:val="2"/>
          </w:tcPr>
          <w:p>
            <w:pPr>
              <w:jc w:val="center"/>
              <w:ind w:left="200"/>
              <w:spacing w:after="0" w:line="204"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0"/>
                <w:szCs w:val="20"/>
                <w:b w:val="1"/>
                <w:bCs w:val="1"/>
                <w:color w:val="auto"/>
                <w:w w:val="87"/>
                <w:vertAlign w:val="superscript"/>
              </w:rPr>
              <w:t>(2)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55"/>
              <w:spacing w:after="0" w:line="204"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0"/>
                <w:szCs w:val="20"/>
                <w:b w:val="1"/>
                <w:bCs w:val="1"/>
                <w:color w:val="auto"/>
                <w:w w:val="87"/>
                <w:vertAlign w:val="superscript"/>
              </w:rPr>
              <w:t>(4)</w:t>
            </w:r>
          </w:p>
        </w:tc>
        <w:tc>
          <w:tcPr>
            <w:tcW w:w="260" w:type="dxa"/>
            <w:vAlign w:val="bottom"/>
          </w:tcPr>
          <w:p>
            <w:pPr>
              <w:spacing w:after="0"/>
              <w:rPr>
                <w:sz w:val="17"/>
                <w:szCs w:val="17"/>
                <w:color w:val="auto"/>
              </w:rPr>
            </w:pPr>
          </w:p>
        </w:tc>
        <w:tc>
          <w:tcPr>
            <w:tcW w:w="1400" w:type="dxa"/>
            <w:vAlign w:val="bottom"/>
            <w:gridSpan w:val="2"/>
          </w:tcPr>
          <w:p>
            <w:pPr>
              <w:jc w:val="center"/>
              <w:ind w:right="100"/>
              <w:spacing w:after="0" w:line="204" w:lineRule="exact"/>
              <w:rPr>
                <w:sz w:val="20"/>
                <w:szCs w:val="20"/>
                <w:color w:val="auto"/>
              </w:rPr>
            </w:pPr>
            <w:r>
              <w:rPr>
                <w:rFonts w:ascii="Times New Roman" w:cs="Times New Roman" w:eastAsia="Times New Roman" w:hAnsi="Times New Roman"/>
                <w:sz w:val="16"/>
                <w:szCs w:val="16"/>
                <w:b w:val="1"/>
                <w:bCs w:val="1"/>
                <w:color w:val="auto"/>
                <w:w w:val="97"/>
              </w:rPr>
              <w:t>($in thousands)</w:t>
            </w:r>
            <w:r>
              <w:rPr>
                <w:rFonts w:ascii="Times New Roman" w:cs="Times New Roman" w:eastAsia="Times New Roman" w:hAnsi="Times New Roman"/>
                <w:sz w:val="20"/>
                <w:szCs w:val="20"/>
                <w:b w:val="1"/>
                <w:bCs w:val="1"/>
                <w:color w:val="auto"/>
                <w:w w:val="97"/>
                <w:vertAlign w:val="superscript"/>
              </w:rPr>
              <w:t>(5)</w:t>
            </w:r>
          </w:p>
        </w:tc>
      </w:tr>
      <w:tr>
        <w:trPr>
          <w:trHeight w:val="239"/>
        </w:trPr>
        <w:tc>
          <w:tcPr>
            <w:tcW w:w="980" w:type="dxa"/>
            <w:vAlign w:val="bottom"/>
            <w:tcBorders>
              <w:top w:val="single" w:sz="8" w:color="auto"/>
            </w:tcBorders>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9"/>
              </w:rPr>
              <w:t>2025</w:t>
            </w:r>
          </w:p>
        </w:tc>
        <w:tc>
          <w:tcPr>
            <w:tcW w:w="180" w:type="dxa"/>
            <w:vAlign w:val="bottom"/>
            <w:tcBorders>
              <w:top w:val="single" w:sz="8" w:color="D5EEEE"/>
            </w:tcBorders>
            <w:shd w:val="clear" w:color="auto" w:fill="D5EEEE"/>
          </w:tcPr>
          <w:p>
            <w:pPr>
              <w:spacing w:after="0"/>
              <w:rPr>
                <w:sz w:val="20"/>
                <w:szCs w:val="20"/>
                <w:color w:val="auto"/>
              </w:rPr>
            </w:pPr>
          </w:p>
        </w:tc>
        <w:tc>
          <w:tcPr>
            <w:tcW w:w="14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1,299,792</w:t>
            </w:r>
          </w:p>
        </w:tc>
        <w:tc>
          <w:tcPr>
            <w:tcW w:w="300" w:type="dxa"/>
            <w:vAlign w:val="bottom"/>
            <w:tcBorders>
              <w:top w:val="single" w:sz="8" w:color="D5EEEE"/>
            </w:tcBorders>
            <w:shd w:val="clear" w:color="auto" w:fill="D5EEEE"/>
          </w:tcPr>
          <w:p>
            <w:pPr>
              <w:spacing w:after="0"/>
              <w:rPr>
                <w:sz w:val="20"/>
                <w:szCs w:val="20"/>
                <w:color w:val="auto"/>
              </w:rPr>
            </w:pPr>
          </w:p>
        </w:tc>
        <w:tc>
          <w:tcPr>
            <w:tcW w:w="14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2,127,916</w:t>
            </w:r>
          </w:p>
        </w:tc>
        <w:tc>
          <w:tcPr>
            <w:tcW w:w="280" w:type="dxa"/>
            <w:vAlign w:val="bottom"/>
            <w:tcBorders>
              <w:top w:val="single" w:sz="8" w:color="D5EEEE"/>
            </w:tcBorders>
            <w:shd w:val="clear" w:color="auto" w:fill="D5EEEE"/>
          </w:tcPr>
          <w:p>
            <w:pPr>
              <w:spacing w:after="0"/>
              <w:rPr>
                <w:sz w:val="20"/>
                <w:szCs w:val="20"/>
                <w:color w:val="auto"/>
              </w:rPr>
            </w:pPr>
          </w:p>
        </w:tc>
        <w:tc>
          <w:tcPr>
            <w:tcW w:w="14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708,983</w:t>
            </w:r>
          </w:p>
        </w:tc>
        <w:tc>
          <w:tcPr>
            <w:tcW w:w="300" w:type="dxa"/>
            <w:vAlign w:val="bottom"/>
            <w:tcBorders>
              <w:top w:val="single" w:sz="8" w:color="D5EEEE"/>
            </w:tcBorders>
            <w:shd w:val="clear" w:color="auto" w:fill="D5EEEE"/>
          </w:tcPr>
          <w:p>
            <w:pPr>
              <w:spacing w:after="0"/>
              <w:rPr>
                <w:sz w:val="20"/>
                <w:szCs w:val="20"/>
                <w:color w:val="auto"/>
              </w:rPr>
            </w:pPr>
          </w:p>
        </w:tc>
        <w:tc>
          <w:tcPr>
            <w:tcW w:w="13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976,736</w:t>
            </w:r>
          </w:p>
        </w:tc>
        <w:tc>
          <w:tcPr>
            <w:tcW w:w="20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127.83</w:t>
            </w:r>
          </w:p>
        </w:tc>
        <w:tc>
          <w:tcPr>
            <w:tcW w:w="260" w:type="dxa"/>
            <w:vAlign w:val="bottom"/>
            <w:tcBorders>
              <w:top w:val="single" w:sz="8" w:color="D5EEEE"/>
            </w:tcBorders>
            <w:shd w:val="clear" w:color="auto" w:fill="D5EEEE"/>
          </w:tcPr>
          <w:p>
            <w:pPr>
              <w:spacing w:after="0"/>
              <w:rPr>
                <w:sz w:val="20"/>
                <w:szCs w:val="20"/>
                <w:color w:val="auto"/>
              </w:rPr>
            </w:pPr>
          </w:p>
        </w:tc>
        <w:tc>
          <w:tcPr>
            <w:tcW w:w="13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(209,839)</w:t>
            </w:r>
          </w:p>
        </w:tc>
        <w:tc>
          <w:tcPr>
            <w:tcW w:w="80" w:type="dxa"/>
            <w:vAlign w:val="bottom"/>
            <w:tcBorders>
              <w:top w:val="single" w:sz="8" w:color="D5EEEE"/>
            </w:tcBorders>
            <w:shd w:val="clear" w:color="auto" w:fill="D5EEEE"/>
          </w:tcPr>
          <w:p>
            <w:pPr>
              <w:spacing w:after="0"/>
              <w:rPr>
                <w:sz w:val="20"/>
                <w:szCs w:val="20"/>
                <w:color w:val="auto"/>
              </w:rPr>
            </w:pPr>
          </w:p>
        </w:tc>
      </w:tr>
      <w:tr>
        <w:trPr>
          <w:trHeight w:val="266"/>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1,429,550</w:t>
            </w: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1,228,832</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759,671</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714,306</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25.83</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(21,439)</w:t>
            </w:r>
          </w:p>
        </w:tc>
        <w:tc>
          <w:tcPr>
            <w:tcW w:w="80" w:type="dxa"/>
            <w:vAlign w:val="bottom"/>
          </w:tcPr>
          <w:p>
            <w:pPr>
              <w:spacing w:after="0"/>
              <w:rPr>
                <w:sz w:val="23"/>
                <w:szCs w:val="23"/>
                <w:color w:val="auto"/>
              </w:rPr>
            </w:pPr>
          </w:p>
        </w:tc>
      </w:tr>
    </w:tbl>
    <w:p>
      <w:pPr>
        <w:spacing w:after="0" w:line="80" w:lineRule="exact"/>
        <w:rPr>
          <w:sz w:val="20"/>
          <w:szCs w:val="20"/>
          <w:color w:val="auto"/>
        </w:rPr>
      </w:pPr>
    </w:p>
    <w:p>
      <w:pPr>
        <w:ind w:left="500" w:right="140" w:hanging="500"/>
        <w:spacing w:after="0" w:line="275" w:lineRule="auto"/>
        <w:tabs>
          <w:tab w:leader="none" w:pos="500" w:val="left"/>
        </w:tabs>
        <w:numPr>
          <w:ilvl w:val="0"/>
          <w:numId w:val="6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During fiscal years 2024 and 2025, the following individual served as “principal executive officer” during the time periods set forth below:</w:t>
      </w:r>
    </w:p>
    <w:p>
      <w:pPr>
        <w:spacing w:after="0" w:line="54" w:lineRule="exact"/>
        <w:rPr>
          <w:sz w:val="20"/>
          <w:szCs w:val="20"/>
          <w:color w:val="auto"/>
        </w:rPr>
      </w:pPr>
    </w:p>
    <w:tbl>
      <w:tblPr>
        <w:tblLayout w:type="fixed"/>
        <w:tblInd w:w="600" w:type="dxa"/>
        <w:tblCellMar>
          <w:top w:w="0" w:type="dxa"/>
          <w:left w:w="0" w:type="dxa"/>
          <w:bottom w:w="0" w:type="dxa"/>
          <w:right w:w="0" w:type="dxa"/>
        </w:tblCellMar>
      </w:tblPr>
      <w:tr>
        <w:trPr>
          <w:trHeight w:val="223"/>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240" w:type="dxa"/>
            <w:vAlign w:val="bottom"/>
          </w:tcPr>
          <w:p>
            <w:pPr>
              <w:spacing w:after="0"/>
              <w:rPr>
                <w:sz w:val="19"/>
                <w:szCs w:val="19"/>
                <w:color w:val="auto"/>
              </w:rPr>
            </w:pP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Dates as PEO During Fiscal Years 2024 through 2025</w:t>
            </w:r>
          </w:p>
        </w:tc>
      </w:tr>
      <w:tr>
        <w:trPr>
          <w:trHeight w:val="236"/>
        </w:trPr>
        <w:tc>
          <w:tcPr>
            <w:tcW w:w="2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Hans T. Schambye, M.D., Ph.D.</w:t>
            </w:r>
          </w:p>
        </w:tc>
        <w:tc>
          <w:tcPr>
            <w:tcW w:w="2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January 1, 2024 through December 31, 2025</w:t>
            </w:r>
          </w:p>
        </w:tc>
      </w:tr>
    </w:tbl>
    <w:p>
      <w:pPr>
        <w:spacing w:after="0" w:line="73" w:lineRule="exact"/>
        <w:rPr>
          <w:sz w:val="20"/>
          <w:szCs w:val="20"/>
          <w:color w:val="auto"/>
        </w:rPr>
      </w:pPr>
    </w:p>
    <w:p>
      <w:pPr>
        <w:ind w:left="480" w:right="720"/>
        <w:spacing w:after="0" w:line="257" w:lineRule="auto"/>
        <w:rPr>
          <w:sz w:val="20"/>
          <w:szCs w:val="20"/>
          <w:color w:val="auto"/>
        </w:rPr>
      </w:pPr>
      <w:r>
        <w:rPr>
          <w:rFonts w:ascii="Times New Roman" w:cs="Times New Roman" w:eastAsia="Times New Roman" w:hAnsi="Times New Roman"/>
          <w:sz w:val="20"/>
          <w:szCs w:val="20"/>
          <w:i w:val="1"/>
          <w:iCs w:val="1"/>
          <w:color w:val="auto"/>
        </w:rPr>
        <w:t>The dollar amounts reported in these columns represent the amount of total compensation, as disclosed in the Summary Compensation Table for the applicable year, for our named executive officers. Please refer to “Executive Compensation—Summary Compensation Table” above.</w:t>
      </w:r>
    </w:p>
    <w:p>
      <w:pPr>
        <w:sectPr>
          <w:pgSz w:w="12960" w:h="17280" w:orient="portrait"/>
          <w:cols w:equalWidth="0" w:num="1">
            <w:col w:w="10800"/>
          </w:cols>
          <w:pgMar w:left="1080" w:top="1440" w:right="1080" w:bottom="751"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960" w:h="17280" w:orient="portrait"/>
          <w:cols w:equalWidth="0" w:num="1">
            <w:col w:w="10800"/>
          </w:cols>
          <w:pgMar w:left="1080" w:top="1440" w:right="1080" w:bottom="751" w:gutter="0" w:footer="0" w:header="0"/>
          <w:type w:val="continuous"/>
        </w:sectPr>
      </w:pPr>
    </w:p>
    <w:bookmarkStart w:id="151" w:name="page152"/>
    <w:bookmarkEnd w:id="151"/>
    <w:p>
      <w:pPr>
        <w:spacing w:after="0" w:line="213" w:lineRule="exact"/>
        <w:rPr>
          <w:sz w:val="20"/>
          <w:szCs w:val="20"/>
          <w:color w:val="auto"/>
        </w:rPr>
      </w:pPr>
    </w:p>
    <w:p>
      <w:pPr>
        <w:ind w:left="480" w:right="80" w:hanging="480"/>
        <w:spacing w:after="0" w:line="243" w:lineRule="auto"/>
        <w:tabs>
          <w:tab w:leader="none" w:pos="480" w:val="left"/>
        </w:tabs>
        <w:numPr>
          <w:ilvl w:val="0"/>
          <w:numId w:val="6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dollar amounts reported in these columns represent the amount of “compensation actually paid” to our principal executive officer (“PEO”) and the average “compensation actually paid” to our non-PEO named executive officers, as computed in accordance with Item 402(v) of Regulation S-K, for each covered fiscal year. In accordance with these rules, these amounts reflect total compensation as set forth in the Summary Compensation Table for each year, adjusted as shown below. Equity values are calculated in accordance with FASB ASC Topic 718, and the valuation assumptions used to calculate fair values did not materially differ from those disclosed at the time of grant. The dollar amounts do not reflect the actual amount of compensation earned or received by or paid to the PEOs or non-PEO named executive officers during the applicable fiscal year.</w:t>
      </w:r>
    </w:p>
    <w:p>
      <w:pPr>
        <w:spacing w:after="0" w:line="3" w:lineRule="exact"/>
        <w:rPr>
          <w:rFonts w:ascii="Times New Roman" w:cs="Times New Roman" w:eastAsia="Times New Roman" w:hAnsi="Times New Roman"/>
          <w:sz w:val="20"/>
          <w:szCs w:val="20"/>
          <w:i w:val="1"/>
          <w:iCs w:val="1"/>
          <w:color w:val="auto"/>
        </w:rPr>
      </w:pPr>
    </w:p>
    <w:p>
      <w:pPr>
        <w:ind w:left="480" w:right="20" w:hanging="480"/>
        <w:spacing w:after="0"/>
        <w:tabs>
          <w:tab w:leader="none" w:pos="480" w:val="left"/>
        </w:tabs>
        <w:numPr>
          <w:ilvl w:val="0"/>
          <w:numId w:val="6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dollar amounts reported in this column represent the average of the total compensation, as disclosed in the Summary Compensation Table for the applicable year, for our named executive officers as a group (excluding our PEOs), which includes:</w:t>
      </w:r>
    </w:p>
    <w:p>
      <w:pPr>
        <w:ind w:left="480"/>
        <w:spacing w:after="0"/>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 for 2025, Ms. Firmani and Mr. Winslow and (ii) for 2024, Ms. Firmani, Mr. Freve, and Mr. Winslow.</w:t>
      </w:r>
    </w:p>
    <w:p>
      <w:pPr>
        <w:ind w:left="480" w:right="240" w:hanging="480"/>
        <w:spacing w:after="0"/>
        <w:tabs>
          <w:tab w:leader="none" w:pos="480" w:val="left"/>
        </w:tabs>
        <w:numPr>
          <w:ilvl w:val="0"/>
          <w:numId w:val="6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Cumulative total stockholder return (“TSR”) is calculated by dividing the difference between our stock price at the end of the applicable measurement period and the beginning of the measurement period by our stock price at the beginning of the measurement period. The beginning of the measurement period for each year in the table is December 31, 2023.</w:t>
      </w:r>
    </w:p>
    <w:p>
      <w:pPr>
        <w:ind w:left="480" w:right="860" w:hanging="480"/>
        <w:spacing w:after="0" w:line="248" w:lineRule="auto"/>
        <w:tabs>
          <w:tab w:leader="none" w:pos="480" w:val="left"/>
        </w:tabs>
        <w:numPr>
          <w:ilvl w:val="0"/>
          <w:numId w:val="6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dollar amounts reported represent the amount of net income (loss) reflected in our audited consolidated financial statements included in our Annual Report on Form 10-K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Dr. Schambye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Average Non-PEO NEOs</w:t>
            </w:r>
          </w:p>
        </w:tc>
      </w:tr>
      <w:tr>
        <w:trPr>
          <w:trHeight w:val="203"/>
        </w:trPr>
        <w:tc>
          <w:tcPr>
            <w:tcW w:w="5620" w:type="dxa"/>
            <w:vAlign w:val="bottom"/>
            <w:tcBorders>
              <w:bottom w:val="single" w:sz="8" w:color="D5EEEE"/>
            </w:tcBorders>
          </w:tcPr>
          <w:p>
            <w:pPr>
              <w:spacing w:after="0"/>
              <w:rPr>
                <w:sz w:val="17"/>
                <w:szCs w:val="17"/>
                <w:color w:val="auto"/>
              </w:rPr>
            </w:pPr>
          </w:p>
        </w:tc>
        <w:tc>
          <w:tcPr>
            <w:tcW w:w="140" w:type="dxa"/>
            <w:vAlign w:val="bottom"/>
            <w:tcBorders>
              <w:bottom w:val="single" w:sz="8" w:color="D5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2024 ($)</w:t>
            </w:r>
          </w:p>
        </w:tc>
        <w:tc>
          <w:tcPr>
            <w:tcW w:w="280" w:type="dxa"/>
            <w:vAlign w:val="bottom"/>
            <w:tcBorders>
              <w:bottom w:val="single" w:sz="8" w:color="D5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2025 ($)</w:t>
            </w:r>
          </w:p>
        </w:tc>
        <w:tc>
          <w:tcPr>
            <w:tcW w:w="16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2024 ($)</w:t>
            </w:r>
          </w:p>
        </w:tc>
        <w:tc>
          <w:tcPr>
            <w:tcW w:w="220" w:type="dxa"/>
            <w:vAlign w:val="bottom"/>
            <w:tcBorders>
              <w:bottom w:val="single" w:sz="8" w:color="D5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2025 ($)</w:t>
            </w:r>
          </w:p>
        </w:tc>
        <w:tc>
          <w:tcPr>
            <w:tcW w:w="80" w:type="dxa"/>
            <w:vAlign w:val="bottom"/>
            <w:tcBorders>
              <w:bottom w:val="single" w:sz="8" w:color="D5EEEE"/>
            </w:tcBorders>
          </w:tcPr>
          <w:p>
            <w:pPr>
              <w:spacing w:after="0"/>
              <w:rPr>
                <w:sz w:val="17"/>
                <w:szCs w:val="17"/>
                <w:color w:val="auto"/>
              </w:rPr>
            </w:pPr>
          </w:p>
        </w:tc>
      </w:tr>
      <w:tr>
        <w:trPr>
          <w:trHeight w:val="239"/>
        </w:trPr>
        <w:tc>
          <w:tcPr>
            <w:tcW w:w="56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Summary Compensation Table Total</w:t>
            </w:r>
          </w:p>
        </w:tc>
        <w:tc>
          <w:tcPr>
            <w:tcW w:w="140" w:type="dxa"/>
            <w:vAlign w:val="bottom"/>
            <w:shd w:val="clear" w:color="auto" w:fill="D5EEEE"/>
          </w:tcPr>
          <w:p>
            <w:pPr>
              <w:spacing w:after="0"/>
              <w:rPr>
                <w:sz w:val="20"/>
                <w:szCs w:val="20"/>
                <w:color w:val="auto"/>
              </w:rPr>
            </w:pP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1,429,550</w:t>
            </w:r>
          </w:p>
        </w:tc>
        <w:tc>
          <w:tcPr>
            <w:tcW w:w="280" w:type="dxa"/>
            <w:vAlign w:val="bottom"/>
            <w:shd w:val="clear" w:color="auto" w:fill="D5EEEE"/>
          </w:tcPr>
          <w:p>
            <w:pPr>
              <w:spacing w:after="0"/>
              <w:rPr>
                <w:sz w:val="20"/>
                <w:szCs w:val="20"/>
                <w:color w:val="auto"/>
              </w:rPr>
            </w:pP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1,299,792</w:t>
            </w:r>
          </w:p>
        </w:tc>
        <w:tc>
          <w:tcPr>
            <w:tcW w:w="16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759,671</w:t>
            </w:r>
          </w:p>
        </w:tc>
        <w:tc>
          <w:tcPr>
            <w:tcW w:w="220" w:type="dxa"/>
            <w:vAlign w:val="bottom"/>
            <w:shd w:val="clear" w:color="auto" w:fill="D5EEEE"/>
          </w:tcPr>
          <w:p>
            <w:pPr>
              <w:spacing w:after="0"/>
              <w:rPr>
                <w:sz w:val="20"/>
                <w:szCs w:val="20"/>
                <w:color w:val="auto"/>
              </w:rPr>
            </w:pP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708,983</w:t>
            </w:r>
          </w:p>
        </w:tc>
        <w:tc>
          <w:tcPr>
            <w:tcW w:w="80" w:type="dxa"/>
            <w:vAlign w:val="bottom"/>
            <w:shd w:val="clear" w:color="auto" w:fill="D5EEEE"/>
          </w:tcPr>
          <w:p>
            <w:pPr>
              <w:spacing w:after="0"/>
              <w:rPr>
                <w:sz w:val="20"/>
                <w:szCs w:val="20"/>
                <w:color w:val="auto"/>
              </w:rPr>
            </w:pPr>
          </w:p>
        </w:tc>
      </w:tr>
      <w:tr>
        <w:trPr>
          <w:trHeight w:val="224"/>
        </w:trPr>
        <w:tc>
          <w:tcPr>
            <w:tcW w:w="562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Subtract, value of “Option Awards” reported in Summary</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5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Compensation Table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(258,879)</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(73,677)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(83,945)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(24,709)</w:t>
            </w:r>
          </w:p>
        </w:tc>
      </w:tr>
      <w:tr>
        <w:trPr>
          <w:trHeight w:val="224"/>
        </w:trPr>
        <w:tc>
          <w:tcPr>
            <w:tcW w:w="5620" w:type="dxa"/>
            <w:vAlign w:val="bottom"/>
            <w:shd w:val="clear" w:color="auto" w:fill="D5EEEE"/>
          </w:tcPr>
          <w:p>
            <w:pPr>
              <w:ind w:left="200"/>
              <w:spacing w:after="0" w:line="225" w:lineRule="exact"/>
              <w:rPr>
                <w:sz w:val="20"/>
                <w:szCs w:val="20"/>
                <w:color w:val="auto"/>
              </w:rPr>
            </w:pPr>
            <w:r>
              <w:rPr>
                <w:rFonts w:ascii="Times New Roman" w:cs="Times New Roman" w:eastAsia="Times New Roman" w:hAnsi="Times New Roman"/>
                <w:sz w:val="20"/>
                <w:szCs w:val="20"/>
                <w:color w:val="auto"/>
              </w:rPr>
              <w:t>Add, year-end fair value of outstanding and unvested equity</w:t>
            </w:r>
          </w:p>
        </w:tc>
        <w:tc>
          <w:tcPr>
            <w:tcW w:w="14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88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88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88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90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50"/>
        </w:trPr>
        <w:tc>
          <w:tcPr>
            <w:tcW w:w="562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awards granted in the year</w:t>
            </w:r>
          </w:p>
        </w:tc>
        <w:tc>
          <w:tcPr>
            <w:tcW w:w="3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213,730</w:t>
            </w:r>
          </w:p>
        </w:tc>
        <w:tc>
          <w:tcPr>
            <w:tcW w:w="280" w:type="dxa"/>
            <w:vAlign w:val="bottom"/>
            <w:shd w:val="clear" w:color="auto" w:fill="D5EEEE"/>
          </w:tcPr>
          <w:p>
            <w:pPr>
              <w:spacing w:after="0"/>
              <w:rPr>
                <w:sz w:val="21"/>
                <w:szCs w:val="21"/>
                <w:color w:val="auto"/>
              </w:rPr>
            </w:pP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308,510</w:t>
            </w:r>
          </w:p>
        </w:tc>
        <w:tc>
          <w:tcPr>
            <w:tcW w:w="160" w:type="dxa"/>
            <w:vAlign w:val="bottom"/>
            <w:shd w:val="clear" w:color="auto" w:fill="D5EEEE"/>
          </w:tcPr>
          <w:p>
            <w:pPr>
              <w:spacing w:after="0"/>
              <w:rPr>
                <w:sz w:val="21"/>
                <w:szCs w:val="21"/>
                <w:color w:val="auto"/>
              </w:rPr>
            </w:pPr>
          </w:p>
        </w:tc>
        <w:tc>
          <w:tcPr>
            <w:tcW w:w="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71,657</w:t>
            </w:r>
          </w:p>
        </w:tc>
        <w:tc>
          <w:tcPr>
            <w:tcW w:w="220" w:type="dxa"/>
            <w:vAlign w:val="bottom"/>
            <w:shd w:val="clear" w:color="auto" w:fill="D5EEEE"/>
          </w:tcPr>
          <w:p>
            <w:pPr>
              <w:spacing w:after="0"/>
              <w:rPr>
                <w:sz w:val="21"/>
                <w:szCs w:val="21"/>
                <w:color w:val="auto"/>
              </w:rPr>
            </w:pP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103,464</w:t>
            </w:r>
          </w:p>
        </w:tc>
        <w:tc>
          <w:tcPr>
            <w:tcW w:w="80" w:type="dxa"/>
            <w:vAlign w:val="bottom"/>
            <w:shd w:val="clear" w:color="auto" w:fill="D5EEEE"/>
          </w:tcPr>
          <w:p>
            <w:pPr>
              <w:spacing w:after="0"/>
              <w:rPr>
                <w:sz w:val="21"/>
                <w:szCs w:val="21"/>
                <w:color w:val="auto"/>
              </w:rPr>
            </w:pPr>
          </w:p>
        </w:tc>
      </w:tr>
      <w:tr>
        <w:trPr>
          <w:trHeight w:val="224"/>
        </w:trPr>
        <w:tc>
          <w:tcPr>
            <w:tcW w:w="562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Add year-over-year change in fair value of outstanding and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5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unvested equity awards granted in prior years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(120,162)</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575,632</w:t>
            </w:r>
          </w:p>
        </w:tc>
        <w:tc>
          <w:tcPr>
            <w:tcW w:w="1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(27,705)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183,866</w:t>
            </w:r>
          </w:p>
        </w:tc>
        <w:tc>
          <w:tcPr>
            <w:tcW w:w="80" w:type="dxa"/>
            <w:vAlign w:val="bottom"/>
          </w:tcPr>
          <w:p>
            <w:pPr>
              <w:spacing w:after="0"/>
              <w:rPr>
                <w:sz w:val="21"/>
                <w:szCs w:val="21"/>
                <w:color w:val="auto"/>
              </w:rPr>
            </w:pPr>
          </w:p>
        </w:tc>
      </w:tr>
      <w:tr>
        <w:trPr>
          <w:trHeight w:val="224"/>
        </w:trPr>
        <w:tc>
          <w:tcPr>
            <w:tcW w:w="5620" w:type="dxa"/>
            <w:vAlign w:val="bottom"/>
            <w:shd w:val="clear" w:color="auto" w:fill="D5EEEE"/>
          </w:tcPr>
          <w:p>
            <w:pPr>
              <w:ind w:left="200"/>
              <w:spacing w:after="0" w:line="225" w:lineRule="exact"/>
              <w:rPr>
                <w:sz w:val="20"/>
                <w:szCs w:val="20"/>
                <w:color w:val="auto"/>
              </w:rPr>
            </w:pPr>
            <w:r>
              <w:rPr>
                <w:rFonts w:ascii="Times New Roman" w:cs="Times New Roman" w:eastAsia="Times New Roman" w:hAnsi="Times New Roman"/>
                <w:sz w:val="20"/>
                <w:szCs w:val="20"/>
                <w:color w:val="auto"/>
              </w:rPr>
              <w:t>Add, fair value as of vesting date of equity awards granted and</w:t>
            </w:r>
          </w:p>
        </w:tc>
        <w:tc>
          <w:tcPr>
            <w:tcW w:w="14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880" w:type="dxa"/>
            <w:vAlign w:val="bottom"/>
            <w:shd w:val="clear" w:color="auto" w:fill="D5EEEE"/>
          </w:tcPr>
          <w:p>
            <w:pPr>
              <w:spacing w:after="0"/>
              <w:rPr>
                <w:sz w:val="19"/>
                <w:szCs w:val="19"/>
                <w:color w:val="auto"/>
              </w:rPr>
            </w:pPr>
          </w:p>
        </w:tc>
        <w:tc>
          <w:tcPr>
            <w:tcW w:w="28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88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880" w:type="dxa"/>
            <w:vAlign w:val="bottom"/>
            <w:shd w:val="clear" w:color="auto" w:fill="D5EEEE"/>
          </w:tcPr>
          <w:p>
            <w:pPr>
              <w:spacing w:after="0"/>
              <w:rPr>
                <w:sz w:val="19"/>
                <w:szCs w:val="19"/>
                <w:color w:val="auto"/>
              </w:rPr>
            </w:pPr>
          </w:p>
        </w:tc>
        <w:tc>
          <w:tcPr>
            <w:tcW w:w="22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90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50"/>
        </w:trPr>
        <w:tc>
          <w:tcPr>
            <w:tcW w:w="562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vested in the year</w:t>
            </w:r>
          </w:p>
        </w:tc>
        <w:tc>
          <w:tcPr>
            <w:tcW w:w="3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10,829</w:t>
            </w:r>
          </w:p>
        </w:tc>
        <w:tc>
          <w:tcPr>
            <w:tcW w:w="28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5EEEE"/>
          </w:tcPr>
          <w:p>
            <w:pPr>
              <w:spacing w:after="0"/>
              <w:rPr>
                <w:sz w:val="21"/>
                <w:szCs w:val="21"/>
                <w:color w:val="auto"/>
              </w:rPr>
            </w:pPr>
          </w:p>
        </w:tc>
        <w:tc>
          <w:tcPr>
            <w:tcW w:w="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3,511</w:t>
            </w:r>
          </w:p>
        </w:tc>
        <w:tc>
          <w:tcPr>
            <w:tcW w:w="22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5EEEE"/>
          </w:tcPr>
          <w:p>
            <w:pPr>
              <w:spacing w:after="0"/>
              <w:rPr>
                <w:sz w:val="21"/>
                <w:szCs w:val="21"/>
                <w:color w:val="auto"/>
              </w:rPr>
            </w:pPr>
          </w:p>
        </w:tc>
      </w:tr>
      <w:tr>
        <w:trPr>
          <w:trHeight w:val="224"/>
        </w:trPr>
        <w:tc>
          <w:tcPr>
            <w:tcW w:w="562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Add, change in fair value from last day of prior fiscal year to</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vesting date for equity awards granted in prior years that vested in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5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the year</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(46,236)</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17,659</w:t>
            </w:r>
          </w:p>
        </w:tc>
        <w:tc>
          <w:tcPr>
            <w:tcW w:w="1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(8,883)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5,132</w:t>
            </w:r>
          </w:p>
        </w:tc>
        <w:tc>
          <w:tcPr>
            <w:tcW w:w="80" w:type="dxa"/>
            <w:vAlign w:val="bottom"/>
          </w:tcPr>
          <w:p>
            <w:pPr>
              <w:spacing w:after="0"/>
              <w:rPr>
                <w:sz w:val="21"/>
                <w:szCs w:val="21"/>
                <w:color w:val="auto"/>
              </w:rPr>
            </w:pPr>
          </w:p>
        </w:tc>
      </w:tr>
      <w:tr>
        <w:trPr>
          <w:trHeight w:val="239"/>
        </w:trPr>
        <w:tc>
          <w:tcPr>
            <w:tcW w:w="562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Compensation actually paid</w:t>
            </w:r>
          </w:p>
        </w:tc>
        <w:tc>
          <w:tcPr>
            <w:tcW w:w="140" w:type="dxa"/>
            <w:vAlign w:val="bottom"/>
            <w:tcBorders>
              <w:top w:val="single" w:sz="8" w:color="D5EEEE"/>
            </w:tcBorders>
            <w:shd w:val="clear" w:color="auto" w:fill="D5EEEE"/>
          </w:tcPr>
          <w:p>
            <w:pPr>
              <w:spacing w:after="0"/>
              <w:rPr>
                <w:sz w:val="20"/>
                <w:szCs w:val="20"/>
                <w:color w:val="auto"/>
              </w:rPr>
            </w:pPr>
          </w:p>
        </w:tc>
        <w:tc>
          <w:tcPr>
            <w:tcW w:w="1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8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1,228,832</w:t>
            </w:r>
          </w:p>
        </w:tc>
        <w:tc>
          <w:tcPr>
            <w:tcW w:w="280" w:type="dxa"/>
            <w:vAlign w:val="bottom"/>
            <w:tcBorders>
              <w:top w:val="single" w:sz="8" w:color="D5EEEE"/>
            </w:tcBorders>
            <w:shd w:val="clear" w:color="auto" w:fill="D5EEEE"/>
          </w:tcPr>
          <w:p>
            <w:pPr>
              <w:spacing w:after="0"/>
              <w:rPr>
                <w:sz w:val="20"/>
                <w:szCs w:val="20"/>
                <w:color w:val="auto"/>
              </w:rPr>
            </w:pPr>
          </w:p>
        </w:tc>
        <w:tc>
          <w:tcPr>
            <w:tcW w:w="1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8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2,127,916</w:t>
            </w:r>
          </w:p>
        </w:tc>
        <w:tc>
          <w:tcPr>
            <w:tcW w:w="16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D5EEEE"/>
            </w:tcBorders>
            <w:shd w:val="clear" w:color="auto" w:fill="D5EEEE"/>
          </w:tcPr>
          <w:p>
            <w:pPr>
              <w:spacing w:after="0"/>
              <w:rPr>
                <w:sz w:val="20"/>
                <w:szCs w:val="20"/>
                <w:color w:val="auto"/>
              </w:rPr>
            </w:pPr>
          </w:p>
        </w:tc>
        <w:tc>
          <w:tcPr>
            <w:tcW w:w="1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8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714,306</w:t>
            </w:r>
          </w:p>
        </w:tc>
        <w:tc>
          <w:tcPr>
            <w:tcW w:w="220" w:type="dxa"/>
            <w:vAlign w:val="bottom"/>
            <w:tcBorders>
              <w:top w:val="single" w:sz="8" w:color="D5EEEE"/>
            </w:tcBorders>
            <w:shd w:val="clear" w:color="auto" w:fill="D5EEEE"/>
          </w:tcPr>
          <w:p>
            <w:pPr>
              <w:spacing w:after="0"/>
              <w:rPr>
                <w:sz w:val="20"/>
                <w:szCs w:val="20"/>
                <w:color w:val="auto"/>
              </w:rPr>
            </w:pPr>
          </w:p>
        </w:tc>
        <w:tc>
          <w:tcPr>
            <w:tcW w:w="1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9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976,736</w:t>
            </w:r>
          </w:p>
        </w:tc>
        <w:tc>
          <w:tcPr>
            <w:tcW w:w="80" w:type="dxa"/>
            <w:vAlign w:val="bottom"/>
            <w:tcBorders>
              <w:top w:val="single" w:sz="8" w:color="D5EEEE"/>
            </w:tcBorders>
            <w:shd w:val="clear" w:color="auto" w:fill="D5EEEE"/>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Analysis of Information Presented in the Pay Versus Performance Table</w:t>
      </w:r>
    </w:p>
    <w:p>
      <w:pPr>
        <w:spacing w:after="0" w:line="12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In accordance with Item 402(v) of Regulation S-K, we are providing the following descriptions of the relationships between information presented in the Pay Versus Performance table above. The following graphs display the compensation actually paid (“CAP”) to our named executive officers compared to our TSR and our net income (loss) for the years ended December 31, 2024 and 2025. While our TSR shows a strong correlation to CAP due to the significance of equity compensation as a component of our executive compensation program, there is no correlation between our net income (loss) and CAP. We do not consider net income (loss) as a performance measure for our executive compensation program and instead we evaluate operational metrics of the Company.</w:t>
      </w: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960" w:h="17280" w:orient="portrait"/>
          <w:cols w:equalWidth="0" w:num="1">
            <w:col w:w="10800"/>
          </w:cols>
          <w:pgMar w:left="1080" w:top="1440" w:right="1080" w:bottom="751" w:gutter="0" w:footer="0" w:header="0"/>
          <w:type w:val="continuous"/>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1003935</wp:posOffset>
            </wp:positionH>
            <wp:positionV relativeFrom="page">
              <wp:posOffset>1060450</wp:posOffset>
            </wp:positionV>
            <wp:extent cx="6219825" cy="8552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1">
                      <a:extLst>
                        <a:ext uri="{28A0092B-C50C-407E-A947-70E740481C1C}"/>
                      </a:extLst>
                    </a:blip>
                    <a:srcRect/>
                    <a:stretch>
                      <a:fillRect/>
                    </a:stretch>
                  </pic:blipFill>
                  <pic:spPr bwMode="auto">
                    <a:xfrm>
                      <a:off x="0" y="0"/>
                      <a:ext cx="6219825" cy="855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960" w:h="17280" w:orient="portrait"/>
          <w:cols w:equalWidth="0" w:num="1">
            <w:col w:w="10080"/>
          </w:cols>
          <w:pgMar w:left="1440" w:top="1440" w:right="1440" w:bottom="751" w:gutter="0" w:footer="0" w:header="0"/>
        </w:sectPr>
      </w:pPr>
    </w:p>
    <w:bookmarkStart w:id="153" w:name="page154"/>
    <w:bookmarkEnd w:id="153"/>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0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 following table presents the total compensation for each person who served as a non-employee member of our Board of Directors during the year ended December 31, 2025. Other than as set forth in the table and described more fully below, we did not pay any compensation, make any equity awards or non-equity awards to, or pay any other compensation to any of the non-employee members of our Board of Directors in 2025 for their services as members of the Board of Directors.</w:t>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Fees Earned or</w:t>
            </w:r>
          </w:p>
        </w:tc>
        <w:tc>
          <w:tcPr>
            <w:tcW w:w="2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Paid in Cash</w:t>
            </w:r>
          </w:p>
        </w:tc>
        <w:tc>
          <w:tcPr>
            <w:tcW w:w="2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280" w:type="dxa"/>
            <w:vAlign w:val="bottom"/>
          </w:tcPr>
          <w:p>
            <w:pPr>
              <w:spacing w:after="0"/>
              <w:rPr>
                <w:sz w:val="16"/>
                <w:szCs w:val="16"/>
                <w:color w:val="auto"/>
              </w:rPr>
            </w:pPr>
          </w:p>
        </w:tc>
        <w:tc>
          <w:tcPr>
            <w:tcW w:w="1540" w:type="dxa"/>
            <w:vAlign w:val="bottom"/>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6"/>
                <w:szCs w:val="16"/>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740" w:type="dxa"/>
            <w:vAlign w:val="bottom"/>
            <w:gridSpan w:val="2"/>
          </w:tcPr>
          <w:p>
            <w:pPr>
              <w:jc w:val="center"/>
              <w:ind w:left="63"/>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820" w:type="dxa"/>
            <w:vAlign w:val="bottom"/>
            <w:gridSpan w:val="2"/>
          </w:tcPr>
          <w:p>
            <w:pPr>
              <w:jc w:val="center"/>
              <w:ind w:left="183"/>
              <w:spacing w:after="0" w:line="204"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0"/>
                <w:szCs w:val="20"/>
                <w:b w:val="1"/>
                <w:bCs w:val="1"/>
                <w:color w:val="auto"/>
                <w:w w:val="87"/>
                <w:vertAlign w:val="superscript"/>
              </w:rPr>
              <w:t>(1)</w:t>
            </w:r>
          </w:p>
        </w:tc>
        <w:tc>
          <w:tcPr>
            <w:tcW w:w="1820" w:type="dxa"/>
            <w:vAlign w:val="bottom"/>
            <w:gridSpan w:val="2"/>
          </w:tcPr>
          <w:p>
            <w:pPr>
              <w:jc w:val="right"/>
              <w:ind w:right="587"/>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r>
      <w:tr>
        <w:trPr>
          <w:trHeight w:val="239"/>
        </w:trPr>
        <w:tc>
          <w:tcPr>
            <w:tcW w:w="406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Carl Goldfischer, M.D.</w:t>
            </w:r>
          </w:p>
        </w:tc>
        <w:tc>
          <w:tcPr>
            <w:tcW w:w="180" w:type="dxa"/>
            <w:vAlign w:val="bottom"/>
            <w:tcBorders>
              <w:top w:val="single" w:sz="8" w:color="D5EEEE"/>
            </w:tcBorders>
            <w:shd w:val="clear" w:color="auto" w:fill="D5EEEE"/>
          </w:tcPr>
          <w:p>
            <w:pPr>
              <w:spacing w:after="0"/>
              <w:rPr>
                <w:sz w:val="20"/>
                <w:szCs w:val="20"/>
                <w:color w:val="auto"/>
              </w:rPr>
            </w:pPr>
          </w:p>
        </w:tc>
        <w:tc>
          <w:tcPr>
            <w:tcW w:w="15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121,332</w:t>
            </w:r>
          </w:p>
        </w:tc>
        <w:tc>
          <w:tcPr>
            <w:tcW w:w="280" w:type="dxa"/>
            <w:vAlign w:val="bottom"/>
            <w:tcBorders>
              <w:top w:val="single" w:sz="8" w:color="D5EEEE"/>
            </w:tcBorders>
            <w:shd w:val="clear" w:color="auto" w:fill="D5EEEE"/>
          </w:tcPr>
          <w:p>
            <w:pPr>
              <w:spacing w:after="0"/>
              <w:rPr>
                <w:sz w:val="20"/>
                <w:szCs w:val="20"/>
                <w:color w:val="auto"/>
              </w:rPr>
            </w:pPr>
          </w:p>
        </w:tc>
        <w:tc>
          <w:tcPr>
            <w:tcW w:w="15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3,590</w:t>
            </w:r>
          </w:p>
        </w:tc>
        <w:tc>
          <w:tcPr>
            <w:tcW w:w="280" w:type="dxa"/>
            <w:vAlign w:val="bottom"/>
            <w:tcBorders>
              <w:top w:val="single" w:sz="8" w:color="D5EEEE"/>
            </w:tcBorders>
            <w:shd w:val="clear" w:color="auto" w:fill="D5EEEE"/>
          </w:tcPr>
          <w:p>
            <w:pPr>
              <w:spacing w:after="0"/>
              <w:rPr>
                <w:sz w:val="20"/>
                <w:szCs w:val="20"/>
                <w:color w:val="auto"/>
              </w:rPr>
            </w:pPr>
          </w:p>
        </w:tc>
        <w:tc>
          <w:tcPr>
            <w:tcW w:w="15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124,922</w:t>
            </w:r>
          </w:p>
        </w:tc>
        <w:tc>
          <w:tcPr>
            <w:tcW w:w="80" w:type="dxa"/>
            <w:vAlign w:val="bottom"/>
            <w:tcBorders>
              <w:top w:val="single" w:sz="8" w:color="D5EEEE"/>
            </w:tcBorders>
            <w:shd w:val="clear" w:color="auto" w:fill="D5EEEE"/>
          </w:tcPr>
          <w:p>
            <w:pPr>
              <w:spacing w:after="0"/>
              <w:rPr>
                <w:sz w:val="20"/>
                <w:szCs w:val="20"/>
                <w:color w:val="auto"/>
              </w:rPr>
            </w:pPr>
          </w:p>
        </w:tc>
      </w:tr>
      <w:tr>
        <w:trPr>
          <w:trHeight w:val="244"/>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Julianne Bruno</w:t>
            </w:r>
            <w:r>
              <w:rPr>
                <w:rFonts w:ascii="Times New Roman" w:cs="Times New Roman" w:eastAsia="Times New Roman" w:hAnsi="Times New Roman"/>
                <w:sz w:val="26"/>
                <w:szCs w:val="26"/>
                <w:color w:val="auto"/>
                <w:vertAlign w:val="superscript"/>
              </w:rPr>
              <w:t>(2)</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8,594</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8,594</w:t>
            </w:r>
          </w:p>
        </w:tc>
        <w:tc>
          <w:tcPr>
            <w:tcW w:w="80" w:type="dxa"/>
            <w:vAlign w:val="bottom"/>
          </w:tcPr>
          <w:p>
            <w:pPr>
              <w:spacing w:after="0"/>
              <w:rPr>
                <w:sz w:val="21"/>
                <w:szCs w:val="21"/>
                <w:color w:val="auto"/>
              </w:rPr>
            </w:pPr>
          </w:p>
        </w:tc>
      </w:tr>
      <w:tr>
        <w:trPr>
          <w:trHeight w:val="244"/>
        </w:trPr>
        <w:tc>
          <w:tcPr>
            <w:tcW w:w="406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Christopher Cain, Ph.D.</w:t>
            </w:r>
            <w:r>
              <w:rPr>
                <w:rFonts w:ascii="Times New Roman" w:cs="Times New Roman" w:eastAsia="Times New Roman" w:hAnsi="Times New Roman"/>
                <w:sz w:val="26"/>
                <w:szCs w:val="26"/>
                <w:color w:val="auto"/>
                <w:vertAlign w:val="superscript"/>
              </w:rPr>
              <w:t>(2)(3)</w:t>
            </w:r>
          </w:p>
        </w:tc>
        <w:tc>
          <w:tcPr>
            <w:tcW w:w="17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7,099</w:t>
            </w:r>
          </w:p>
        </w:tc>
        <w:tc>
          <w:tcPr>
            <w:tcW w:w="280" w:type="dxa"/>
            <w:vAlign w:val="bottom"/>
            <w:shd w:val="clear" w:color="auto" w:fill="D5EEEE"/>
          </w:tcPr>
          <w:p>
            <w:pPr>
              <w:spacing w:after="0"/>
              <w:rPr>
                <w:sz w:val="21"/>
                <w:szCs w:val="21"/>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7,099</w:t>
            </w:r>
          </w:p>
        </w:tc>
        <w:tc>
          <w:tcPr>
            <w:tcW w:w="80" w:type="dxa"/>
            <w:vAlign w:val="bottom"/>
            <w:shd w:val="clear" w:color="auto" w:fill="D5EEEE"/>
          </w:tcPr>
          <w:p>
            <w:pPr>
              <w:spacing w:after="0"/>
              <w:rPr>
                <w:sz w:val="21"/>
                <w:szCs w:val="21"/>
                <w:color w:val="auto"/>
              </w:rPr>
            </w:pPr>
          </w:p>
        </w:tc>
      </w:tr>
      <w:tr>
        <w:trPr>
          <w:trHeight w:val="244"/>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Jayson Dallas, M.D.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1,795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61,795</w:t>
            </w:r>
          </w:p>
        </w:tc>
        <w:tc>
          <w:tcPr>
            <w:tcW w:w="80" w:type="dxa"/>
            <w:vAlign w:val="bottom"/>
          </w:tcPr>
          <w:p>
            <w:pPr>
              <w:spacing w:after="0"/>
              <w:rPr>
                <w:sz w:val="21"/>
                <w:szCs w:val="21"/>
                <w:color w:val="auto"/>
              </w:rPr>
            </w:pPr>
          </w:p>
        </w:tc>
      </w:tr>
      <w:tr>
        <w:trPr>
          <w:trHeight w:val="244"/>
        </w:trPr>
        <w:tc>
          <w:tcPr>
            <w:tcW w:w="406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Peter Harwin</w:t>
            </w:r>
            <w:r>
              <w:rPr>
                <w:rFonts w:ascii="Times New Roman" w:cs="Times New Roman" w:eastAsia="Times New Roman" w:hAnsi="Times New Roman"/>
                <w:sz w:val="26"/>
                <w:szCs w:val="26"/>
                <w:color w:val="auto"/>
                <w:vertAlign w:val="superscript"/>
              </w:rPr>
              <w:t>(2)(3)</w:t>
            </w:r>
          </w:p>
        </w:tc>
        <w:tc>
          <w:tcPr>
            <w:tcW w:w="17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6,726</w:t>
            </w:r>
          </w:p>
        </w:tc>
        <w:tc>
          <w:tcPr>
            <w:tcW w:w="280" w:type="dxa"/>
            <w:vAlign w:val="bottom"/>
            <w:shd w:val="clear" w:color="auto" w:fill="D5EEEE"/>
          </w:tcPr>
          <w:p>
            <w:pPr>
              <w:spacing w:after="0"/>
              <w:rPr>
                <w:sz w:val="21"/>
                <w:szCs w:val="21"/>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6,726</w:t>
            </w:r>
          </w:p>
        </w:tc>
        <w:tc>
          <w:tcPr>
            <w:tcW w:w="80" w:type="dxa"/>
            <w:vAlign w:val="bottom"/>
            <w:shd w:val="clear" w:color="auto" w:fill="D5EEEE"/>
          </w:tcPr>
          <w:p>
            <w:pPr>
              <w:spacing w:after="0"/>
              <w:rPr>
                <w:sz w:val="21"/>
                <w:szCs w:val="21"/>
                <w:color w:val="auto"/>
              </w:rPr>
            </w:pPr>
          </w:p>
        </w:tc>
      </w:tr>
      <w:tr>
        <w:trPr>
          <w:trHeight w:val="244"/>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Amit D. Munshi</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58,533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1,795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60,328</w:t>
            </w:r>
          </w:p>
        </w:tc>
        <w:tc>
          <w:tcPr>
            <w:tcW w:w="80" w:type="dxa"/>
            <w:vAlign w:val="bottom"/>
          </w:tcPr>
          <w:p>
            <w:pPr>
              <w:spacing w:after="0"/>
              <w:rPr>
                <w:sz w:val="21"/>
                <w:szCs w:val="21"/>
                <w:color w:val="auto"/>
              </w:rPr>
            </w:pPr>
          </w:p>
        </w:tc>
      </w:tr>
      <w:tr>
        <w:trPr>
          <w:trHeight w:val="244"/>
        </w:trPr>
        <w:tc>
          <w:tcPr>
            <w:tcW w:w="406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Anne Prener, M.D.</w:t>
            </w:r>
            <w:r>
              <w:rPr>
                <w:rFonts w:ascii="Times New Roman" w:cs="Times New Roman" w:eastAsia="Times New Roman" w:hAnsi="Times New Roman"/>
                <w:sz w:val="26"/>
                <w:szCs w:val="26"/>
                <w:color w:val="auto"/>
                <w:vertAlign w:val="superscript"/>
              </w:rPr>
              <w:t>(4)</w:t>
            </w:r>
          </w:p>
        </w:tc>
        <w:tc>
          <w:tcPr>
            <w:tcW w:w="17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40,530</w:t>
            </w:r>
          </w:p>
        </w:tc>
        <w:tc>
          <w:tcPr>
            <w:tcW w:w="18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3,595</w:t>
            </w:r>
          </w:p>
        </w:tc>
        <w:tc>
          <w:tcPr>
            <w:tcW w:w="18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44,125</w:t>
            </w:r>
          </w:p>
        </w:tc>
        <w:tc>
          <w:tcPr>
            <w:tcW w:w="80" w:type="dxa"/>
            <w:vAlign w:val="bottom"/>
            <w:shd w:val="clear" w:color="auto" w:fill="D5EEEE"/>
          </w:tcPr>
          <w:p>
            <w:pPr>
              <w:spacing w:after="0"/>
              <w:rPr>
                <w:sz w:val="21"/>
                <w:szCs w:val="21"/>
                <w:color w:val="auto"/>
              </w:rPr>
            </w:pPr>
          </w:p>
        </w:tc>
      </w:tr>
      <w:tr>
        <w:trPr>
          <w:trHeight w:val="244"/>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David Shapiro, M.D.</w:t>
            </w:r>
            <w:r>
              <w:rPr>
                <w:rFonts w:ascii="Times New Roman" w:cs="Times New Roman" w:eastAsia="Times New Roman" w:hAnsi="Times New Roman"/>
                <w:sz w:val="26"/>
                <w:szCs w:val="26"/>
                <w:color w:val="auto"/>
                <w:vertAlign w:val="superscript"/>
              </w:rPr>
              <w:t>(4)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46,929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3,595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50,524</w:t>
            </w:r>
          </w:p>
        </w:tc>
        <w:tc>
          <w:tcPr>
            <w:tcW w:w="80" w:type="dxa"/>
            <w:vAlign w:val="bottom"/>
          </w:tcPr>
          <w:p>
            <w:pPr>
              <w:spacing w:after="0"/>
              <w:rPr>
                <w:sz w:val="21"/>
                <w:szCs w:val="21"/>
                <w:color w:val="auto"/>
              </w:rPr>
            </w:pPr>
          </w:p>
        </w:tc>
      </w:tr>
      <w:tr>
        <w:trPr>
          <w:trHeight w:val="244"/>
        </w:trPr>
        <w:tc>
          <w:tcPr>
            <w:tcW w:w="4060" w:type="dxa"/>
            <w:vAlign w:val="bottom"/>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Amy Wechsler, M.D.</w:t>
            </w:r>
            <w:r>
              <w:rPr>
                <w:rFonts w:ascii="Times New Roman" w:cs="Times New Roman" w:eastAsia="Times New Roman" w:hAnsi="Times New Roman"/>
                <w:sz w:val="26"/>
                <w:szCs w:val="26"/>
                <w:color w:val="auto"/>
                <w:vertAlign w:val="superscript"/>
              </w:rPr>
              <w:t>(4)</w:t>
            </w:r>
          </w:p>
        </w:tc>
        <w:tc>
          <w:tcPr>
            <w:tcW w:w="17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42,663</w:t>
            </w:r>
          </w:p>
        </w:tc>
        <w:tc>
          <w:tcPr>
            <w:tcW w:w="18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3,595</w:t>
            </w:r>
          </w:p>
        </w:tc>
        <w:tc>
          <w:tcPr>
            <w:tcW w:w="18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46,258</w:t>
            </w:r>
          </w:p>
        </w:tc>
        <w:tc>
          <w:tcPr>
            <w:tcW w:w="80" w:type="dxa"/>
            <w:vAlign w:val="bottom"/>
            <w:shd w:val="clear" w:color="auto" w:fill="D5EEEE"/>
          </w:tcPr>
          <w:p>
            <w:pPr>
              <w:spacing w:after="0"/>
              <w:rPr>
                <w:sz w:val="21"/>
                <w:szCs w:val="21"/>
                <w:color w:val="auto"/>
              </w:rPr>
            </w:pPr>
          </w:p>
        </w:tc>
      </w:tr>
    </w:tbl>
    <w:p>
      <w:pPr>
        <w:spacing w:after="0" w:line="102" w:lineRule="exact"/>
        <w:rPr>
          <w:sz w:val="20"/>
          <w:szCs w:val="20"/>
          <w:color w:val="auto"/>
        </w:rPr>
      </w:pPr>
    </w:p>
    <w:p>
      <w:pPr>
        <w:ind w:left="480" w:hanging="480"/>
        <w:spacing w:after="0" w:line="243" w:lineRule="auto"/>
        <w:tabs>
          <w:tab w:leader="none" w:pos="480" w:val="left"/>
        </w:tabs>
        <w:numPr>
          <w:ilvl w:val="0"/>
          <w:numId w:val="6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These amounts reflect the aggregate grant date fair value of option awards granted in 2025 computed in accordance with FASB ASC Topic 718. Assumptions used in the calculation of these amounts are included in Note 13 to our consolidated financial statements included in our 2025 Annual Report. As of December 31, 2025, Dr. Goldfischer held options to purchase 7,200 shares of our common stock, Dr. Dallas held options to purchase 4,680 shares of our common stock, Mr. Munshi held options to purchase 7,247 shares of our common stock, Dr. Prener held options to purchase 3,120 shares of our common stock, Dr. Shapiro held options to purchase 4,560 shares of our common stock and Dr. Wechsler did not hold any options to purchase shares of our common stock.</w:t>
      </w:r>
    </w:p>
    <w:p>
      <w:pPr>
        <w:spacing w:after="0" w:line="6" w:lineRule="exact"/>
        <w:rPr>
          <w:rFonts w:ascii="Times New Roman" w:cs="Times New Roman" w:eastAsia="Times New Roman" w:hAnsi="Times New Roman"/>
          <w:sz w:val="20"/>
          <w:szCs w:val="20"/>
          <w:i w:val="1"/>
          <w:iCs w:val="1"/>
          <w:color w:val="auto"/>
        </w:rPr>
      </w:pPr>
    </w:p>
    <w:p>
      <w:pPr>
        <w:ind w:left="480" w:hanging="480"/>
        <w:spacing w:after="0"/>
        <w:tabs>
          <w:tab w:leader="none" w:pos="480" w:val="left"/>
        </w:tabs>
        <w:numPr>
          <w:ilvl w:val="0"/>
          <w:numId w:val="6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Ms. Bruno, Dr. Cain and Mr. Harwin were appointed to the Board of Directors effective November 10, 2025.</w:t>
      </w:r>
    </w:p>
    <w:p>
      <w:pPr>
        <w:ind w:left="480" w:right="300" w:hanging="480"/>
        <w:spacing w:after="0"/>
        <w:tabs>
          <w:tab w:leader="none" w:pos="480" w:val="left"/>
        </w:tabs>
        <w:numPr>
          <w:ilvl w:val="0"/>
          <w:numId w:val="6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Dr. Cain and Mr. Harwin were required to transfer, assign and pledge any cash consideration or similar payments that they received as a result of their services on our Board of Directors to Fairmount Funds Management LLC. Dr. Cain and Mr. Harwin are also required, to the extent that they elect to exercise any stock options, to transfer, assign and pledge the shares received to Fairmount Funds Management LLC.</w:t>
      </w:r>
    </w:p>
    <w:p>
      <w:pPr>
        <w:ind w:left="480" w:hanging="480"/>
        <w:spacing w:after="0"/>
        <w:tabs>
          <w:tab w:leader="none" w:pos="480" w:val="left"/>
        </w:tabs>
        <w:numPr>
          <w:ilvl w:val="0"/>
          <w:numId w:val="6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Dr. Prener, Dr. Shapiro and Dr. Wechsler resigned from the Board of Directors effective November 10, 2025.</w:t>
      </w:r>
    </w:p>
    <w:p>
      <w:pPr>
        <w:spacing w:after="0" w:line="212"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Under our director compensation program, we pay our non-employee directors a cash retainer for service on the Board of Directors and for service on each committee on which the director is a member. The Chair of the Board of Directors and of each committee receive higher retainers for such service. Such fees are payable in arrears in four equal quarterly installments. The fees paid to non-employee directors for service on the Board of Directors and for service on each committee of the Board of Directors on which the director is a member are as follows:</w:t>
      </w:r>
    </w:p>
    <w:p>
      <w:pPr>
        <w:spacing w:after="0" w:line="171" w:lineRule="exact"/>
        <w:rPr>
          <w:sz w:val="20"/>
          <w:szCs w:val="20"/>
          <w:color w:val="auto"/>
        </w:rPr>
      </w:pPr>
    </w:p>
    <w:tbl>
      <w:tblPr>
        <w:tblLayout w:type="fixed"/>
        <w:tblInd w:w="124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306"/>
              <w:spacing w:after="0"/>
              <w:rPr>
                <w:sz w:val="20"/>
                <w:szCs w:val="20"/>
                <w:color w:val="auto"/>
              </w:rPr>
            </w:pPr>
            <w:r>
              <w:rPr>
                <w:rFonts w:ascii="Times New Roman" w:cs="Times New Roman" w:eastAsia="Times New Roman" w:hAnsi="Times New Roman"/>
                <w:sz w:val="16"/>
                <w:szCs w:val="16"/>
                <w:b w:val="1"/>
                <w:bCs w:val="1"/>
                <w:color w:val="auto"/>
              </w:rPr>
              <w:t>Member</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Chair</w:t>
            </w:r>
          </w:p>
        </w:tc>
        <w:tc>
          <w:tcPr>
            <w:tcW w:w="60" w:type="dxa"/>
            <w:vAlign w:val="bottom"/>
          </w:tcPr>
          <w:p>
            <w:pPr>
              <w:spacing w:after="0"/>
              <w:rPr>
                <w:sz w:val="16"/>
                <w:szCs w:val="16"/>
                <w:color w:val="auto"/>
              </w:rPr>
            </w:pPr>
          </w:p>
        </w:tc>
      </w:tr>
      <w:tr>
        <w:trPr>
          <w:trHeight w:val="203"/>
        </w:trPr>
        <w:tc>
          <w:tcPr>
            <w:tcW w:w="5300" w:type="dxa"/>
            <w:vAlign w:val="bottom"/>
            <w:tcBorders>
              <w:bottom w:val="single" w:sz="8" w:color="D5EEEE"/>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Annual Fee</w:t>
            </w:r>
          </w:p>
        </w:tc>
        <w:tc>
          <w:tcPr>
            <w:tcW w:w="280" w:type="dxa"/>
            <w:vAlign w:val="bottom"/>
            <w:tcBorders>
              <w:bottom w:val="single" w:sz="8" w:color="D5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Annual Fee</w:t>
            </w:r>
          </w:p>
        </w:tc>
        <w:tc>
          <w:tcPr>
            <w:tcW w:w="60" w:type="dxa"/>
            <w:vAlign w:val="bottom"/>
            <w:tcBorders>
              <w:bottom w:val="single" w:sz="8" w:color="D5EEEE"/>
            </w:tcBorders>
          </w:tcPr>
          <w:p>
            <w:pPr>
              <w:spacing w:after="0"/>
              <w:rPr>
                <w:sz w:val="17"/>
                <w:szCs w:val="17"/>
                <w:color w:val="auto"/>
              </w:rPr>
            </w:pPr>
          </w:p>
        </w:tc>
      </w:tr>
      <w:tr>
        <w:trPr>
          <w:trHeight w:val="239"/>
        </w:trPr>
        <w:tc>
          <w:tcPr>
            <w:tcW w:w="53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Board of Directors</w:t>
            </w:r>
          </w:p>
        </w:tc>
        <w:tc>
          <w:tcPr>
            <w:tcW w:w="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40,000</w:t>
            </w:r>
          </w:p>
        </w:tc>
        <w:tc>
          <w:tcPr>
            <w:tcW w:w="280" w:type="dxa"/>
            <w:vAlign w:val="bottom"/>
            <w:shd w:val="clear" w:color="auto" w:fill="D5EEEE"/>
          </w:tcPr>
          <w:p>
            <w:pPr>
              <w:spacing w:after="0"/>
              <w:rPr>
                <w:sz w:val="20"/>
                <w:szCs w:val="20"/>
                <w:color w:val="auto"/>
              </w:rPr>
            </w:pP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35,000</w:t>
            </w:r>
          </w:p>
        </w:tc>
        <w:tc>
          <w:tcPr>
            <w:tcW w:w="60" w:type="dxa"/>
            <w:vAlign w:val="bottom"/>
            <w:shd w:val="clear" w:color="auto" w:fill="D5EEEE"/>
          </w:tcPr>
          <w:p>
            <w:pPr>
              <w:spacing w:after="0"/>
              <w:rPr>
                <w:sz w:val="20"/>
                <w:szCs w:val="20"/>
                <w:color w:val="auto"/>
              </w:rPr>
            </w:pPr>
          </w:p>
        </w:tc>
      </w:tr>
      <w:tr>
        <w:trPr>
          <w:trHeight w:val="244"/>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Financing Committee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2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60" w:type="dxa"/>
            <w:vAlign w:val="bottom"/>
          </w:tcPr>
          <w:p>
            <w:pPr>
              <w:spacing w:after="0"/>
              <w:rPr>
                <w:sz w:val="21"/>
                <w:szCs w:val="21"/>
                <w:color w:val="auto"/>
              </w:rPr>
            </w:pPr>
          </w:p>
        </w:tc>
      </w:tr>
      <w:tr>
        <w:trPr>
          <w:trHeight w:val="244"/>
        </w:trPr>
        <w:tc>
          <w:tcPr>
            <w:tcW w:w="53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Audit Committee</w:t>
            </w:r>
          </w:p>
        </w:tc>
        <w:tc>
          <w:tcPr>
            <w:tcW w:w="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4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60" w:type="dxa"/>
            <w:vAlign w:val="bottom"/>
            <w:shd w:val="clear" w:color="auto" w:fill="D5EEEE"/>
          </w:tcPr>
          <w:p>
            <w:pPr>
              <w:spacing w:after="0"/>
              <w:rPr>
                <w:sz w:val="21"/>
                <w:szCs w:val="21"/>
                <w:color w:val="auto"/>
              </w:rPr>
            </w:pPr>
          </w:p>
        </w:tc>
      </w:tr>
      <w:tr>
        <w:trPr>
          <w:trHeight w:val="244"/>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Committee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60" w:type="dxa"/>
            <w:vAlign w:val="bottom"/>
          </w:tcPr>
          <w:p>
            <w:pPr>
              <w:spacing w:after="0"/>
              <w:rPr>
                <w:sz w:val="21"/>
                <w:szCs w:val="21"/>
                <w:color w:val="auto"/>
              </w:rPr>
            </w:pPr>
          </w:p>
        </w:tc>
      </w:tr>
      <w:tr>
        <w:trPr>
          <w:trHeight w:val="244"/>
        </w:trPr>
        <w:tc>
          <w:tcPr>
            <w:tcW w:w="53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Nomination and Corporate Governance Committee</w:t>
            </w:r>
          </w:p>
        </w:tc>
        <w:tc>
          <w:tcPr>
            <w:tcW w:w="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4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60" w:type="dxa"/>
            <w:vAlign w:val="bottom"/>
            <w:shd w:val="clear" w:color="auto" w:fill="D5EEEE"/>
          </w:tcPr>
          <w:p>
            <w:pPr>
              <w:spacing w:after="0"/>
              <w:rPr>
                <w:sz w:val="21"/>
                <w:szCs w:val="21"/>
                <w:color w:val="auto"/>
              </w:rPr>
            </w:pPr>
          </w:p>
        </w:tc>
      </w:tr>
    </w:tbl>
    <w:p>
      <w:pPr>
        <w:spacing w:after="0" w:line="22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We reimburse our non-employee directors for reasonable travel and other expenses incurred in connection with attending meetings of our Board of Directors and any committee of our Board of Directors on which he or she serves.</w:t>
      </w:r>
    </w:p>
    <w:p>
      <w:pPr>
        <w:spacing w:after="0" w:line="16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Upon his or her initial election or appointment to our Board of Directors, each such non-employee director is granted an option to purchase 720 shares of our common stock under our 2020 Equity Incentive Plan. Each such option vest as to 2.778% of the shares of our common stock underlying such option at the end of each successive one-month period following the grant date until the third anniversary of the grant date, subject to the non-employee director’s continued service as a director.</w:t>
      </w:r>
    </w:p>
    <w:p>
      <w:pPr>
        <w:spacing w:after="0" w:line="19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Upon each date of our annual meeting of stockholders, each new and continuing non-employee directors is also granted an option to purchase 720 shares of our common stock under our 2020 Equity Incentive Plan. Each such option vests as to 8.333% of the shares of our common stock underlying such option at the end of each successive one-month period following the grant date until the one-year anniversary of the grant date, subject to the non-employee director’s continued service as a director. On each date of our annual meeting of stockholders, our Chair of the Board of Directors receives an option, with the same vesting terms as other non-employee</w:t>
      </w:r>
    </w:p>
    <w:p>
      <w:pPr>
        <w:sectPr>
          <w:pgSz w:w="12960" w:h="17280" w:orient="portrait"/>
          <w:cols w:equalWidth="0" w:num="1">
            <w:col w:w="10780"/>
          </w:cols>
          <w:pgMar w:left="1080" w:top="1440" w:right="1100" w:bottom="751"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960" w:h="17280" w:orient="portrait"/>
          <w:cols w:equalWidth="0" w:num="1">
            <w:col w:w="10780"/>
          </w:cols>
          <w:pgMar w:left="1080" w:top="1440" w:right="1100" w:bottom="751" w:gutter="0" w:footer="0" w:header="0"/>
          <w:type w:val="continuous"/>
        </w:sectPr>
      </w:pPr>
    </w:p>
    <w:bookmarkStart w:id="154" w:name="page155"/>
    <w:bookmarkEnd w:id="154"/>
    <w:p>
      <w:pPr>
        <w:spacing w:after="0" w:line="211"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20"/>
          <w:szCs w:val="20"/>
          <w:color w:val="auto"/>
        </w:rPr>
        <w:t>directors, for 1,440 shares of our common stock instead of 720 shares of our common stock. All options issued to our non-employee directors under our director compensation program are issued with exercise prices equal to the fair market value of our shares of our common stock on the date of grant and become exercisable in full upon specified change in control events.</w:t>
      </w:r>
    </w:p>
    <w:p>
      <w:pPr>
        <w:spacing w:after="0" w:line="188" w:lineRule="exact"/>
        <w:rPr>
          <w:sz w:val="20"/>
          <w:szCs w:val="20"/>
          <w:color w:val="auto"/>
        </w:rPr>
      </w:pPr>
    </w:p>
    <w:p>
      <w:pPr>
        <w:ind w:right="860"/>
        <w:spacing w:after="0" w:line="277" w:lineRule="auto"/>
        <w:rPr>
          <w:sz w:val="20"/>
          <w:szCs w:val="20"/>
          <w:color w:val="auto"/>
        </w:rPr>
      </w:pPr>
      <w:r>
        <w:rPr>
          <w:rFonts w:ascii="Times New Roman" w:cs="Times New Roman" w:eastAsia="Times New Roman" w:hAnsi="Times New Roman"/>
          <w:sz w:val="20"/>
          <w:szCs w:val="20"/>
          <w:color w:val="auto"/>
        </w:rPr>
        <w:t>Effective as of March 20, 2026, our Board of Directors modified the equity award component of our non-employee director compensation policy to provide the following awards:</w:t>
      </w:r>
    </w:p>
    <w:p>
      <w:pPr>
        <w:spacing w:after="0" w:line="184" w:lineRule="exact"/>
        <w:rPr>
          <w:sz w:val="20"/>
          <w:szCs w:val="20"/>
          <w:color w:val="auto"/>
        </w:rPr>
      </w:pPr>
    </w:p>
    <w:p>
      <w:pPr>
        <w:ind w:left="780" w:hanging="362"/>
        <w:spacing w:after="0" w:line="247" w:lineRule="auto"/>
        <w:tabs>
          <w:tab w:leader="none" w:pos="78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An initial grant, upon a director’s initial election or appointment to our Board of Directors, of stock options to purchase the lesser of (a) 40,000 shares of our common stock or (b) a number of shares of our common stock with a grant date value of $700,000 (determined based on the Black-Scholes value of an option to purchase common stock). Each such option will vest in equal monthly installments through the third anniversary of the date of grant, subject to the non-employee director’s continued service as a director.</w:t>
      </w:r>
    </w:p>
    <w:p>
      <w:pPr>
        <w:spacing w:after="0" w:line="1" w:lineRule="exact"/>
        <w:rPr>
          <w:rFonts w:ascii="Arial" w:cs="Arial" w:eastAsia="Arial" w:hAnsi="Arial"/>
          <w:sz w:val="20"/>
          <w:szCs w:val="20"/>
          <w:color w:val="auto"/>
        </w:rPr>
      </w:pPr>
    </w:p>
    <w:p>
      <w:pPr>
        <w:ind w:left="780" w:right="160" w:hanging="362"/>
        <w:spacing w:after="0" w:line="242" w:lineRule="auto"/>
        <w:tabs>
          <w:tab w:leader="none" w:pos="78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An annual grant, on or around the date of each annual stockholders meeting, of stock options to purchase the lesser of (a) 20,000 shares of our common stock or (b) a number of shares of our common stock with a grant date value of $350,000 (determined based on the Black-Scholes value of an option to purchase common stock on the date of grant). Each such option will vest on the earlier of the next annual stockholder meeting or the first anniversary of the date of grant, subject to the non-employee director’s continued service as a director. A director is not entitled to receive such annual grant if the director has or will receive an initial stock option grant in the same calendar year.</w:t>
      </w:r>
    </w:p>
    <w:p>
      <w:pPr>
        <w:sectPr>
          <w:pgSz w:w="12960" w:h="17280" w:orient="portrait"/>
          <w:cols w:equalWidth="0" w:num="1">
            <w:col w:w="10760"/>
          </w:cols>
          <w:pgMar w:left="1080" w:top="1440" w:right="112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24</w:t>
      </w:r>
    </w:p>
    <w:p>
      <w:pPr>
        <w:sectPr>
          <w:pgSz w:w="12960" w:h="17280" w:orient="portrait"/>
          <w:cols w:equalWidth="0" w:num="1">
            <w:col w:w="10760"/>
          </w:cols>
          <w:pgMar w:left="1080" w:top="1440" w:right="1120" w:bottom="751" w:gutter="0" w:footer="0" w:header="0"/>
          <w:type w:val="continuous"/>
        </w:sectPr>
      </w:pPr>
    </w:p>
    <w:bookmarkStart w:id="155" w:name="page156"/>
    <w:bookmarkEnd w:id="155"/>
    <w:p>
      <w:pPr>
        <w:spacing w:after="0" w:line="20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20"/>
          <w:szCs w:val="20"/>
          <w:b w:val="1"/>
          <w:bCs w:val="1"/>
          <w:color w:val="auto"/>
        </w:rPr>
        <w:t>SECURITY OWNERSHIP OF CERTAIN BENEFICIAL OWNERS AND MANAGEMENT AND RELATED STOCKHOLDER MATTERS</w:t>
      </w:r>
    </w:p>
    <w:p>
      <w:pPr>
        <w:spacing w:after="0" w:line="15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following table sets forth the amount of shares of our common stock beneficially owned, directly or indirectly, as of April 22, 2026, by (i) each current director of the Company, (ii) each named executive officer of the Company, (iii) all current directors and executive officers of the Company as a group, and (iv) each person, or group of affiliated persons, who is known to the Company to beneficially own more than five percent (5%) of the outstanding shares of common stock of the Company, as determined through filings with the SEC and the percentage of the common stock outstanding represented by each such amount. All shares of our common stock shown in the table reflect sole voting and investment power except as otherwise noted. This table is based on information supplied by our executive officers, directors and principal stockholders and Schedules 13D, 13G and other filings made with the SEC on or before April 22, 2026.</w:t>
      </w:r>
    </w:p>
    <w:p>
      <w:pPr>
        <w:spacing w:after="0" w:line="20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Beneficial ownership is determined by the rules of the SEC and includes voting or investment power of the securities. As of April 22, 2026, the Company had 60,303,212 shares of common stock outstanding. Shares subject to options that are currently exercisable or are exercisable within sixty days after April 22, 2026 are considered to be outstanding for purposes of computing the percentage ownership of the persons holding these options but are not to be considered outstanding for the purpose of computing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Beneficial ownership representing less than one percent of our outstanding shares of common stock is denoted with an “*.” Unless otherwise indicated, the address for each person listed below is c/o Damora Therapeutics, Inc., 221 Crescent Street, Building 23, Suite 105, Waltham, MA 02453.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4"/>
        </w:trPr>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8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184"/>
        </w:trPr>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28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r>
      <w:tr>
        <w:trPr>
          <w:trHeight w:val="203"/>
        </w:trPr>
        <w:tc>
          <w:tcPr>
            <w:tcW w:w="7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280" w:type="dxa"/>
            <w:vAlign w:val="bottom"/>
          </w:tcPr>
          <w:p>
            <w:pPr>
              <w:spacing w:after="0"/>
              <w:rPr>
                <w:sz w:val="17"/>
                <w:szCs w:val="17"/>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Owned</w:t>
            </w:r>
          </w:p>
        </w:tc>
      </w:tr>
      <w:tr>
        <w:trPr>
          <w:trHeight w:val="247"/>
        </w:trPr>
        <w:tc>
          <w:tcPr>
            <w:tcW w:w="7120" w:type="dxa"/>
            <w:vAlign w:val="bottom"/>
            <w:tcBorders>
              <w:top w:val="single" w:sz="8" w:color="auto"/>
            </w:tcBorders>
            <w:gridSpan w:val="3"/>
            <w:shd w:val="clear" w:color="auto" w:fill="D5EEEE"/>
          </w:tcPr>
          <w:p>
            <w:pPr>
              <w:spacing w:after="0" w:line="227" w:lineRule="exact"/>
              <w:rPr>
                <w:sz w:val="20"/>
                <w:szCs w:val="20"/>
                <w:color w:val="auto"/>
              </w:rPr>
            </w:pPr>
            <w:r>
              <w:rPr>
                <w:rFonts w:ascii="Times New Roman" w:cs="Times New Roman" w:eastAsia="Times New Roman" w:hAnsi="Times New Roman"/>
                <w:sz w:val="20"/>
                <w:szCs w:val="20"/>
                <w:b w:val="1"/>
                <w:bCs w:val="1"/>
                <w:color w:val="auto"/>
              </w:rPr>
              <w:t>5%+ Stockholders:</w:t>
            </w:r>
          </w:p>
        </w:tc>
        <w:tc>
          <w:tcPr>
            <w:tcW w:w="160" w:type="dxa"/>
            <w:vAlign w:val="bottom"/>
            <w:tcBorders>
              <w:top w:val="single" w:sz="8" w:color="D5EEEE"/>
            </w:tcBorders>
            <w:shd w:val="clear" w:color="auto" w:fill="D5EEEE"/>
          </w:tcPr>
          <w:p>
            <w:pPr>
              <w:spacing w:after="0"/>
              <w:rPr>
                <w:sz w:val="21"/>
                <w:szCs w:val="21"/>
                <w:color w:val="auto"/>
              </w:rPr>
            </w:pPr>
          </w:p>
        </w:tc>
        <w:tc>
          <w:tcPr>
            <w:tcW w:w="1580" w:type="dxa"/>
            <w:vAlign w:val="bottom"/>
            <w:tcBorders>
              <w:top w:val="single" w:sz="8" w:color="auto"/>
            </w:tcBorders>
            <w:shd w:val="clear" w:color="auto" w:fill="D5EEEE"/>
          </w:tcPr>
          <w:p>
            <w:pPr>
              <w:spacing w:after="0"/>
              <w:rPr>
                <w:sz w:val="21"/>
                <w:szCs w:val="21"/>
                <w:color w:val="auto"/>
              </w:rPr>
            </w:pPr>
          </w:p>
        </w:tc>
        <w:tc>
          <w:tcPr>
            <w:tcW w:w="280" w:type="dxa"/>
            <w:vAlign w:val="bottom"/>
            <w:tcBorders>
              <w:top w:val="single" w:sz="8" w:color="D5EEEE"/>
            </w:tcBorders>
            <w:shd w:val="clear" w:color="auto" w:fill="D5EEEE"/>
          </w:tcPr>
          <w:p>
            <w:pPr>
              <w:spacing w:after="0"/>
              <w:rPr>
                <w:sz w:val="21"/>
                <w:szCs w:val="21"/>
                <w:color w:val="auto"/>
              </w:rPr>
            </w:pPr>
          </w:p>
        </w:tc>
        <w:tc>
          <w:tcPr>
            <w:tcW w:w="1440" w:type="dxa"/>
            <w:vAlign w:val="bottom"/>
            <w:tcBorders>
              <w:top w:val="single" w:sz="8" w:color="auto"/>
            </w:tcBorders>
            <w:shd w:val="clear" w:color="auto" w:fill="D5EEEE"/>
          </w:tcPr>
          <w:p>
            <w:pPr>
              <w:spacing w:after="0"/>
              <w:rPr>
                <w:sz w:val="21"/>
                <w:szCs w:val="21"/>
                <w:color w:val="auto"/>
              </w:rPr>
            </w:pPr>
          </w:p>
        </w:tc>
        <w:tc>
          <w:tcPr>
            <w:tcW w:w="220" w:type="dxa"/>
            <w:vAlign w:val="bottom"/>
            <w:tcBorders>
              <w:top w:val="single" w:sz="8" w:color="D5EEEE"/>
            </w:tcBorders>
            <w:shd w:val="clear" w:color="auto" w:fill="D5EEEE"/>
          </w:tcPr>
          <w:p>
            <w:pPr>
              <w:spacing w:after="0"/>
              <w:rPr>
                <w:sz w:val="21"/>
                <w:szCs w:val="21"/>
                <w:color w:val="auto"/>
              </w:rPr>
            </w:pPr>
          </w:p>
        </w:tc>
      </w:tr>
      <w:tr>
        <w:trPr>
          <w:trHeight w:val="216"/>
        </w:trPr>
        <w:tc>
          <w:tcPr>
            <w:tcW w:w="158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20"/>
                <w:szCs w:val="20"/>
                <w:color w:val="auto"/>
              </w:rPr>
              <w:t>Fairmount Funds</w:t>
            </w:r>
          </w:p>
        </w:tc>
        <w:tc>
          <w:tcPr>
            <w:tcW w:w="5540" w:type="dxa"/>
            <w:vAlign w:val="bottom"/>
            <w:tcBorders>
              <w:top w:val="single" w:sz="8" w:color="D5EEEE"/>
            </w:tcBorders>
            <w:gridSpan w:val="2"/>
          </w:tcPr>
          <w:p>
            <w:pPr>
              <w:spacing w:after="0" w:line="216" w:lineRule="exact"/>
              <w:rPr>
                <w:sz w:val="20"/>
                <w:szCs w:val="20"/>
                <w:color w:val="auto"/>
              </w:rPr>
            </w:pPr>
            <w:r>
              <w:rPr>
                <w:rFonts w:ascii="Times New Roman" w:cs="Times New Roman" w:eastAsia="Times New Roman" w:hAnsi="Times New Roman"/>
                <w:sz w:val="19"/>
                <w:szCs w:val="19"/>
                <w:color w:val="auto"/>
              </w:rPr>
              <w:t>Management LLC</w:t>
            </w:r>
            <w:r>
              <w:rPr>
                <w:rFonts w:ascii="Times New Roman" w:cs="Times New Roman" w:eastAsia="Times New Roman" w:hAnsi="Times New Roman"/>
                <w:sz w:val="25"/>
                <w:szCs w:val="25"/>
                <w:color w:val="auto"/>
                <w:vertAlign w:val="superscript"/>
              </w:rPr>
              <w:t>(1)</w:t>
            </w:r>
          </w:p>
        </w:tc>
        <w:tc>
          <w:tcPr>
            <w:tcW w:w="160" w:type="dxa"/>
            <w:vAlign w:val="bottom"/>
            <w:tcBorders>
              <w:top w:val="single" w:sz="8" w:color="D5EEEE"/>
            </w:tcBorders>
          </w:tcPr>
          <w:p>
            <w:pPr>
              <w:spacing w:after="0"/>
              <w:rPr>
                <w:sz w:val="18"/>
                <w:szCs w:val="18"/>
                <w:color w:val="auto"/>
              </w:rPr>
            </w:pPr>
          </w:p>
        </w:tc>
        <w:tc>
          <w:tcPr>
            <w:tcW w:w="1580" w:type="dxa"/>
            <w:vAlign w:val="bottom"/>
            <w:tcBorders>
              <w:top w:val="single" w:sz="8" w:color="D5EEEE"/>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12,889,493</w:t>
            </w:r>
          </w:p>
        </w:tc>
        <w:tc>
          <w:tcPr>
            <w:tcW w:w="280" w:type="dxa"/>
            <w:vAlign w:val="bottom"/>
            <w:tcBorders>
              <w:top w:val="single" w:sz="8" w:color="D5EEEE"/>
            </w:tcBorders>
          </w:tcPr>
          <w:p>
            <w:pPr>
              <w:spacing w:after="0"/>
              <w:rPr>
                <w:sz w:val="18"/>
                <w:szCs w:val="18"/>
                <w:color w:val="auto"/>
              </w:rPr>
            </w:pPr>
          </w:p>
        </w:tc>
        <w:tc>
          <w:tcPr>
            <w:tcW w:w="1660" w:type="dxa"/>
            <w:vAlign w:val="bottom"/>
            <w:tcBorders>
              <w:top w:val="single" w:sz="8" w:color="D5EEEE"/>
            </w:tcBorders>
            <w:gridSpan w:val="2"/>
          </w:tcPr>
          <w:p>
            <w:pPr>
              <w:jc w:val="right"/>
              <w:ind w:right="40"/>
              <w:spacing w:after="0" w:line="216" w:lineRule="exact"/>
              <w:rPr>
                <w:sz w:val="20"/>
                <w:szCs w:val="20"/>
                <w:color w:val="auto"/>
              </w:rPr>
            </w:pPr>
            <w:r>
              <w:rPr>
                <w:rFonts w:ascii="Times New Roman" w:cs="Times New Roman" w:eastAsia="Times New Roman" w:hAnsi="Times New Roman"/>
                <w:sz w:val="20"/>
                <w:szCs w:val="20"/>
                <w:color w:val="auto"/>
              </w:rPr>
              <w:t>19.99%</w:t>
            </w:r>
          </w:p>
        </w:tc>
      </w:tr>
      <w:tr>
        <w:trPr>
          <w:trHeight w:val="244"/>
        </w:trPr>
        <w:tc>
          <w:tcPr>
            <w:tcW w:w="7120" w:type="dxa"/>
            <w:vAlign w:val="bottom"/>
            <w:gridSpan w:val="3"/>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'Venrock Healthcare Capital Partners III, L.P.</w:t>
            </w:r>
            <w:r>
              <w:rPr>
                <w:rFonts w:ascii="Times New Roman" w:cs="Times New Roman" w:eastAsia="Times New Roman" w:hAnsi="Times New Roman"/>
                <w:sz w:val="26"/>
                <w:szCs w:val="26"/>
                <w:color w:val="auto"/>
                <w:vertAlign w:val="superscript"/>
              </w:rPr>
              <w:t>(2)</w:t>
            </w:r>
          </w:p>
        </w:tc>
        <w:tc>
          <w:tcPr>
            <w:tcW w:w="17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3,603,595</w:t>
            </w:r>
          </w:p>
        </w:tc>
        <w:tc>
          <w:tcPr>
            <w:tcW w:w="1940" w:type="dxa"/>
            <w:vAlign w:val="bottom"/>
            <w:gridSpan w:val="3"/>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5.98%</w:t>
            </w:r>
          </w:p>
        </w:tc>
      </w:tr>
      <w:tr>
        <w:trPr>
          <w:trHeight w:val="232"/>
        </w:trPr>
        <w:tc>
          <w:tcPr>
            <w:tcW w:w="71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Directors and Named Executive Officers:</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3460" w:type="dxa"/>
            <w:vAlign w:val="bottom"/>
            <w:tcBorders>
              <w:top w:val="single" w:sz="8" w:color="auto"/>
            </w:tcBorders>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Jennifer Jarrett</w:t>
            </w:r>
          </w:p>
        </w:tc>
        <w:tc>
          <w:tcPr>
            <w:tcW w:w="3660" w:type="dxa"/>
            <w:vAlign w:val="bottom"/>
            <w:tcBorders>
              <w:top w:val="single" w:sz="8" w:color="D5EEEE"/>
            </w:tcBorders>
            <w:shd w:val="clear" w:color="auto" w:fill="D5EEEE"/>
          </w:tcPr>
          <w:p>
            <w:pPr>
              <w:spacing w:after="0"/>
              <w:rPr>
                <w:sz w:val="20"/>
                <w:szCs w:val="20"/>
                <w:color w:val="auto"/>
              </w:rPr>
            </w:pPr>
          </w:p>
        </w:tc>
        <w:tc>
          <w:tcPr>
            <w:tcW w:w="160" w:type="dxa"/>
            <w:vAlign w:val="bottom"/>
            <w:tcBorders>
              <w:top w:val="single" w:sz="8" w:color="D5EEEE"/>
            </w:tcBorders>
            <w:shd w:val="clear" w:color="auto" w:fill="D5EEEE"/>
          </w:tcPr>
          <w:p>
            <w:pPr>
              <w:spacing w:after="0"/>
              <w:rPr>
                <w:sz w:val="20"/>
                <w:szCs w:val="20"/>
                <w:color w:val="auto"/>
              </w:rPr>
            </w:pPr>
          </w:p>
        </w:tc>
        <w:tc>
          <w:tcPr>
            <w:tcW w:w="158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Borders>
              <w:top w:val="single" w:sz="8" w:color="D5EEEE"/>
            </w:tcBorders>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top w:val="single" w:sz="8" w:color="D5EEEE"/>
            </w:tcBorders>
            <w:shd w:val="clear" w:color="auto" w:fill="D5EEEE"/>
          </w:tcPr>
          <w:p>
            <w:pPr>
              <w:spacing w:after="0"/>
              <w:rPr>
                <w:sz w:val="20"/>
                <w:szCs w:val="20"/>
                <w:color w:val="auto"/>
              </w:rPr>
            </w:pPr>
          </w:p>
        </w:tc>
      </w:tr>
      <w:tr>
        <w:trPr>
          <w:trHeight w:val="244"/>
        </w:trPr>
        <w:tc>
          <w:tcPr>
            <w:tcW w:w="7120" w:type="dxa"/>
            <w:vAlign w:val="bottom"/>
            <w:gridSpan w:val="3"/>
          </w:tcPr>
          <w:p>
            <w:pPr>
              <w:spacing w:after="0" w:line="243" w:lineRule="exact"/>
              <w:rPr>
                <w:sz w:val="20"/>
                <w:szCs w:val="20"/>
                <w:color w:val="auto"/>
              </w:rPr>
            </w:pPr>
            <w:r>
              <w:rPr>
                <w:rFonts w:ascii="Times New Roman" w:cs="Times New Roman" w:eastAsia="Times New Roman" w:hAnsi="Times New Roman"/>
                <w:sz w:val="20"/>
                <w:szCs w:val="20"/>
                <w:color w:val="auto"/>
              </w:rPr>
              <w:t>Lori Firmani</w:t>
            </w:r>
            <w:r>
              <w:rPr>
                <w:rFonts w:ascii="Times New Roman" w:cs="Times New Roman" w:eastAsia="Times New Roman" w:hAnsi="Times New Roman"/>
                <w:sz w:val="26"/>
                <w:szCs w:val="26"/>
                <w:color w:val="auto"/>
                <w:vertAlign w:val="superscript"/>
              </w:rPr>
              <w:t>(3)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12,321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r>
      <w:tr>
        <w:trPr>
          <w:trHeight w:val="244"/>
        </w:trPr>
        <w:tc>
          <w:tcPr>
            <w:tcW w:w="7120" w:type="dxa"/>
            <w:vAlign w:val="bottom"/>
            <w:gridSpan w:val="3"/>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Hans T. Schambye, M.D., Ph.D.</w:t>
            </w:r>
            <w:r>
              <w:rPr>
                <w:rFonts w:ascii="Times New Roman" w:cs="Times New Roman" w:eastAsia="Times New Roman" w:hAnsi="Times New Roman"/>
                <w:sz w:val="26"/>
                <w:szCs w:val="26"/>
                <w:color w:val="auto"/>
                <w:vertAlign w:val="superscript"/>
              </w:rPr>
              <w:t>(4)</w:t>
            </w:r>
          </w:p>
        </w:tc>
        <w:tc>
          <w:tcPr>
            <w:tcW w:w="17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69,597</w:t>
            </w:r>
          </w:p>
        </w:tc>
        <w:tc>
          <w:tcPr>
            <w:tcW w:w="17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EEE"/>
          </w:tcPr>
          <w:p>
            <w:pPr>
              <w:spacing w:after="0"/>
              <w:rPr>
                <w:sz w:val="21"/>
                <w:szCs w:val="21"/>
                <w:color w:val="auto"/>
              </w:rPr>
            </w:pPr>
          </w:p>
        </w:tc>
      </w:tr>
      <w:tr>
        <w:trPr>
          <w:trHeight w:val="244"/>
        </w:trPr>
        <w:tc>
          <w:tcPr>
            <w:tcW w:w="7120" w:type="dxa"/>
            <w:vAlign w:val="bottom"/>
            <w:gridSpan w:val="3"/>
          </w:tcPr>
          <w:p>
            <w:pPr>
              <w:spacing w:after="0" w:line="243" w:lineRule="exact"/>
              <w:rPr>
                <w:sz w:val="20"/>
                <w:szCs w:val="20"/>
                <w:color w:val="auto"/>
              </w:rPr>
            </w:pPr>
            <w:r>
              <w:rPr>
                <w:rFonts w:ascii="Times New Roman" w:cs="Times New Roman" w:eastAsia="Times New Roman" w:hAnsi="Times New Roman"/>
                <w:sz w:val="20"/>
                <w:szCs w:val="20"/>
                <w:color w:val="auto"/>
              </w:rPr>
              <w:t>Garrett Winslow</w:t>
            </w:r>
            <w:r>
              <w:rPr>
                <w:rFonts w:ascii="Times New Roman" w:cs="Times New Roman" w:eastAsia="Times New Roman" w:hAnsi="Times New Roman"/>
                <w:sz w:val="26"/>
                <w:szCs w:val="26"/>
                <w:color w:val="auto"/>
                <w:vertAlign w:val="superscript"/>
              </w:rPr>
              <w:t>(5)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20,201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r>
      <w:tr>
        <w:trPr>
          <w:trHeight w:val="244"/>
        </w:trPr>
        <w:tc>
          <w:tcPr>
            <w:tcW w:w="7120" w:type="dxa"/>
            <w:vAlign w:val="bottom"/>
            <w:gridSpan w:val="3"/>
            <w:shd w:val="clear" w:color="auto" w:fill="D5EEEE"/>
          </w:tcPr>
          <w:p>
            <w:pPr>
              <w:spacing w:after="0" w:line="243" w:lineRule="exact"/>
              <w:rPr>
                <w:sz w:val="20"/>
                <w:szCs w:val="20"/>
                <w:color w:val="auto"/>
              </w:rPr>
            </w:pPr>
            <w:r>
              <w:rPr>
                <w:rFonts w:ascii="Times New Roman" w:cs="Times New Roman" w:eastAsia="Times New Roman" w:hAnsi="Times New Roman"/>
                <w:sz w:val="20"/>
                <w:szCs w:val="20"/>
                <w:color w:val="auto"/>
              </w:rPr>
              <w:t>Julianne Bruno</w:t>
            </w:r>
            <w:r>
              <w:rPr>
                <w:rFonts w:ascii="Times New Roman" w:cs="Times New Roman" w:eastAsia="Times New Roman" w:hAnsi="Times New Roman"/>
                <w:sz w:val="26"/>
                <w:szCs w:val="26"/>
                <w:color w:val="auto"/>
                <w:vertAlign w:val="superscript"/>
              </w:rPr>
              <w:t>(6)</w:t>
            </w:r>
          </w:p>
        </w:tc>
        <w:tc>
          <w:tcPr>
            <w:tcW w:w="17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137,032</w:t>
            </w:r>
          </w:p>
        </w:tc>
        <w:tc>
          <w:tcPr>
            <w:tcW w:w="17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EEE"/>
          </w:tcPr>
          <w:p>
            <w:pPr>
              <w:spacing w:after="0"/>
              <w:rPr>
                <w:sz w:val="21"/>
                <w:szCs w:val="21"/>
                <w:color w:val="auto"/>
              </w:rPr>
            </w:pPr>
          </w:p>
        </w:tc>
      </w:tr>
      <w:tr>
        <w:trPr>
          <w:trHeight w:val="244"/>
        </w:trPr>
        <w:tc>
          <w:tcPr>
            <w:tcW w:w="7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Christopher Cain, Ph.D.</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r>
      <w:tr>
        <w:trPr>
          <w:trHeight w:val="244"/>
        </w:trPr>
        <w:tc>
          <w:tcPr>
            <w:tcW w:w="712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Peter Harwin</w:t>
            </w:r>
          </w:p>
        </w:tc>
        <w:tc>
          <w:tcPr>
            <w:tcW w:w="160" w:type="dxa"/>
            <w:vAlign w:val="bottom"/>
            <w:shd w:val="clear" w:color="auto" w:fill="D5EEEE"/>
          </w:tcPr>
          <w:p>
            <w:pPr>
              <w:spacing w:after="0"/>
              <w:rPr>
                <w:sz w:val="21"/>
                <w:szCs w:val="21"/>
                <w:color w:val="auto"/>
              </w:rPr>
            </w:pPr>
          </w:p>
        </w:tc>
        <w:tc>
          <w:tcPr>
            <w:tcW w:w="1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EEE"/>
          </w:tcPr>
          <w:p>
            <w:pPr>
              <w:spacing w:after="0"/>
              <w:rPr>
                <w:sz w:val="21"/>
                <w:szCs w:val="21"/>
                <w:color w:val="auto"/>
              </w:rPr>
            </w:pPr>
          </w:p>
        </w:tc>
      </w:tr>
      <w:tr>
        <w:trPr>
          <w:trHeight w:val="244"/>
        </w:trPr>
        <w:tc>
          <w:tcPr>
            <w:tcW w:w="7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Michael Landsittel</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r>
      <w:tr>
        <w:trPr>
          <w:trHeight w:val="244"/>
        </w:trPr>
        <w:tc>
          <w:tcPr>
            <w:tcW w:w="7120" w:type="dxa"/>
            <w:vAlign w:val="bottom"/>
            <w:gridSpan w:val="3"/>
            <w:shd w:val="clear" w:color="auto" w:fill="D5EEEE"/>
          </w:tcPr>
          <w:p>
            <w:pPr>
              <w:spacing w:after="0"/>
              <w:rPr>
                <w:sz w:val="20"/>
                <w:szCs w:val="20"/>
                <w:color w:val="auto"/>
              </w:rPr>
            </w:pPr>
            <w:r>
              <w:rPr>
                <w:rFonts w:ascii="Times New Roman" w:cs="Times New Roman" w:eastAsia="Times New Roman" w:hAnsi="Times New Roman"/>
                <w:sz w:val="20"/>
                <w:szCs w:val="20"/>
                <w:color w:val="auto"/>
              </w:rPr>
              <w:t>Cameron Turtle, D.Phil</w:t>
            </w:r>
          </w:p>
        </w:tc>
        <w:tc>
          <w:tcPr>
            <w:tcW w:w="160" w:type="dxa"/>
            <w:vAlign w:val="bottom"/>
            <w:shd w:val="clear" w:color="auto" w:fill="D5EEEE"/>
          </w:tcPr>
          <w:p>
            <w:pPr>
              <w:spacing w:after="0"/>
              <w:rPr>
                <w:sz w:val="21"/>
                <w:szCs w:val="21"/>
                <w:color w:val="auto"/>
              </w:rPr>
            </w:pPr>
          </w:p>
        </w:tc>
        <w:tc>
          <w:tcPr>
            <w:tcW w:w="1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EEE"/>
          </w:tcPr>
          <w:p>
            <w:pPr>
              <w:spacing w:after="0"/>
              <w:rPr>
                <w:sz w:val="21"/>
                <w:szCs w:val="21"/>
                <w:color w:val="auto"/>
              </w:rPr>
            </w:pPr>
          </w:p>
        </w:tc>
      </w:tr>
      <w:tr>
        <w:trPr>
          <w:trHeight w:val="346"/>
        </w:trPr>
        <w:tc>
          <w:tcPr>
            <w:tcW w:w="7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All current executive officers and directors as a group (11 persons)</w:t>
            </w:r>
            <w:r>
              <w:rPr>
                <w:rFonts w:ascii="Times New Roman" w:cs="Times New Roman" w:eastAsia="Times New Roman" w:hAnsi="Times New Roman"/>
                <w:sz w:val="26"/>
                <w:szCs w:val="26"/>
                <w:color w:val="auto"/>
                <w:vertAlign w:val="superscript"/>
              </w:rPr>
              <w:t>(7)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239,151</w:t>
            </w: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0.40%</w:t>
            </w:r>
          </w:p>
        </w:tc>
      </w:tr>
    </w:tbl>
    <w:p>
      <w:pPr>
        <w:spacing w:after="0" w:line="1" w:lineRule="exact"/>
        <w:rPr>
          <w:sz w:val="20"/>
          <w:szCs w:val="20"/>
          <w:color w:val="auto"/>
        </w:rPr>
      </w:pPr>
    </w:p>
    <w:p>
      <w:pPr>
        <w:jc w:val="both"/>
        <w:ind w:left="480" w:hanging="480"/>
        <w:spacing w:after="0" w:line="241" w:lineRule="auto"/>
        <w:tabs>
          <w:tab w:leader="none" w:pos="480" w:val="left"/>
        </w:tabs>
        <w:numPr>
          <w:ilvl w:val="0"/>
          <w:numId w:val="7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This information is based on a Schedule 13D filed by Fairmount Funds Management LLC on February 11, 2026. Consists of (i) 5,809,000 shares of common stock directly held by Fairmount Healthcare Fund II L.P. ("Fund II"), (ii) 2,904,000 shares of Common Stock directly held by Fairmount Healthcare Co-Invest V L.P. ("Co-Invest"), (iii) approximately 2,454,000 shares issuable upon the conversion of approximately 2,454 shares of Series B Non-Voting Convertible Preferred Stock (the “Series B Preferred Stock”) directly held by Fund II, (iv) 1,148,000 shares issuable upon the conversion of 1,148 shares of Series C Non-Voting Convertible Preferred Stock held by Fund II, and (v) 574,000 shares issuable upon the conversion of 574 shares of Series C Non-Voting Convertible Preferred Stock directly held by Co-Invest. Excludes approximately 13,911,000 shares of Common Stock issuable upon conversion of approximately 13,911 shares of Series B Preferred Stock directly held by Fund II. The conversion of the shares of Series B Preferred Stock and Series C Preferred Stock is each subject to a beneficial ownership limitation for the holder, together with its affiliates, of 19.99% of the outstanding shares of Common Stock. The securities excluded reflect shares of Common Stock issuable upon conversion of the shares of Series B Preferred Stock in excess of such beneficial ownership limitations. At such time as Fairmount and its affiliates beneficially own 9.0% or less of the outstanding shares of Common Stock, the beneficial ownership limitations with respect to each of the Series B Preferred Stock and Series C Preferred Stock will automatically reduce to 9.99%. Fairmount Healthcare Fund II GP LLC is the general partner of Fund II. Fairmount Funds Management LLC (“Fairmount”) provides discretionary investment management services to qualified investors through its private pooled investment vehicles, including Fund II. Fairmount, as the investment manager, along with Fairmount Healthcare Fund II GP LLC, as the general partner, exercise shared voting and dispositive power over the shares held by Fund II. The address for the entities listed above is 200 Barr Harbor Drive, Suite 400, West Conshohocken, PA 19428.</w:t>
      </w:r>
    </w:p>
    <w:p>
      <w:pPr>
        <w:spacing w:after="0" w:line="9" w:lineRule="exact"/>
        <w:rPr>
          <w:rFonts w:ascii="Times New Roman" w:cs="Times New Roman" w:eastAsia="Times New Roman" w:hAnsi="Times New Roman"/>
          <w:sz w:val="20"/>
          <w:szCs w:val="20"/>
          <w:i w:val="1"/>
          <w:iCs w:val="1"/>
          <w:color w:val="auto"/>
        </w:rPr>
      </w:pPr>
    </w:p>
    <w:p>
      <w:pPr>
        <w:jc w:val="both"/>
        <w:ind w:left="480" w:hanging="480"/>
        <w:spacing w:after="0" w:line="248" w:lineRule="auto"/>
        <w:tabs>
          <w:tab w:leader="none" w:pos="480" w:val="left"/>
        </w:tabs>
        <w:numPr>
          <w:ilvl w:val="0"/>
          <w:numId w:val="7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This information is based on a Schedule 13D filed by Venrock Healthcare Capital Partners III, L.P. (“VHCP III”) on February 17, 2026. Consists of (i) 692,909 shares of common stock held by VHCP III, (ii) 69,331 shares of common stock held by VHCP</w:t>
      </w:r>
    </w:p>
    <w:p>
      <w:pPr>
        <w:sectPr>
          <w:pgSz w:w="12960" w:h="17280" w:orient="portrait"/>
          <w:cols w:equalWidth="0" w:num="1">
            <w:col w:w="10800"/>
          </w:cols>
          <w:pgMar w:left="1080" w:top="1440" w:right="1080" w:bottom="751" w:gutter="0" w:footer="0" w:header="0"/>
        </w:sectPr>
      </w:pP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960" w:h="17280" w:orient="portrait"/>
          <w:cols w:equalWidth="0" w:num="1">
            <w:col w:w="10800"/>
          </w:cols>
          <w:pgMar w:left="1080" w:top="1440" w:right="1080" w:bottom="751" w:gutter="0" w:footer="0" w:header="0"/>
          <w:type w:val="continuous"/>
        </w:sectPr>
      </w:pPr>
    </w:p>
    <w:bookmarkStart w:id="156" w:name="page157"/>
    <w:bookmarkEnd w:id="156"/>
    <w:p>
      <w:pPr>
        <w:spacing w:after="0" w:line="213" w:lineRule="exact"/>
        <w:rPr>
          <w:sz w:val="20"/>
          <w:szCs w:val="20"/>
          <w:color w:val="auto"/>
        </w:rPr>
      </w:pPr>
    </w:p>
    <w:p>
      <w:pPr>
        <w:jc w:val="both"/>
        <w:ind w:left="480"/>
        <w:spacing w:after="0" w:line="245" w:lineRule="auto"/>
        <w:rPr>
          <w:sz w:val="20"/>
          <w:szCs w:val="20"/>
          <w:color w:val="auto"/>
        </w:rPr>
      </w:pPr>
      <w:r>
        <w:rPr>
          <w:rFonts w:ascii="Times New Roman" w:cs="Times New Roman" w:eastAsia="Times New Roman" w:hAnsi="Times New Roman"/>
          <w:sz w:val="20"/>
          <w:szCs w:val="20"/>
          <w:i w:val="1"/>
          <w:iCs w:val="1"/>
          <w:color w:val="auto"/>
        </w:rPr>
        <w:t>Co-Investment Holdings III, LLC (“VHCP Co-Investment III”), and (iii) 2,841,355 shares of common stock held by held by Venrock Healthcare Capital Partners EG, L.P. (“VHCP EG”). VHCP Management III is the general partner of VHCP III and the manager of VHCP Co-Investment III. VHCP Management EG is the general partner of VHCP EG. Messrs. Shah and Koh are the voting members of VHCP Management III and VHCP Management EG. The address for the entities listed above is 7 Bryant Park, 23rd Floor, New York, NY 10018.</w:t>
      </w:r>
    </w:p>
    <w:p>
      <w:pPr>
        <w:spacing w:after="0" w:line="2" w:lineRule="exact"/>
        <w:rPr>
          <w:sz w:val="20"/>
          <w:szCs w:val="20"/>
          <w:color w:val="auto"/>
        </w:rPr>
      </w:pPr>
    </w:p>
    <w:p>
      <w:pPr>
        <w:ind w:left="480" w:hanging="480"/>
        <w:spacing w:after="0"/>
        <w:tabs>
          <w:tab w:leader="none" w:pos="480" w:val="left"/>
        </w:tabs>
        <w:numPr>
          <w:ilvl w:val="0"/>
          <w:numId w:val="7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Consists of (i) 931 shares of our common stock held by Ms. Firmani and (ii) 11,390 shares of our common stock issuable upon the exercise of options held by Ms. Firmani exercisable within 60 days of April 22, 2026.</w:t>
      </w:r>
    </w:p>
    <w:p>
      <w:pPr>
        <w:ind w:left="480" w:hanging="480"/>
        <w:spacing w:after="0"/>
        <w:tabs>
          <w:tab w:leader="none" w:pos="480" w:val="left"/>
        </w:tabs>
        <w:numPr>
          <w:ilvl w:val="0"/>
          <w:numId w:val="7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Consists of (i) 6,002 shares of our common stock held by Dr. Schambye and (ii) 63,595 shares of our common stock issuable upon the exercise of options held by Dr. Schambye exercisable within 60 days of April 22, 2026.</w:t>
      </w:r>
    </w:p>
    <w:p>
      <w:pPr>
        <w:ind w:left="480" w:hanging="480"/>
        <w:spacing w:after="0"/>
        <w:tabs>
          <w:tab w:leader="none" w:pos="480" w:val="left"/>
        </w:tabs>
        <w:numPr>
          <w:ilvl w:val="0"/>
          <w:numId w:val="7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Consists of (i) 1,854 shares of our common stock held by Mr. Winslow and (ii) 18,347 shares of our common stock issuable upon the exercise of options held by Mr. Winslow exercisable within 60 days after April 22, 2026.</w:t>
      </w:r>
    </w:p>
    <w:p>
      <w:pPr>
        <w:ind w:left="480" w:hanging="480"/>
        <w:spacing w:after="0"/>
        <w:tabs>
          <w:tab w:leader="none" w:pos="480" w:val="left"/>
        </w:tabs>
        <w:numPr>
          <w:ilvl w:val="0"/>
          <w:numId w:val="7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Consists of 137,032 shares of our common stock held by Ms. Bruno.</w:t>
      </w:r>
    </w:p>
    <w:p>
      <w:pPr>
        <w:ind w:left="480" w:hanging="480"/>
        <w:spacing w:after="0" w:line="247" w:lineRule="auto"/>
        <w:tabs>
          <w:tab w:leader="none" w:pos="480" w:val="left"/>
        </w:tabs>
        <w:numPr>
          <w:ilvl w:val="0"/>
          <w:numId w:val="7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See footnotes (3), (5) and (6) above. Also includes Becker Hewes, our Chief Medical Officer and Sherwin Sattarzadeh, our Chief Operating Officer.</w:t>
      </w: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960" w:h="17280" w:orient="portrait"/>
          <w:cols w:equalWidth="0" w:num="1">
            <w:col w:w="10800"/>
          </w:cols>
          <w:pgMar w:left="1080" w:top="1440" w:right="1080" w:bottom="751" w:gutter="0" w:footer="0" w:header="0"/>
          <w:type w:val="continuous"/>
        </w:sectPr>
      </w:pPr>
    </w:p>
    <w:bookmarkStart w:id="157" w:name="page158"/>
    <w:bookmarkEnd w:id="157"/>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24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The following table presents aggregate summary information as of December 31, 2025, regarding the shares of our common stock that may be issued upon the exercise of options and the vesting of restricted stock units under all of our existing equity compensation plans: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184"/>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184"/>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r>
      <w:tr>
        <w:trPr>
          <w:trHeight w:val="184"/>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remaining</w:t>
            </w:r>
          </w:p>
        </w:tc>
      </w:tr>
      <w:tr>
        <w:trPr>
          <w:trHeight w:val="184"/>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available</w:t>
            </w:r>
          </w:p>
        </w:tc>
      </w:tr>
      <w:tr>
        <w:trPr>
          <w:trHeight w:val="184"/>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(b)</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future</w:t>
            </w:r>
          </w:p>
        </w:tc>
      </w:tr>
      <w:tr>
        <w:trPr>
          <w:trHeight w:val="184"/>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issuance</w:t>
            </w:r>
          </w:p>
        </w:tc>
      </w:tr>
      <w:tr>
        <w:trPr>
          <w:trHeight w:val="184"/>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 be issued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average</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under equity</w:t>
            </w:r>
          </w:p>
        </w:tc>
      </w:tr>
      <w:tr>
        <w:trPr>
          <w:trHeight w:val="184"/>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upon exercise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exercise price</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r>
      <w:tr>
        <w:trPr>
          <w:trHeight w:val="184"/>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outstanding</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of outstanding</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plans (excluding</w:t>
            </w:r>
          </w:p>
        </w:tc>
      </w:tr>
      <w:tr>
        <w:trPr>
          <w:trHeight w:val="184"/>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options,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r>
      <w:tr>
        <w:trPr>
          <w:trHeight w:val="184"/>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warrants and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warrants and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reflected in</w:t>
            </w: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rights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rights</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column (a))</w:t>
            </w:r>
          </w:p>
        </w:tc>
      </w:tr>
      <w:tr>
        <w:trPr>
          <w:trHeight w:val="225"/>
        </w:trPr>
        <w:tc>
          <w:tcPr>
            <w:tcW w:w="6080" w:type="dxa"/>
            <w:vAlign w:val="bottom"/>
            <w:tcBorders>
              <w:top w:val="single" w:sz="8" w:color="auto"/>
            </w:tcBorders>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Equity compensation plans approved by security holders</w:t>
            </w:r>
            <w:r>
              <w:rPr>
                <w:rFonts w:ascii="Times New Roman" w:cs="Times New Roman" w:eastAsia="Times New Roman" w:hAnsi="Times New Roman"/>
                <w:sz w:val="26"/>
                <w:szCs w:val="26"/>
                <w:color w:val="auto"/>
                <w:vertAlign w:val="superscript"/>
              </w:rPr>
              <w:t>(1)</w:t>
            </w:r>
          </w:p>
        </w:tc>
        <w:tc>
          <w:tcPr>
            <w:tcW w:w="140" w:type="dxa"/>
            <w:vAlign w:val="bottom"/>
            <w:tcBorders>
              <w:top w:val="single" w:sz="8" w:color="D5EEEE"/>
            </w:tcBorders>
            <w:shd w:val="clear" w:color="auto" w:fill="D5EEEE"/>
          </w:tcPr>
          <w:p>
            <w:pPr>
              <w:spacing w:after="0"/>
              <w:rPr>
                <w:sz w:val="19"/>
                <w:szCs w:val="19"/>
                <w:color w:val="auto"/>
              </w:rPr>
            </w:pPr>
          </w:p>
        </w:tc>
        <w:tc>
          <w:tcPr>
            <w:tcW w:w="136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670,840</w:t>
            </w:r>
          </w:p>
        </w:tc>
        <w:tc>
          <w:tcPr>
            <w:tcW w:w="240" w:type="dxa"/>
            <w:vAlign w:val="bottom"/>
            <w:tcBorders>
              <w:top w:val="single" w:sz="8" w:color="D5EEEE"/>
            </w:tcBorders>
            <w:shd w:val="clear" w:color="auto" w:fill="D5EEEE"/>
          </w:tcPr>
          <w:p>
            <w:pPr>
              <w:spacing w:after="0"/>
              <w:rPr>
                <w:sz w:val="19"/>
                <w:szCs w:val="19"/>
                <w:color w:val="auto"/>
              </w:rPr>
            </w:pPr>
          </w:p>
        </w:tc>
        <w:tc>
          <w:tcPr>
            <w:tcW w:w="14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26.69</w:t>
            </w:r>
          </w:p>
        </w:tc>
        <w:tc>
          <w:tcPr>
            <w:tcW w:w="260" w:type="dxa"/>
            <w:vAlign w:val="bottom"/>
            <w:tcBorders>
              <w:top w:val="single" w:sz="8" w:color="D5EEEE"/>
            </w:tcBorders>
            <w:shd w:val="clear" w:color="auto" w:fill="D5EEEE"/>
          </w:tcPr>
          <w:p>
            <w:pPr>
              <w:spacing w:after="0"/>
              <w:rPr>
                <w:sz w:val="19"/>
                <w:szCs w:val="19"/>
                <w:color w:val="auto"/>
              </w:rPr>
            </w:pPr>
          </w:p>
        </w:tc>
        <w:tc>
          <w:tcPr>
            <w:tcW w:w="134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174,141</w:t>
            </w:r>
          </w:p>
        </w:tc>
        <w:tc>
          <w:tcPr>
            <w:tcW w:w="60" w:type="dxa"/>
            <w:vAlign w:val="bottom"/>
            <w:tcBorders>
              <w:top w:val="single" w:sz="8" w:color="D5EEEE"/>
            </w:tcBorders>
            <w:shd w:val="clear" w:color="auto" w:fill="D5EEEE"/>
          </w:tcPr>
          <w:p>
            <w:pPr>
              <w:spacing w:after="0"/>
              <w:rPr>
                <w:sz w:val="19"/>
                <w:szCs w:val="19"/>
                <w:color w:val="auto"/>
              </w:rPr>
            </w:pPr>
          </w:p>
        </w:tc>
      </w:tr>
      <w:tr>
        <w:trPr>
          <w:trHeight w:val="230"/>
        </w:trPr>
        <w:tc>
          <w:tcPr>
            <w:tcW w:w="6080" w:type="dxa"/>
            <w:vAlign w:val="bottom"/>
            <w:tcBorders>
              <w:bottom w:val="single" w:sz="8" w:color="D5EEEE"/>
            </w:tcBorders>
          </w:tcPr>
          <w:p>
            <w:pPr>
              <w:spacing w:after="0" w:line="230" w:lineRule="exact"/>
              <w:rPr>
                <w:sz w:val="20"/>
                <w:szCs w:val="20"/>
                <w:color w:val="auto"/>
              </w:rPr>
            </w:pPr>
            <w:r>
              <w:rPr>
                <w:rFonts w:ascii="Times New Roman" w:cs="Times New Roman" w:eastAsia="Times New Roman" w:hAnsi="Times New Roman"/>
                <w:sz w:val="20"/>
                <w:szCs w:val="20"/>
                <w:color w:val="auto"/>
              </w:rPr>
              <w:t>Equity compensation plans not approved by security holders</w:t>
            </w:r>
            <w:r>
              <w:rPr>
                <w:rFonts w:ascii="Times New Roman" w:cs="Times New Roman" w:eastAsia="Times New Roman" w:hAnsi="Times New Roman"/>
                <w:sz w:val="26"/>
                <w:szCs w:val="26"/>
                <w:color w:val="auto"/>
                <w:vertAlign w:val="superscript"/>
              </w:rPr>
              <w:t>(2)</w:t>
            </w:r>
          </w:p>
        </w:tc>
        <w:tc>
          <w:tcPr>
            <w:tcW w:w="140" w:type="dxa"/>
            <w:vAlign w:val="bottom"/>
            <w:tcBorders>
              <w:bottom w:val="single" w:sz="8" w:color="D5EEEE"/>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312,535</w:t>
            </w:r>
          </w:p>
        </w:tc>
        <w:tc>
          <w:tcPr>
            <w:tcW w:w="240" w:type="dxa"/>
            <w:vAlign w:val="bottom"/>
            <w:tcBorders>
              <w:bottom w:val="single" w:sz="8" w:color="D5EEE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32.00</w:t>
            </w:r>
          </w:p>
        </w:tc>
        <w:tc>
          <w:tcPr>
            <w:tcW w:w="260" w:type="dxa"/>
            <w:vAlign w:val="bottom"/>
            <w:tcBorders>
              <w:bottom w:val="single" w:sz="8" w:color="D5EEEE"/>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7,687,465</w:t>
            </w:r>
          </w:p>
        </w:tc>
        <w:tc>
          <w:tcPr>
            <w:tcW w:w="60" w:type="dxa"/>
            <w:vAlign w:val="bottom"/>
            <w:tcBorders>
              <w:bottom w:val="single" w:sz="8" w:color="D5EEEE"/>
            </w:tcBorders>
          </w:tcPr>
          <w:p>
            <w:pPr>
              <w:spacing w:after="0"/>
              <w:rPr>
                <w:sz w:val="20"/>
                <w:szCs w:val="20"/>
                <w:color w:val="auto"/>
              </w:rPr>
            </w:pPr>
          </w:p>
        </w:tc>
      </w:tr>
      <w:tr>
        <w:trPr>
          <w:trHeight w:val="225"/>
        </w:trPr>
        <w:tc>
          <w:tcPr>
            <w:tcW w:w="608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140" w:type="dxa"/>
            <w:vAlign w:val="bottom"/>
            <w:shd w:val="clear" w:color="auto" w:fill="D5EEEE"/>
          </w:tcPr>
          <w:p>
            <w:pPr>
              <w:spacing w:after="0"/>
              <w:rPr>
                <w:sz w:val="19"/>
                <w:szCs w:val="19"/>
                <w:color w:val="auto"/>
              </w:rPr>
            </w:pPr>
          </w:p>
        </w:tc>
        <w:tc>
          <w:tcPr>
            <w:tcW w:w="136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983,375</w:t>
            </w:r>
          </w:p>
        </w:tc>
        <w:tc>
          <w:tcPr>
            <w:tcW w:w="240" w:type="dxa"/>
            <w:vAlign w:val="bottom"/>
            <w:shd w:val="clear" w:color="auto" w:fill="D5EEEE"/>
          </w:tcPr>
          <w:p>
            <w:pPr>
              <w:spacing w:after="0"/>
              <w:rPr>
                <w:sz w:val="19"/>
                <w:szCs w:val="19"/>
                <w:color w:val="auto"/>
              </w:rPr>
            </w:pPr>
          </w:p>
        </w:tc>
        <w:tc>
          <w:tcPr>
            <w:tcW w:w="14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26.69</w:t>
            </w:r>
          </w:p>
        </w:tc>
        <w:tc>
          <w:tcPr>
            <w:tcW w:w="260" w:type="dxa"/>
            <w:vAlign w:val="bottom"/>
            <w:shd w:val="clear" w:color="auto" w:fill="D5EEEE"/>
          </w:tcPr>
          <w:p>
            <w:pPr>
              <w:spacing w:after="0"/>
              <w:rPr>
                <w:sz w:val="19"/>
                <w:szCs w:val="19"/>
                <w:color w:val="auto"/>
              </w:rPr>
            </w:pPr>
          </w:p>
        </w:tc>
        <w:tc>
          <w:tcPr>
            <w:tcW w:w="134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7,861,606</w:t>
            </w:r>
          </w:p>
        </w:tc>
        <w:tc>
          <w:tcPr>
            <w:tcW w:w="60" w:type="dxa"/>
            <w:vAlign w:val="bottom"/>
            <w:shd w:val="clear" w:color="auto" w:fill="D5EEEE"/>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840" w:hanging="480"/>
        <w:spacing w:after="0" w:line="230" w:lineRule="auto"/>
        <w:tabs>
          <w:tab w:leader="none" w:pos="840" w:val="left"/>
        </w:tabs>
        <w:numPr>
          <w:ilvl w:val="0"/>
          <w:numId w:val="7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Securities included in column (a) consist of options to purchase shares of our common stock issued under our 2020 Stock Option Plan and 2020 Equity Incentive Plan, and options to purchase shares of our common stock under the Damora Therapeutics, Inc. 2025 Equity Incentive Plan that were assumed by us in connection with the Asset Acquisition. Securities included in column (c) represent shares of our common stock available for future issuance under our 2020 Equity Incentive Plan (no further awards will be granted under the assumed Damora Therapeutics, Inc. 2025 Equity Incentive Plan). The 2020 Equity Incentive Plan has an evergreen provision that allows for an annual increase in the number of shares available for issuance under the 2020 Equity Incentive Plan to be added on the first day of each fiscal year, beginning in fiscal year 2021. The evergreen provides for an automatic increase in the number of shares available for issuance equal to 5% of the number of outstanding shares of our common stock on the immediately preceding December 31. This total does not reflect the automatic increase in the number of shares available for issuance under the 2020 Equity Incentive Plan that was effective on January 1, 2026 pursuant the evergreen provision. On February 9, 2026, the Company’s stockholders approved the 2026 Equity Incentive Plan and the 2026 Employee Stock Purchase Plan. Following approval of the 2026 Equity Incentive Plan, no further awards will be granted under the 2020 Equity Incentive Plan.</w:t>
      </w:r>
    </w:p>
    <w:p>
      <w:pPr>
        <w:spacing w:after="0" w:line="1" w:lineRule="exact"/>
        <w:rPr>
          <w:rFonts w:ascii="Times New Roman" w:cs="Times New Roman" w:eastAsia="Times New Roman" w:hAnsi="Times New Roman"/>
          <w:sz w:val="20"/>
          <w:szCs w:val="20"/>
          <w:i w:val="1"/>
          <w:iCs w:val="1"/>
          <w:color w:val="auto"/>
        </w:rPr>
      </w:pPr>
    </w:p>
    <w:p>
      <w:pPr>
        <w:jc w:val="both"/>
        <w:ind w:left="840" w:hanging="480"/>
        <w:spacing w:after="0" w:line="229" w:lineRule="auto"/>
        <w:tabs>
          <w:tab w:leader="none" w:pos="840" w:val="left"/>
        </w:tabs>
        <w:numPr>
          <w:ilvl w:val="0"/>
          <w:numId w:val="7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Represents our 2022 Inducement Plan (the “Inducement Plan”), which was adopted by our Board of Directors on November 17, 2022 and amended on December 13, 2025. Our Board of Directors adopted the Inducement Plan to enhance our ability to attract, retain and motivate persons who are expected to make important contributions to the Company by providing these individuals with equity ownership opportunities. The Inducement Plan was adopted by the Board of Directors without stockholder approval pursuant to Nasdaq Listing Rule 5635(c)(4). As required under Nasdaq Listing Rule 5635(c)(4), awards under the Inducement Plan may only be made to a new employee where the award is a material inducement to the employee’s entering into employment with the Company or its subsidiaries. The Inducement Plan provides for the grant of equity-based awards in the form of non-qualified stock options, stock appreciation rights, restricted stock, RSUs and other stock or cash-based awards. A total of 8,000,000 shares of our common stock have been reserved for issuance under the Inducement Plan, and as of April 22, 2026, no shares have been issued under the Inducement Plan. If an award under the Inducement Plan expires, lapses or is terminated, exchanged for cash, surrendered, repurchased, canceled without having been fully exercised or forfeited, any unused shares subject to the award will again be available for new grants under the Inducement Plan.</w:t>
      </w: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960" w:h="17280" w:orient="portrait"/>
          <w:cols w:equalWidth="0" w:num="1">
            <w:col w:w="10800"/>
          </w:cols>
          <w:pgMar w:left="1080" w:top="1440" w:right="1080" w:bottom="751" w:gutter="0" w:footer="0" w:header="0"/>
          <w:type w:val="continuous"/>
        </w:sectPr>
      </w:pPr>
    </w:p>
    <w:bookmarkStart w:id="158" w:name="page159"/>
    <w:bookmarkEnd w:id="158"/>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b w:val="1"/>
          <w:bCs w:val="1"/>
          <w:color w:val="auto"/>
        </w:rPr>
        <w:t>CERTAIN RELATIONSHIPS AND RELATED PERSON TRANSACTIONS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Person Transactions</w:t>
      </w:r>
    </w:p>
    <w:p>
      <w:pPr>
        <w:spacing w:after="0" w:line="24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Other than the relationships and transactions described below, since January 1, 2024, there was no transaction or series of transactions to which we were or will be a party in which:</w:t>
      </w:r>
    </w:p>
    <w:p>
      <w:pPr>
        <w:spacing w:after="0" w:line="64" w:lineRule="exact"/>
        <w:rPr>
          <w:sz w:val="20"/>
          <w:szCs w:val="20"/>
          <w:color w:val="auto"/>
        </w:rPr>
      </w:pPr>
    </w:p>
    <w:p>
      <w:pPr>
        <w:ind w:left="780" w:right="180" w:hanging="370"/>
        <w:spacing w:after="0" w:line="276" w:lineRule="auto"/>
        <w:tabs>
          <w:tab w:leader="none" w:pos="78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the amount involved exceeded or will exceed the lesser of (i) $120,000 or (ii) 1% of the average of our total assets at year-end for the last two completed fiscal years; and</w:t>
      </w:r>
    </w:p>
    <w:p>
      <w:pPr>
        <w:spacing w:after="0" w:line="64" w:lineRule="exact"/>
        <w:rPr>
          <w:rFonts w:ascii="Arial" w:cs="Arial" w:eastAsia="Arial" w:hAnsi="Arial"/>
          <w:sz w:val="20"/>
          <w:szCs w:val="20"/>
          <w:color w:val="auto"/>
        </w:rPr>
      </w:pPr>
    </w:p>
    <w:p>
      <w:pPr>
        <w:ind w:left="780" w:right="540" w:hanging="370"/>
        <w:spacing w:after="0" w:line="276" w:lineRule="auto"/>
        <w:tabs>
          <w:tab w:leader="none" w:pos="78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any of our directors, executive officers or holders of more than five percent of our capital stock, or any member of the immediate family of the foregoing persons, had or will have a direct or indirect material interest.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 Purchase Agreement with Bridge Medicines</w:t>
      </w:r>
    </w:p>
    <w:p>
      <w:pPr>
        <w:spacing w:after="0" w:line="24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 October 2024, we entered into the Bridge Purchase Agreement with Bridge Medicines, pursuant to which we acquired global rights to Bridge Medicines’ BRM-1420 program, a novel dual ENL-YEATS and FMS-like tyrosine kinase 3 (FLT3) inhibitor for multiple genetic subsets of acute myeloid leukemia, and assumed certain of Bridge Medicines’ liabilities associated with the acquired assets. Pursuant to the Bridge Purchase Agreement, as consideration to Bridge Medicines for the Asset Purchase, we issued to Bridge Medicines 62,594 shares of common stock and 160.562 shares of Series A Preferred Stock. Each share of Series A Preferred Stock is convertible into 1,000 shares of common stock at the election of the holder of such Preferred Stock. Carl Goldfischer, former Chair of our Board of Directors was also Executive Chairman of Bridge Medicines. Two of our stockholders at the time of the transaction, Bay City Capital Fund V, L.P. and Bay City Capital Fund V Co-Investment Fund, L.P., were affiliated with Dr. Goldfischer and were also stockholders of Bridge Medicines.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 Agreements</w:t>
      </w:r>
    </w:p>
    <w:p>
      <w:pPr>
        <w:spacing w:after="0" w:line="24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We have entered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Policies and Procedures for Related Person Transactions</w:t>
      </w:r>
    </w:p>
    <w:p>
      <w:pPr>
        <w:spacing w:after="0" w:line="2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adopted a written related party transactions policy requiring that transactions with directors, officers and holders of 5% or more of our voting securities and their affiliates, each a related party, be approved by our audit committee.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 Our audit committee charter provides that the audit committee shall review and approve any related party transactions.</w:t>
      </w:r>
    </w:p>
    <w:p>
      <w:pPr>
        <w:sectPr>
          <w:pgSz w:w="12960" w:h="17280" w:orient="portrait"/>
          <w:cols w:equalWidth="0" w:num="1">
            <w:col w:w="10740"/>
          </w:cols>
          <w:pgMar w:left="1080" w:top="1440" w:right="114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28</w:t>
      </w:r>
    </w:p>
    <w:p>
      <w:pPr>
        <w:sectPr>
          <w:pgSz w:w="12960" w:h="17280" w:orient="portrait"/>
          <w:cols w:equalWidth="0" w:num="1">
            <w:col w:w="10740"/>
          </w:cols>
          <w:pgMar w:left="1080" w:top="1440" w:right="1140" w:bottom="751" w:gutter="0" w:footer="0" w:header="0"/>
          <w:type w:val="continuous"/>
        </w:sectPr>
      </w:pPr>
    </w:p>
    <w:bookmarkStart w:id="159" w:name="page160"/>
    <w:bookmarkEnd w:id="159"/>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AUDIT COMMITTEE REPORT</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the Audit Committee of the Board of Directors</w:t>
      </w:r>
    </w:p>
    <w:p>
      <w:pPr>
        <w:spacing w:after="0" w:line="24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This report is submitted by the Audit Committee. At the time of approval of this report, the Audit Committee consisted of the four directors whose names appear below. None of the members of the Audit Committee is an officer or employee of the Company, and the Board of Directors has determined that each member of the Audit Committee is “independent” for audit committee purposes as that term is defined under Rule 10A-3 of the Exchange Act and the applicable rules of Nasdaq. Each member of the Audit Committee meets the requirements for financial literacy under the applicable rules and regulations of the SEC and Nasdaq. The Board of Directors previously designated Dr. Goldfischer as an “audit committee financial expert,” as defined under the applicable rules of the SEC. The Audit Committee operates under a written charter adopted by the Board of Directors.</w:t>
      </w:r>
    </w:p>
    <w:p>
      <w:pPr>
        <w:spacing w:after="0" w:line="200"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20"/>
          <w:szCs w:val="20"/>
          <w:color w:val="auto"/>
        </w:rPr>
        <w:t>The Audit Committee’s general role is to assist the Board of Directors in monitoring our financial reporting process and related matters. Its specific responsibilities are set forth in its charter.</w:t>
      </w:r>
    </w:p>
    <w:p>
      <w:pPr>
        <w:spacing w:after="0" w:line="16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Audit Committee has reviewed the Company’s financial statements for the fiscal year ended December 31, 2025 and met with management, as well as with representatives of EY Godkendt Revisionspartnerselskab, the Company’s independent registered public accounting firm for the fiscal year ended December 31, 2025, to discuss the consolidated financial statements. The Audit Committee also discussed with members of EY Godkendt Revisionspartnerselskab the matters required to be discussed by the Auditing Standard No. 1301, “Communication with Audit Committees,” as adopted by the Public Company Accounting Oversight Board (“PCAOB”).</w:t>
      </w:r>
    </w:p>
    <w:p>
      <w:pPr>
        <w:spacing w:after="0" w:line="19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In addition, the Audit Committee received the written disclosures and the letter from EY Godkendt Revisionspartnerselskab required by applicable requirements of the PCAOB regarding the independent accountant’s communications with the Audit Committee concerning independence and discussed with members of EY Godkendt Revisionspartnerselskab its independence.</w:t>
      </w:r>
    </w:p>
    <w:p>
      <w:pPr>
        <w:spacing w:after="0" w:line="188"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20"/>
          <w:szCs w:val="20"/>
          <w:color w:val="auto"/>
        </w:rPr>
        <w:t>Based on these discussions, the financial statement review and other matters it deemed relevant, the Audit Committee recommended to the Board of Directors that the Company’s audited consolidated financial statements for the fiscal year ended December 31, 2025 be included in its Annual Report on Form 10-K for the year ended December 31, 2025.</w:t>
      </w:r>
    </w:p>
    <w:p>
      <w:pPr>
        <w:spacing w:after="0" w:line="188"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20"/>
          <w:szCs w:val="20"/>
          <w:color w:val="auto"/>
        </w:rPr>
        <w:t>The information contained in this Audit Committee report shall not be deemed to be “soliciting material,” “filed” or incorporated by reference into any past or future filing under the Exchange Act or the Securities Act, unless and only to the extent that the Company specifically incorporates it by reference.</w:t>
      </w:r>
    </w:p>
    <w:p>
      <w:pPr>
        <w:spacing w:after="0" w:line="200" w:lineRule="exact"/>
        <w:rPr>
          <w:sz w:val="20"/>
          <w:szCs w:val="20"/>
          <w:color w:val="auto"/>
        </w:rPr>
      </w:pPr>
    </w:p>
    <w:p>
      <w:pPr>
        <w:spacing w:after="0" w:line="2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Respectfully submitted by the</w:t>
      </w:r>
    </w:p>
    <w:p>
      <w:pPr>
        <w:spacing w:after="0" w:line="3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Audit Committee,</w:t>
      </w:r>
    </w:p>
    <w:p>
      <w:pPr>
        <w:spacing w:after="0" w:line="23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Julianne Bruno</w:t>
      </w:r>
    </w:p>
    <w:p>
      <w:pPr>
        <w:spacing w:after="0" w:line="3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Carl Goldfischer, M.D.*</w:t>
      </w:r>
    </w:p>
    <w:p>
      <w:pPr>
        <w:spacing w:after="0" w:line="1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Jayson Dallas, M.D.*</w:t>
      </w:r>
    </w:p>
    <w:p>
      <w:pPr>
        <w:spacing w:after="0" w:line="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Amit D. Munshi*</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i w:val="1"/>
          <w:iCs w:val="1"/>
          <w:color w:val="auto"/>
        </w:rPr>
        <w:t>*Resigned from the Board of Directors, effective March 23, 2026</w:t>
      </w: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960" w:h="17280" w:orient="portrait"/>
          <w:cols w:equalWidth="0" w:num="1">
            <w:col w:w="10800"/>
          </w:cols>
          <w:pgMar w:left="1080" w:top="1440" w:right="1080" w:bottom="751" w:gutter="0" w:footer="0" w:header="0"/>
          <w:type w:val="continuous"/>
        </w:sectPr>
      </w:pPr>
    </w:p>
    <w:bookmarkStart w:id="160" w:name="page161"/>
    <w:bookmarkEnd w:id="160"/>
    <w:p>
      <w:pPr>
        <w:spacing w:after="0" w:line="207" w:lineRule="exact"/>
        <w:rPr>
          <w:sz w:val="20"/>
          <w:szCs w:val="20"/>
          <w:color w:val="auto"/>
        </w:rPr>
      </w:pPr>
    </w:p>
    <w:p>
      <w:pPr>
        <w:jc w:val="center"/>
        <w:ind w:left="1100" w:right="540"/>
        <w:spacing w:after="0" w:line="286" w:lineRule="auto"/>
        <w:rPr>
          <w:sz w:val="20"/>
          <w:szCs w:val="20"/>
          <w:color w:val="auto"/>
        </w:rPr>
      </w:pPr>
      <w:r>
        <w:rPr>
          <w:rFonts w:ascii="Times New Roman" w:cs="Times New Roman" w:eastAsia="Times New Roman" w:hAnsi="Times New Roman"/>
          <w:sz w:val="20"/>
          <w:szCs w:val="20"/>
          <w:b w:val="1"/>
          <w:bCs w:val="1"/>
          <w:color w:val="auto"/>
        </w:rPr>
        <w:t>PROPOSAL 2: APPROVAL, ON AN ADVISORY BASIS, OF THE COMPENSATION PAID TO OUR NAMED EXECUTIVE OFFICERS</w:t>
      </w:r>
    </w:p>
    <w:p>
      <w:pPr>
        <w:spacing w:after="0" w:line="156"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Our Board of Directors is asking you to approve, on a non-binding advisory basis, the compensation of our named executive officers, as disclosed in this Proxy Statement. This item, which is provided pursuant to Section 14A of the Securities Exchange Act of 1934, as amended (the “Exchange Act”), is commonly referred to as a “say-on-pay” resolution.</w:t>
      </w:r>
    </w:p>
    <w:p>
      <w:pPr>
        <w:spacing w:after="0" w:line="18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This say-on-pay proposal gives our stockholders the opportunity to express their views on our named executive officers’ compensation as a whole. This vote is not intended to address any specific element of compensation but rather the overall compensation of our named executive officers and our compensation philosophy, policies and practices described in this Proxy Statement. Please read the “Executive Compensation” section and the compensation tables and narrative disclosure that follow for information about our executive compensation program, including details of our 2025 compensation for our named executive officers. Our Compensation Committee believes that these policies and practices are effective in implementing our compensation philosophy and achieving our compensation program goals.</w:t>
      </w:r>
    </w:p>
    <w:p>
      <w:pPr>
        <w:spacing w:after="0" w:line="20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As an advisory vote, the outcome of the vote on this proposal is not binding. However, our Compensation Committee, which is responsible for designing and administering our executive compensation program, will consider the outcome of this vote when making future executive compensation decisions. We are required to hold a say-on-pay vote at least once every three years, and, subject to the vote outcome on Proposal 3, we have determined to hold a say-on-pay vote every year. Unless our Board modifies its policy on the frequency of holding say-on-pay votes, the next say-on-pay vote will occur at our 2027 annual meeting of stockholders.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BOARD OF DIRECTORS RECOMMENDS THAT YOU VOTE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THE APPROVAL, ON ADVISORY BASIS, OF THE COMPENSATION PAID TO OUR NAMED EXECUTIVE OFFICERS</w:t>
      </w:r>
    </w:p>
    <w:p>
      <w:pPr>
        <w:spacing w:after="0" w:line="220" w:lineRule="exact"/>
        <w:rPr>
          <w:sz w:val="20"/>
          <w:szCs w:val="20"/>
          <w:color w:val="auto"/>
        </w:rPr>
      </w:pPr>
    </w:p>
    <w:p>
      <w:pPr>
        <w:jc w:val="center"/>
        <w:ind w:left="1100" w:right="100"/>
        <w:spacing w:after="0" w:line="286" w:lineRule="auto"/>
        <w:rPr>
          <w:sz w:val="20"/>
          <w:szCs w:val="20"/>
          <w:color w:val="auto"/>
        </w:rPr>
      </w:pPr>
      <w:r>
        <w:rPr>
          <w:rFonts w:ascii="Times New Roman" w:cs="Times New Roman" w:eastAsia="Times New Roman" w:hAnsi="Times New Roman"/>
          <w:sz w:val="20"/>
          <w:szCs w:val="20"/>
          <w:b w:val="1"/>
          <w:bCs w:val="1"/>
          <w:color w:val="auto"/>
        </w:rPr>
        <w:t>PROPERLY AUTHORIZED PROXIES SOLICITED BY THE BOARD OF DIRECTORS WILL BE VOTED “FOR” THE APPROVAL OF PROPOSAL 2 UNLESS INSTRUCTIONS TO THE CONTRARY ARE GIVEN.</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(PROPOSAL 2 ON YOUR PROXY CARD)</w:t>
      </w:r>
    </w:p>
    <w:p>
      <w:pPr>
        <w:sectPr>
          <w:pgSz w:w="12960" w:h="17280" w:orient="portrait"/>
          <w:cols w:equalWidth="0" w:num="1">
            <w:col w:w="10780"/>
          </w:cols>
          <w:pgMar w:left="1080" w:top="1440" w:right="110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2960" w:h="17280" w:orient="portrait"/>
          <w:cols w:equalWidth="0" w:num="1">
            <w:col w:w="10780"/>
          </w:cols>
          <w:pgMar w:left="1080" w:top="1440" w:right="1100" w:bottom="751" w:gutter="0" w:footer="0" w:header="0"/>
          <w:type w:val="continuous"/>
        </w:sectPr>
      </w:pPr>
    </w:p>
    <w:bookmarkStart w:id="161" w:name="page162"/>
    <w:bookmarkEnd w:id="161"/>
    <w:p>
      <w:pPr>
        <w:spacing w:after="0" w:line="20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20"/>
          <w:szCs w:val="20"/>
          <w:b w:val="1"/>
          <w:bCs w:val="1"/>
          <w:color w:val="auto"/>
        </w:rPr>
        <w:t>PROPOSAL 3: ADVISORY VOTE ON THE FREQUENCY OF FUTURE ADVISORY VOTES ON EXECUTIVE COMPENSATION</w:t>
      </w:r>
    </w:p>
    <w:p>
      <w:pPr>
        <w:spacing w:after="0" w:line="1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Pursuant to Section 14A of the Exchange Act, we are providing our stockholders with the opportunity to cast a non-binding advisory vote on the frequency of future advisory votes on executive compensation. Stockholders may specify whether they prefer such votes to occur every one year, two years or three years, or they may abstain from voting. Stockholders are not voting to approve the Board’s recommendation.</w:t>
      </w:r>
    </w:p>
    <w:p>
      <w:pPr>
        <w:spacing w:after="0" w:line="19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After careful consideration, our Board recommends that future advisory votes on executive compensation occur every year (annually). We believe that an annual advisory vote on executive compensation is the most appropriate option for us at this time because it will allow our stockholders to provide more frequent and direct input on our compensation policies and practices, and the resulting compensation for our named executive officers. The Board also believes an annual advisory vote on executive compensation promotes corporate transparency and accountability for the Compensation Committee.</w:t>
      </w:r>
    </w:p>
    <w:p>
      <w:pPr>
        <w:spacing w:after="0" w:line="19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This advisory resolution is non-binding on our Board. The Board will consider the voting results in determining the frequency of future advisory votes, and expects to be guided by the alternative that receives the greatest number of votes, even if that alternative does not receive a majority vote. Notwithstanding the Board’s recommendation and the outcome of the stockholder vote, the Board may in the future decide to conduct advisory votes on a more or less frequent basis and may vary its practice based on factors such as discussions with stockholders and the adoption of material changes to compensation programs.</w:t>
      </w:r>
    </w:p>
    <w:p>
      <w:pPr>
        <w:spacing w:after="0" w:line="19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auto"/>
        </w:rPr>
        <w:t>We are required to hold a vote on the frequency of future advisory votes on executive compensation at least once every six years, and the next such vote is expected to occur at our 2032 annual meeting of stockholders.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BOARD OF DIRECTORS RECOMMENDS THAT YOU VOTE</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ONE YEAR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ON THE FREQUENCY OF FUTURE ADVISORY VOTES TO APPROVE THE COMPENSATION PAID TO OUR</w:t>
      </w:r>
    </w:p>
    <w:p>
      <w:pPr>
        <w:jc w:val="center"/>
        <w:spacing w:after="0"/>
        <w:rPr>
          <w:sz w:val="20"/>
          <w:szCs w:val="20"/>
          <w:color w:val="auto"/>
        </w:rPr>
      </w:pPr>
      <w:r>
        <w:rPr>
          <w:rFonts w:ascii="Times New Roman" w:cs="Times New Roman" w:eastAsia="Times New Roman" w:hAnsi="Times New Roman"/>
          <w:sz w:val="20"/>
          <w:szCs w:val="20"/>
          <w:b w:val="1"/>
          <w:bCs w:val="1"/>
          <w:color w:val="auto"/>
        </w:rPr>
        <w:t>NAMED EXECUTIVE OFFICERS</w:t>
      </w:r>
    </w:p>
    <w:p>
      <w:pPr>
        <w:spacing w:after="0" w:line="200" w:lineRule="exact"/>
        <w:rPr>
          <w:sz w:val="20"/>
          <w:szCs w:val="20"/>
          <w:color w:val="auto"/>
        </w:rPr>
      </w:pPr>
    </w:p>
    <w:p>
      <w:pPr>
        <w:spacing w:after="0" w:line="23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20"/>
          <w:szCs w:val="20"/>
          <w:b w:val="1"/>
          <w:bCs w:val="1"/>
          <w:color w:val="auto"/>
        </w:rPr>
        <w:t>PROPERLY AUTHORIZED PROXIES SOLICITED BY THE BOARD OF DIRECTORS WILL BE VOTED “FOR ONE YEAR” FOR PROPOSAL 3 UNLESS INSTRUCTIONS TO THE CONTRARY ARE GIVEN.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3 ON YOUR PROXY CARD)</w:t>
      </w: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960" w:h="17280" w:orient="portrait"/>
          <w:cols w:equalWidth="0" w:num="1">
            <w:col w:w="10800"/>
          </w:cols>
          <w:pgMar w:left="1080" w:top="1440" w:right="1080" w:bottom="751" w:gutter="0" w:footer="0" w:header="0"/>
          <w:type w:val="continuous"/>
        </w:sectPr>
      </w:pPr>
    </w:p>
    <w:bookmarkStart w:id="162" w:name="page163"/>
    <w:bookmarkEnd w:id="162"/>
    <w:p>
      <w:pPr>
        <w:spacing w:after="0" w:line="20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20"/>
          <w:szCs w:val="20"/>
          <w:b w:val="1"/>
          <w:bCs w:val="1"/>
          <w:color w:val="auto"/>
        </w:rPr>
        <w:t>PROPOSAL 4: RATIFICATION OF THE SELECTION OF INDEPENDENT REGISTERED PUBLIC ACCOUNTING FIRM</w:t>
      </w:r>
    </w:p>
    <w:p>
      <w:pPr>
        <w:spacing w:after="0" w:line="156"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The firm of Ernst &amp; Young LLP, independent registered public accounting firm, has been selected by the Audit Committee as the independent registered public accounting firm for the Company for the fiscal year ending December 31, 2026. EY Godkendt Revisionspartnerselskab served as the independent registered public accounting firm for the Company since 2019 until the Audit Committee selected Ernst &amp; Young LLP as the independent registered public accounting firm for the Company on April 17, 2026. A representative of Ernst &amp; Young LLP is expected to virtually attend the Annual Meeting with the opportunity to make a statement if he or she desires and to respond to appropriate questions.</w:t>
      </w:r>
    </w:p>
    <w:p>
      <w:pPr>
        <w:spacing w:after="0" w:line="19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Our organizational documents do not require that the stockholders ratify the selection of Ernst &amp; Young LLP as the Company’s independent registered public accounting firm. The Company requests such ratification as a matter of good corporate practice. If the stockholders do not ratify the selection, the Audit Committee will reconsider whether to retain Ernst &amp; Young LLP, but still may retain this firm. Even if the selection is ratified, the Audit Committee, in its discretion, may change the appointment at any time during the year if it determines that such a change would be in the best interests of the Company and its stockholders.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Independent Registered Public Accounting Firm Fees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and description of fees incurred by EY Godkendt Revisionspartnerselskab for the fiscal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216" w:lineRule="exact"/>
        <w:rPr>
          <w:sz w:val="20"/>
          <w:szCs w:val="20"/>
          <w:color w:val="auto"/>
        </w:rPr>
      </w:pPr>
    </w:p>
    <w:tbl>
      <w:tblPr>
        <w:tblLayout w:type="fixed"/>
        <w:tblInd w:w="1020" w:type="dxa"/>
        <w:tblCellMar>
          <w:top w:w="0" w:type="dxa"/>
          <w:left w:w="0" w:type="dxa"/>
          <w:bottom w:w="0" w:type="dxa"/>
          <w:right w:w="0" w:type="dxa"/>
        </w:tblCellMar>
      </w:tblPr>
      <w:tr>
        <w:trPr>
          <w:trHeight w:val="203"/>
        </w:trPr>
        <w:tc>
          <w:tcPr>
            <w:tcW w:w="6100" w:type="dxa"/>
            <w:vAlign w:val="bottom"/>
            <w:tcBorders>
              <w:bottom w:val="single" w:sz="8" w:color="D5EE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D5EEEE"/>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5EEEE"/>
            </w:tcBorders>
          </w:tcPr>
          <w:p>
            <w:pPr>
              <w:spacing w:after="0"/>
              <w:rPr>
                <w:sz w:val="17"/>
                <w:szCs w:val="17"/>
                <w:color w:val="auto"/>
              </w:rPr>
            </w:pPr>
          </w:p>
        </w:tc>
      </w:tr>
      <w:tr>
        <w:trPr>
          <w:trHeight w:val="239"/>
        </w:trPr>
        <w:tc>
          <w:tcPr>
            <w:tcW w:w="6100" w:type="dxa"/>
            <w:vAlign w:val="bottom"/>
            <w:shd w:val="clear" w:color="auto" w:fill="D5EEEE"/>
          </w:tcPr>
          <w:p>
            <w:pPr>
              <w:spacing w:after="0" w:line="238" w:lineRule="exact"/>
              <w:rPr>
                <w:sz w:val="20"/>
                <w:szCs w:val="20"/>
                <w:color w:val="auto"/>
              </w:rPr>
            </w:pPr>
            <w:r>
              <w:rPr>
                <w:rFonts w:ascii="Times New Roman" w:cs="Times New Roman" w:eastAsia="Times New Roman" w:hAnsi="Times New Roman"/>
                <w:sz w:val="20"/>
                <w:szCs w:val="20"/>
                <w:color w:val="auto"/>
              </w:rPr>
              <w:t>Audit Fees</w:t>
            </w:r>
            <w:r>
              <w:rPr>
                <w:rFonts w:ascii="Times New Roman" w:cs="Times New Roman" w:eastAsia="Times New Roman" w:hAnsi="Times New Roman"/>
                <w:sz w:val="26"/>
                <w:szCs w:val="26"/>
                <w:color w:val="auto"/>
                <w:vertAlign w:val="superscript"/>
              </w:rPr>
              <w:t>(1)</w:t>
            </w:r>
          </w:p>
        </w:tc>
        <w:tc>
          <w:tcPr>
            <w:tcW w:w="2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1,234,231</w:t>
            </w:r>
          </w:p>
        </w:tc>
        <w:tc>
          <w:tcPr>
            <w:tcW w:w="200" w:type="dxa"/>
            <w:vAlign w:val="bottom"/>
            <w:shd w:val="clear" w:color="auto" w:fill="D5EEEE"/>
          </w:tcPr>
          <w:p>
            <w:pPr>
              <w:spacing w:after="0"/>
              <w:rPr>
                <w:sz w:val="20"/>
                <w:szCs w:val="20"/>
                <w:color w:val="auto"/>
              </w:rPr>
            </w:pPr>
          </w:p>
        </w:tc>
        <w:tc>
          <w:tcPr>
            <w:tcW w:w="240" w:type="dxa"/>
            <w:vAlign w:val="bottom"/>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536,000</w:t>
            </w:r>
          </w:p>
        </w:tc>
        <w:tc>
          <w:tcPr>
            <w:tcW w:w="60" w:type="dxa"/>
            <w:vAlign w:val="bottom"/>
            <w:shd w:val="clear" w:color="auto" w:fill="D5EEEE"/>
          </w:tcPr>
          <w:p>
            <w:pPr>
              <w:spacing w:after="0"/>
              <w:rPr>
                <w:sz w:val="20"/>
                <w:szCs w:val="20"/>
                <w:color w:val="auto"/>
              </w:rPr>
            </w:pPr>
          </w:p>
        </w:tc>
      </w:tr>
      <w:tr>
        <w:trPr>
          <w:trHeight w:val="244"/>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Audit-Related Fees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r>
        <w:trPr>
          <w:trHeight w:val="244"/>
        </w:trPr>
        <w:tc>
          <w:tcPr>
            <w:tcW w:w="61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Tax Fees</w:t>
            </w:r>
          </w:p>
        </w:tc>
        <w:tc>
          <w:tcPr>
            <w:tcW w:w="280" w:type="dxa"/>
            <w:vAlign w:val="bottom"/>
            <w:shd w:val="clear" w:color="auto" w:fill="D5EEEE"/>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5EEEE"/>
          </w:tcPr>
          <w:p>
            <w:pPr>
              <w:spacing w:after="0"/>
              <w:rPr>
                <w:sz w:val="21"/>
                <w:szCs w:val="21"/>
                <w:color w:val="auto"/>
              </w:rPr>
            </w:pPr>
          </w:p>
        </w:tc>
      </w:tr>
      <w:tr>
        <w:trPr>
          <w:trHeight w:val="244"/>
        </w:trPr>
        <w:tc>
          <w:tcPr>
            <w:tcW w:w="6100" w:type="dxa"/>
            <w:vAlign w:val="bottom"/>
            <w:tcBorders>
              <w:bottom w:val="single" w:sz="8" w:color="D5EEEE"/>
            </w:tcBorders>
          </w:tcPr>
          <w:p>
            <w:pPr>
              <w:spacing w:after="0" w:line="243" w:lineRule="exact"/>
              <w:rPr>
                <w:sz w:val="20"/>
                <w:szCs w:val="20"/>
                <w:color w:val="auto"/>
              </w:rPr>
            </w:pPr>
            <w:r>
              <w:rPr>
                <w:rFonts w:ascii="Times New Roman" w:cs="Times New Roman" w:eastAsia="Times New Roman" w:hAnsi="Times New Roman"/>
                <w:sz w:val="20"/>
                <w:szCs w:val="20"/>
                <w:color w:val="auto"/>
              </w:rPr>
              <w:t>All Other Fees</w:t>
            </w:r>
            <w:r>
              <w:rPr>
                <w:rFonts w:ascii="Times New Roman" w:cs="Times New Roman" w:eastAsia="Times New Roman" w:hAnsi="Times New Roman"/>
                <w:sz w:val="26"/>
                <w:szCs w:val="26"/>
                <w:color w:val="auto"/>
                <w:vertAlign w:val="superscript"/>
              </w:rPr>
              <w:t>(2)</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3,587</w:t>
            </w:r>
          </w:p>
        </w:tc>
        <w:tc>
          <w:tcPr>
            <w:tcW w:w="200" w:type="dxa"/>
            <w:vAlign w:val="bottom"/>
            <w:tcBorders>
              <w:bottom w:val="single" w:sz="8" w:color="D5EEEE"/>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9,977</w:t>
            </w:r>
          </w:p>
        </w:tc>
        <w:tc>
          <w:tcPr>
            <w:tcW w:w="60" w:type="dxa"/>
            <w:vAlign w:val="bottom"/>
            <w:tcBorders>
              <w:bottom w:val="single" w:sz="8" w:color="D5EEEE"/>
            </w:tcBorders>
          </w:tcPr>
          <w:p>
            <w:pPr>
              <w:spacing w:after="0"/>
              <w:rPr>
                <w:sz w:val="21"/>
                <w:szCs w:val="21"/>
                <w:color w:val="auto"/>
              </w:rPr>
            </w:pPr>
          </w:p>
        </w:tc>
      </w:tr>
      <w:tr>
        <w:trPr>
          <w:trHeight w:val="239"/>
        </w:trPr>
        <w:tc>
          <w:tcPr>
            <w:tcW w:w="61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Fees for Services Provided</w:t>
            </w:r>
          </w:p>
        </w:tc>
        <w:tc>
          <w:tcPr>
            <w:tcW w:w="280" w:type="dxa"/>
            <w:vAlign w:val="bottom"/>
            <w:tcBorders>
              <w:bottom w:val="single" w:sz="8" w:color="auto"/>
            </w:tcBorders>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1,237,818</w:t>
            </w:r>
          </w:p>
        </w:tc>
        <w:tc>
          <w:tcPr>
            <w:tcW w:w="200" w:type="dxa"/>
            <w:vAlign w:val="bottom"/>
            <w:shd w:val="clear" w:color="auto" w:fill="D5EEEE"/>
          </w:tcPr>
          <w:p>
            <w:pPr>
              <w:spacing w:after="0"/>
              <w:rPr>
                <w:sz w:val="20"/>
                <w:szCs w:val="20"/>
                <w:color w:val="auto"/>
              </w:rPr>
            </w:pPr>
          </w:p>
        </w:tc>
        <w:tc>
          <w:tcPr>
            <w:tcW w:w="240" w:type="dxa"/>
            <w:vAlign w:val="bottom"/>
            <w:tcBorders>
              <w:bottom w:val="single" w:sz="8" w:color="auto"/>
            </w:tcBorders>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8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545,977</w:t>
            </w:r>
          </w:p>
        </w:tc>
        <w:tc>
          <w:tcPr>
            <w:tcW w:w="60" w:type="dxa"/>
            <w:vAlign w:val="bottom"/>
            <w:shd w:val="clear" w:color="auto" w:fill="D5EEEE"/>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3" w:lineRule="exact"/>
        <w:rPr>
          <w:sz w:val="20"/>
          <w:szCs w:val="20"/>
          <w:color w:val="auto"/>
        </w:rPr>
      </w:pPr>
    </w:p>
    <w:p>
      <w:pPr>
        <w:ind w:left="840" w:hanging="480"/>
        <w:spacing w:after="0" w:line="241" w:lineRule="auto"/>
        <w:tabs>
          <w:tab w:leader="none" w:pos="840" w:val="left"/>
        </w:tabs>
        <w:numPr>
          <w:ilvl w:val="0"/>
          <w:numId w:val="7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“Audit Fees” consists of fees for the audit of our annual consolidated financial statements, the review of the interim consolidated financial statement and other professional services provided in connection with regulatory filings.</w:t>
      </w:r>
    </w:p>
    <w:p>
      <w:pPr>
        <w:spacing w:after="0" w:line="1" w:lineRule="exact"/>
        <w:rPr>
          <w:rFonts w:ascii="Times New Roman" w:cs="Times New Roman" w:eastAsia="Times New Roman" w:hAnsi="Times New Roman"/>
          <w:sz w:val="20"/>
          <w:szCs w:val="20"/>
          <w:i w:val="1"/>
          <w:iCs w:val="1"/>
          <w:color w:val="auto"/>
        </w:rPr>
      </w:pPr>
    </w:p>
    <w:p>
      <w:pPr>
        <w:jc w:val="both"/>
        <w:ind w:left="840" w:hanging="480"/>
        <w:spacing w:after="0" w:line="234" w:lineRule="auto"/>
        <w:tabs>
          <w:tab w:leader="none" w:pos="840" w:val="left"/>
        </w:tabs>
        <w:numPr>
          <w:ilvl w:val="0"/>
          <w:numId w:val="7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“All Other Fees” consists of fees related to advice on jurisdiction-specific equity grants under the Company’s 2020 Equity Incentive Plan. All such fees were approved by the Audit Committee. These fees were paid in Danish Krone and converted to U.S. dollar using an average exchange rate of 6.6210:1 for 2025 and 6.8906:1 for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Policies and Procedures</w:t>
      </w:r>
    </w:p>
    <w:p>
      <w:pPr>
        <w:spacing w:after="0" w:line="24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Company’s Audit Committee has adopted procedures requiring the pre- approval of all non-audit services performed by the Company’s independent registered public accounting firm in order to assure that these services do not impair the auditor’s independence. These procedures generally approve the performance of specific services and the cost for such services. This general approval is to be reviewed, and if necessary modified, at least annually.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w:t>
      </w:r>
    </w:p>
    <w:p>
      <w:pPr>
        <w:spacing w:after="0" w:line="200"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auto"/>
        </w:rPr>
        <w:t>A standard applied by the Audit Committee in determining whether to grant approval of any type of non-audit service, or of any specific engagement to perform a non-audit service, is whether the services to be performed, the compensation to be paid for such services and other related factors are consistent with the independent registered public accounting firm’s independence under guidelines of the SEC and applicable professional standards. Relevant considerations may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960" w:h="17280" w:orient="portrait"/>
          <w:cols w:equalWidth="0" w:num="1">
            <w:col w:w="10800"/>
          </w:cols>
          <w:pgMar w:left="1080" w:top="1440" w:right="1080" w:bottom="751" w:gutter="0" w:footer="0" w:header="0"/>
          <w:type w:val="continuous"/>
        </w:sectPr>
      </w:pPr>
    </w:p>
    <w:bookmarkStart w:id="163" w:name="page164"/>
    <w:bookmarkEnd w:id="163"/>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Changes in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Dismissal of EY Godkendt Revisionspartnerselskab</w:t>
      </w:r>
    </w:p>
    <w:p>
      <w:pPr>
        <w:spacing w:after="0" w:line="230" w:lineRule="exact"/>
        <w:rPr>
          <w:sz w:val="20"/>
          <w:szCs w:val="20"/>
          <w:color w:val="auto"/>
        </w:rPr>
      </w:pPr>
    </w:p>
    <w:p>
      <w:pPr>
        <w:jc w:val="both"/>
        <w:ind w:right="500"/>
        <w:spacing w:after="0" w:line="258" w:lineRule="auto"/>
        <w:rPr>
          <w:sz w:val="20"/>
          <w:szCs w:val="20"/>
          <w:color w:val="auto"/>
        </w:rPr>
      </w:pPr>
      <w:r>
        <w:rPr>
          <w:rFonts w:ascii="Times New Roman" w:cs="Times New Roman" w:eastAsia="Times New Roman" w:hAnsi="Times New Roman"/>
          <w:sz w:val="20"/>
          <w:szCs w:val="20"/>
          <w:color w:val="auto"/>
        </w:rPr>
        <w:t>As previously reported in a Current Report on Form 8-K filed with the SEC on April 20, 2026 (the “Current Report”), the Audit Committee dismissed EY Godkendt Revisionspartnerselskab as the Company’s independent registered public accounting firm, effective as of April 17, 2026.</w:t>
      </w:r>
    </w:p>
    <w:p>
      <w:pPr>
        <w:spacing w:after="0" w:line="17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The reports of EY Godkendt Revisionspartnerselskab on the consolidated financial statements of the Company for the fiscal years ended December 31, 2025 and 2024 did not contain any adverse opinion or disclaimer of opinion and were not qualified or modified as to uncertainty, audit scope or accounting principles, except that such report for the fiscal year ended December 31, 2024 contained an explanatory paragraph related to the Company’s ability to continue as a going concern.</w:t>
      </w:r>
    </w:p>
    <w:p>
      <w:pPr>
        <w:spacing w:after="0" w:line="18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During the Company’s two most recent fiscal years ended December 31, 2025 and 2024 and the subsequent interim period from January 1, 2026 to April 17, 2026, there were (i) no disagreements (as defined in Item 304(a)(1)(iv) of Regulation S-K and the related instructions thereto) with EY Godkendt Revisionspartnerselskab on any matter of accounting principles or practices, financial statement disclosure, or auditing scope or procedure, which disagreement, if not resolved to the satisfaction of EY Godkendt Revisionspartnerselskab , would have caused it to make reference to the subject matter of the disagreement in connection with its report and (ii) no reportable events (as described in Item 304(a)(1)(v) of Regulation S-K).</w:t>
      </w:r>
    </w:p>
    <w:p>
      <w:pPr>
        <w:spacing w:after="0" w:line="19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The Company provided EY Godkendt Revisionspartnerselskab with a copy of the disclosures made in the Current Report and requested EY Godkendt Revisionspartnerselskab to furnish the Company with a letter addressed to the SEC stating whether it agrees with the statements made by the Company and, if not, stating the respects in which it does not agree. A copy of EY Godkendt Revisionspartnerselskab’s letter to the SEC dated April 17, 2026 is filed as Exhibit 16.1 to the Current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Appointment of Ernst &amp; Young LLP</w:t>
      </w:r>
    </w:p>
    <w:p>
      <w:pPr>
        <w:spacing w:after="0" w:line="23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auto"/>
        </w:rPr>
        <w:t>The Audit Committee engaged Ernst &amp; Young LLP as the Company’s independent registered public accounting firm, effective as of April 17, 2026.</w:t>
      </w:r>
    </w:p>
    <w:p>
      <w:pPr>
        <w:spacing w:after="0" w:line="15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During the Company’s two most recent fiscal years ended December 31, 2025 and 2024 and the subsequent interim period from January 1, 2026 to April 17, 2026, neither the Company nor anyone on its behalf consulted Ernst &amp; Young LLP regarding: (i) the application of accounting principles to a specified transaction, either completed or proposed, or the type of audit opinion that might be rendered on the Company’s financial statements, and neither a written report nor oral advice was provided to the Company that Ernst</w:t>
      </w:r>
    </w:p>
    <w:p>
      <w:pPr>
        <w:spacing w:after="0" w:line="1" w:lineRule="exact"/>
        <w:rPr>
          <w:sz w:val="20"/>
          <w:szCs w:val="20"/>
          <w:color w:val="auto"/>
        </w:rPr>
      </w:pPr>
    </w:p>
    <w:p>
      <w:pPr>
        <w:jc w:val="both"/>
        <w:ind w:right="20"/>
        <w:spacing w:after="0" w:line="244" w:lineRule="auto"/>
        <w:tabs>
          <w:tab w:leader="none" w:pos="20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Young LLP concluded was an important factor considered by the Company in reaching a decision as to any accounting, auditing or financial reporting issue; or (ii) any matter that was the subject of a disagreement (as defined in Item 304(a)(1)(iv) of Regulation S-K and the related instructions thereto) or a reportable event (as described in Item 304(a)(1)(v) of Regulation S-K).</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THE BOARD OF DIRECTORS RECOMMENDS THAT YOU VOTE</w:t>
      </w: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FOR</w:t>
      </w:r>
    </w:p>
    <w:p>
      <w:pPr>
        <w:spacing w:after="0" w:line="240" w:lineRule="exact"/>
        <w:rPr>
          <w:sz w:val="20"/>
          <w:szCs w:val="20"/>
          <w:color w:val="auto"/>
        </w:rPr>
      </w:pPr>
    </w:p>
    <w:p>
      <w:pPr>
        <w:jc w:val="center"/>
        <w:ind w:left="1140" w:right="320"/>
        <w:spacing w:after="0" w:line="286" w:lineRule="auto"/>
        <w:rPr>
          <w:sz w:val="20"/>
          <w:szCs w:val="20"/>
          <w:color w:val="auto"/>
        </w:rPr>
      </w:pPr>
      <w:r>
        <w:rPr>
          <w:rFonts w:ascii="Times New Roman" w:cs="Times New Roman" w:eastAsia="Times New Roman" w:hAnsi="Times New Roman"/>
          <w:sz w:val="20"/>
          <w:szCs w:val="20"/>
          <w:b w:val="1"/>
          <w:bCs w:val="1"/>
          <w:color w:val="auto"/>
        </w:rPr>
        <w:t>THE RATIFICATION OF THE SELECTION OF ERNST &amp; YOUNG LLP AS THE COMPANY’S INDEPENDENT REGISTERED PUBLIC ACCOUNTING FIRM</w:t>
      </w:r>
    </w:p>
    <w:p>
      <w:pPr>
        <w:spacing w:after="0" w:line="152" w:lineRule="exact"/>
        <w:rPr>
          <w:sz w:val="20"/>
          <w:szCs w:val="20"/>
          <w:color w:val="auto"/>
        </w:rPr>
      </w:pPr>
    </w:p>
    <w:p>
      <w:pPr>
        <w:jc w:val="center"/>
        <w:ind w:left="1140" w:right="60"/>
        <w:spacing w:after="0" w:line="286" w:lineRule="auto"/>
        <w:rPr>
          <w:sz w:val="20"/>
          <w:szCs w:val="20"/>
          <w:color w:val="auto"/>
        </w:rPr>
      </w:pPr>
      <w:r>
        <w:rPr>
          <w:rFonts w:ascii="Times New Roman" w:cs="Times New Roman" w:eastAsia="Times New Roman" w:hAnsi="Times New Roman"/>
          <w:sz w:val="20"/>
          <w:szCs w:val="20"/>
          <w:b w:val="1"/>
          <w:bCs w:val="1"/>
          <w:color w:val="auto"/>
        </w:rPr>
        <w:t>PROPERLY AUTHORIZED PROXIES SOLICITED BY THE BOARD OF DIRECTORS WILL BE VOTED “FOR” THE APPROVAL OF PROPOSAL 4 UNLESS INSTRUCTIONS TO THE CONTRARY ARE GIVEN.</w:t>
      </w:r>
    </w:p>
    <w:p>
      <w:pPr>
        <w:spacing w:after="0" w:line="1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(PROPOSAL 4 ON YOUR PROXY CARD)</w:t>
      </w:r>
    </w:p>
    <w:p>
      <w:pPr>
        <w:sectPr>
          <w:pgSz w:w="12960" w:h="17280" w:orient="portrait"/>
          <w:cols w:equalWidth="0" w:num="1">
            <w:col w:w="10740"/>
          </w:cols>
          <w:pgMar w:left="1080" w:top="1440" w:right="114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33</w:t>
      </w:r>
    </w:p>
    <w:p>
      <w:pPr>
        <w:sectPr>
          <w:pgSz w:w="12960" w:h="17280" w:orient="portrait"/>
          <w:cols w:equalWidth="0" w:num="1">
            <w:col w:w="10740"/>
          </w:cols>
          <w:pgMar w:left="1080" w:top="1440" w:right="1140" w:bottom="751" w:gutter="0" w:footer="0" w:header="0"/>
          <w:type w:val="continuous"/>
        </w:sectPr>
      </w:pPr>
    </w:p>
    <w:bookmarkStart w:id="164" w:name="page165"/>
    <w:bookmarkEnd w:id="164"/>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GOVERNANCE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244"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20"/>
          <w:szCs w:val="20"/>
          <w:color w:val="auto"/>
        </w:rPr>
        <w:t>We are committed to high standards of integrity and ethics in the way we conduct our business. In 2020, our Board of Directors adopted a Code of Business Conduct and Ethics, which applies to our directors, officers and employees, including our principal executive officer, principal financial officer, principal accounting officer or controller, or persons performing similar functions. Our Code of Business Conduct and Ethics establishes our policies and expectations with respect to a wide range of business conduct, including the preparation and maintenance of our financial and accounting information, our compliance with laws, and possible conflicts of interest.</w:t>
      </w:r>
    </w:p>
    <w:p>
      <w:pPr>
        <w:spacing w:after="0" w:line="200"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Under our Code of Business Conduct and Ethics, each of our directors and employees is required to report suspected or actual violations to the extent permitted by law. In addition, we have adopted separate procedures concerning the receipt and investigations of complaints relating to accounting or audit matters. These procedures have been adopted by the Board of Directors and are administered by our Audit Committee.</w:t>
      </w:r>
    </w:p>
    <w:p>
      <w:pPr>
        <w:spacing w:after="0" w:line="19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A current copy of our Code of Business Conduct and Ethics is posted on our website at https://ir.damoratx.com/corporate-governance/governance-documents.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Policy and Policy on Hedging</w:t>
      </w:r>
    </w:p>
    <w:p>
      <w:pPr>
        <w:spacing w:after="0" w:line="24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have an insider trading policy that, among other things, governs the buying and selling of our securities by all of our personnel, including directors, officers, employees, designated consultants and contractors and certain other covered persons. Our policy is designed to prevent violations of insider trading laws by our personnel and to avoid even the appearance of improper conduct in this regard by our personnel. The policy prohibits covered persons from purchasing, selling, or otherwise disposing of our securities while in possession of material non-public information (except in limited circumstances, such as pursuant to a previously established trading plan). In addition, the policy generally prohibits all employees (including executives and directors) from engaging in any transaction in which they may profit from short-term speculative swings in the value of our securities, including selling our securities “short” at any time. In addition, unless the transaction has been approved by our Audit Committee, all of our directors, executive officers and employees may not (1) pledge our stock as collateral for a loan, (2) buy or sell puts, calls or similar instruments on our securities or (3) engage in any other hedging transactions with respect to our securities. The policy sets forth the procedures covered persons must follow before transacting in our securities, including pre-clearance by our General Counsel of all transactions by executive officers, directors, and certain other covered persons, as well as members of their households. Although we have not adopted an insider trading policy governing the purchase, sale, and/or other disposition of our securities by the Company, as part of the oversight of risk, the Board of Directors, or one or more of its committees, approves any transaction, plan or arrangement by or with the Company with respect to our securities on a case-by-case basis, and as part of their procedures to review and approve any such transaction, plan or arrangement, the Board of Directors or committee consults with legal counsel to confirm compliance with applicable insider trading laws, rules and regulations, and listing standards. A copy of the insider trading policy is filed as Exhibit 19.1 to our 2025 Annual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Recovery Policy</w:t>
      </w:r>
    </w:p>
    <w:p>
      <w:pPr>
        <w:spacing w:after="0" w:line="24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Our Board of Directors adopted a Compensation Recovery Policy effective as of November 16, 2023 (the “Compensation Recovery Policy”), in compliance with the Nasdaq listing rules, which requires recovery from executive officers of incentive-based compensation that is earned, granted or vested based on the achievement of a financial reporting measure in the event of a required accounting restatement of previously issued financial statements. The recoverable compensation includes any compensation received after the effective date of the Compensation Recovery Policy and in the three -year fiscal period preceding the date we were required to prepare the accounting restatement that is in excess of the amount that would have been earned, paid or vested had it been calculated based on the restated financial statements. Recovery is required regardless of fault or a covered officer’s role in the financial reporting process. The Compensation Recovery Policy has been filed as Exhibit 97 to our most recent Annual Report on Form 10 -K. At no time during or after the year ended December 31, 2025, were we required to prepare an accounting restatement that required recovery of erroneously awarded compensation pursuant to the Compensation Recovery Policy, nor was there, on December 31, 2025, an outstanding balance of erroneously awarded compensation to be recovered from the application of the policy to a prior restatement.</w:t>
      </w: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960" w:h="17280" w:orient="portrait"/>
          <w:cols w:equalWidth="0" w:num="1">
            <w:col w:w="10800"/>
          </w:cols>
          <w:pgMar w:left="1080" w:top="1440" w:right="1080" w:bottom="751" w:gutter="0" w:footer="0" w:header="0"/>
          <w:type w:val="continuous"/>
        </w:sectPr>
      </w:pPr>
    </w:p>
    <w:bookmarkStart w:id="165" w:name="page166"/>
    <w:bookmarkEnd w:id="165"/>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STOCKHOLDER PROPOSALS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 Proposals</w:t>
      </w:r>
    </w:p>
    <w:p>
      <w:pPr>
        <w:spacing w:after="0" w:line="24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Our By-laws establish an advance notice procedure for stockholders who wish to nominate a person for election to our Board of Directors or present a proposal to be considered at an annual meeting of stockholders, but who do not intend for the nomination or proposal to be included in our proxy statement. To make a nomination or proposal, the stockholder must be of record at the time the notice is made, must be entitled to vote at the annual meeting of stockholders, must be present (in person or by proxy) at the annual meeting of stockholders, and must provide certain information regarding itself (and the beneficial owner), including the name and address, as they appear on our books, of the stockholder proposing such business, the number of shares of our capital stock which are, directly or indirectly, owned beneficially or of record by the stockholder proposing such business or its affiliates or associates (as defined in Rule 12b-2 promulgated under the Securities Exchange Act of 1934, as amended, or the Exchange Act) and certain additional information. The stockholder must deliver timely written notice by mailing any nomination or proposal to: Corporate Secretary, Damora Therapeutics, Inc., 221 Crescent Street, Building 23, Suite 105, Waltham, MA 02453.</w:t>
      </w:r>
    </w:p>
    <w:p>
      <w:pPr>
        <w:spacing w:after="0" w:line="202"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auto"/>
        </w:rPr>
        <w:t>To be timely for our 2027 Annual Meeting of Stockholders (the “2027 Annual Meeting”), our corporate secretary must receive the written notice at our principal executive offices:</w:t>
      </w:r>
    </w:p>
    <w:p>
      <w:pPr>
        <w:spacing w:after="0" w:line="64" w:lineRule="exact"/>
        <w:rPr>
          <w:sz w:val="20"/>
          <w:szCs w:val="20"/>
          <w:color w:val="auto"/>
        </w:rPr>
      </w:pPr>
    </w:p>
    <w:p>
      <w:pPr>
        <w:ind w:left="980" w:hanging="490"/>
        <w:spacing w:after="0"/>
        <w:tabs>
          <w:tab w:leader="none" w:pos="980"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color w:val="auto"/>
        </w:rPr>
        <w:t>not earlier than the close of business on February 17, 2027;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color w:val="auto"/>
        </w:rPr>
        <w:t>not later than the close of business on March 19, 2027.</w:t>
      </w:r>
    </w:p>
    <w:p>
      <w:pPr>
        <w:spacing w:after="0" w:line="229"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20"/>
          <w:szCs w:val="20"/>
          <w:color w:val="auto"/>
        </w:rPr>
        <w:t>In the event that we hold our 2027 Annual Meeting more than 30 days before or more than 60 days after the first anniversary of the date of our Annual Meeting, then notice of a stockholder proposal that is not intended to be included in our proxy statement must be received no later than the close of business on the later of the following two dates:</w:t>
      </w:r>
    </w:p>
    <w:p>
      <w:pPr>
        <w:spacing w:after="0" w:line="83" w:lineRule="exact"/>
        <w:rPr>
          <w:sz w:val="20"/>
          <w:szCs w:val="20"/>
          <w:color w:val="auto"/>
        </w:rPr>
      </w:pPr>
    </w:p>
    <w:p>
      <w:pPr>
        <w:ind w:left="980" w:hanging="490"/>
        <w:spacing w:after="0"/>
        <w:tabs>
          <w:tab w:leader="none" w:pos="98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the 90th day prior to our 2027 Annual Meeting; or</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the 10th day following the day on which public announcement of the date of our 2027 Annual Meeting is first made.</w:t>
      </w:r>
    </w:p>
    <w:p>
      <w:pPr>
        <w:spacing w:after="0" w:line="23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Our By-laws specify the requirements as to form and content of all stockholders’ notices with respect to nominations of director candidates and proposals for other business. These requirements may preclude stockholders from bringing matters before the stockholders at an annual or special meeting. Any stockholder wishing to make a nomination must also include all information relating to the nominee that is required to be disclosed in solicitations of proxies for election of directors in election contests or is otherwise required under Regulation 14A of the Exchange Act, the person’s written consent to be named in the Proxy Statement and to serve as a director if elected, and such information as we might reasonably require to determine the eligibility of the person to serve as a director.</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to proposals for other business, the notice must include a brief description of the business desired to be brought before the meeting, the reasons for conducting such business at the meeting, and any material interest of such stockholder (and the beneficial owner) in the proposal. The proposal must be a proper subject for stockholder action.</w:t>
      </w:r>
    </w:p>
    <w:p>
      <w:pPr>
        <w:spacing w:after="0" w:line="17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In addition to the requirements set forth above, to comply with the universal proxy rules, stockholders who intend to solicit proxies in support of director nominees other than the Company’s nominees must provide notice by the same deadline noted herein to submit a notice of nomination at an annual meeting of stockholders. Such notice must comply with the additional requirements of Rule 14a-19(b) under the Securities Exchange Act of 1934.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Requirements for Stockholder Proposals to be Considered for Inclusion in the Company’s Proxy Materials</w:t>
      </w:r>
    </w:p>
    <w:p>
      <w:pPr>
        <w:spacing w:after="0" w:line="24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In addition to the requirements stated above, any stockholder who wishes to submit a proposal for inclusion in our proxy materials must comply with the procedures prescribed in Rule 14a-8 under the Exchange Act. Our corporate secretary must receive stockholder proposals intended to be included in our proxy statement and form of proxy relating to our 2027 Annual Meeting made under Rule 14a-8 no later than December 30, 2026, unless the date of the 2027 Annual Meeting is held more than 30 days before or after June 17, 2027, in which case the proposal must be received a reasonable time before we begin to print and send proxy materials for the 2027 Annual Meeting.</w:t>
      </w:r>
    </w:p>
    <w:p>
      <w:pPr>
        <w:spacing w:after="0" w:line="200"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color w:val="auto"/>
        </w:rPr>
        <w:t>Any proposal of business or nomination should be mailed to: Corporate Secretary, Damora Therapeutics, Inc., 221 Crescent Street, Building 23, Suite 105, Waltham, MA 02453.</w:t>
      </w: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960" w:h="17280" w:orient="portrait"/>
          <w:cols w:equalWidth="0" w:num="1">
            <w:col w:w="10800"/>
          </w:cols>
          <w:pgMar w:left="1080" w:top="1440" w:right="1080" w:bottom="751" w:gutter="0" w:footer="0" w:header="0"/>
          <w:type w:val="continuous"/>
        </w:sectPr>
      </w:pPr>
    </w:p>
    <w:bookmarkStart w:id="166" w:name="page167"/>
    <w:bookmarkEnd w:id="166"/>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WHERE YOU CAN FIND MORE INFORMATION</w:t>
      </w:r>
    </w:p>
    <w:p>
      <w:pPr>
        <w:spacing w:after="0" w:line="2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Company files annual, quarterly and current reports, proxy statements and other information with the SEC. You may read and copy any reports, statements, or other information that the Company files at the SEC’s public reference room at the following location: 100 F Street, N.E., Washington, D.C. 20549.</w:t>
      </w:r>
    </w:p>
    <w:p>
      <w:pPr>
        <w:spacing w:after="0" w:line="18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 xml:space="preserve">Please call the SEC at 1-800-732-0330 for further information on the public reference room. The Company’s SEC filings are also available to the public from commercial document retrieval services and at the website maintained by the SEC at </w:t>
      </w:r>
      <w:r>
        <w:rPr>
          <w:rFonts w:ascii="Times New Roman" w:cs="Times New Roman" w:eastAsia="Times New Roman" w:hAnsi="Times New Roman"/>
          <w:sz w:val="20"/>
          <w:szCs w:val="20"/>
          <w:i w:val="1"/>
          <w:iCs w:val="1"/>
          <w:color w:val="auto"/>
        </w:rPr>
        <w:t>http://www.sec.gov.</w:t>
      </w:r>
      <w:r>
        <w:rPr>
          <w:rFonts w:ascii="Times New Roman" w:cs="Times New Roman" w:eastAsia="Times New Roman" w:hAnsi="Times New Roman"/>
          <w:sz w:val="20"/>
          <w:szCs w:val="20"/>
          <w:color w:val="auto"/>
        </w:rPr>
        <w:t xml:space="preserve"> You may also read and copy any document the Company files with the SEC on our website at www.damoratx.com under the “Investors” menu.</w:t>
      </w:r>
    </w:p>
    <w:p>
      <w:pPr>
        <w:spacing w:after="0" w:line="19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You should rely on the information contained in this document to vote your shares at the Annual Meeting. The Company has not authorized anyone to provide you with information that is different from what is contained in this document. This document is dated April 29, 2026. You should not assume that the information contained in this document is accurate as of any date other than that date, and the mailing of this document to stockholders at any time after that date does not create an implication to the contrary. This Proxy Statement does not constitute a solicitation of a proxy in any jurisdiction where, or to or from any person to whom, it is unlawful to make such proxy solicitations in such jurisdiction.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We are subject to the informational requirements of the Securities Exchange Act of 1934, as amended, and, in accordance therewith, file reports, proxy statements and other information with the SEC. Reports, proxy statements and other information filed by us is available on the SEC’s website, </w:t>
      </w:r>
      <w:r>
        <w:rPr>
          <w:rFonts w:ascii="Times New Roman" w:cs="Times New Roman" w:eastAsia="Times New Roman" w:hAnsi="Times New Roman"/>
          <w:sz w:val="20"/>
          <w:szCs w:val="20"/>
          <w:i w:val="1"/>
          <w:iCs w:val="1"/>
          <w:u w:val="single" w:color="auto"/>
          <w:color w:val="auto"/>
        </w:rPr>
        <w:t>http://www.sec.gov</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We will provide without charge to each person to whom a copy of the proxy statement is delivered, upon the written or oral request of any such persons, additional copies of our 2025 Annual Report. Requests for such copies should be addressed to:</w:t>
      </w:r>
    </w:p>
    <w:p>
      <w:pPr>
        <w:spacing w:after="0" w:line="15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Damora Therapeutics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Inc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221 Crescent Street</w:t>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Building 23, Suite 105</w:t>
      </w:r>
    </w:p>
    <w:p>
      <w:pPr>
        <w:spacing w:after="0" w:line="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Waltham, MA 02453</w:t>
      </w:r>
    </w:p>
    <w:p>
      <w:pPr>
        <w:spacing w:after="0" w:line="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Attention: Garrett Winslow</w:t>
      </w:r>
    </w:p>
    <w:p>
      <w:pPr>
        <w:ind w:left="4220"/>
        <w:spacing w:after="0"/>
        <w:rPr>
          <w:sz w:val="20"/>
          <w:szCs w:val="20"/>
          <w:color w:val="auto"/>
        </w:rPr>
      </w:pPr>
      <w:r>
        <w:rPr>
          <w:rFonts w:ascii="Times New Roman" w:cs="Times New Roman" w:eastAsia="Times New Roman" w:hAnsi="Times New Roman"/>
          <w:sz w:val="20"/>
          <w:szCs w:val="20"/>
          <w:color w:val="auto"/>
        </w:rPr>
        <w:t>(781) 281-9020</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IMPORTANT NOTICE REGARDING DELIVERY OF STOCKHOLDER DOCUMENTS</w:t>
      </w:r>
    </w:p>
    <w:p>
      <w:pPr>
        <w:spacing w:after="0" w:line="24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We have adopted a procedure called “householding,” which the SEC has approved. Under this procedure, we deliver a single copy of the Notice of Internet Availability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of Internet Availability and, if applicable, our proxy materials to any stockholder at a shared address to which we delivered a single copy of any of these materials. This request may be submitted by contacting Damora Therapeutics, Inc., 221 Crescent Street, Building 23, Suite 105, Waltham, MA 02453, Attention: Garrett Winslow; (781) 281-9020. The Company will deliver those documents to such stockholder promptly upon receiving the request. Any such stockholder may also contact our Corporate Secretary using the above contact information if he or she would like to receive separate proxy statements, notice of internet availability and annual reports in the future. If you are receiving multiple copies of our annual reports, notice of internet availability and proxy statements, you may request householding in the future by contacting our Corporate Secretary.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BUSINESS</w:t>
      </w:r>
    </w:p>
    <w:p>
      <w:pPr>
        <w:spacing w:after="0" w:line="24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The Board of Directors knows of no business to be brought before the Annual Meeting which is not referred to in the accompanying Notice of Annual Meeting. Should any such matters be presented, the persons named in the proxy shall have the authority to take such action in regard to such matters as in their judgment seems advisable.</w:t>
      </w:r>
    </w:p>
    <w:p>
      <w:pPr>
        <w:sectPr>
          <w:pgSz w:w="12960" w:h="17280" w:orient="portrait"/>
          <w:cols w:equalWidth="0" w:num="1">
            <w:col w:w="10800"/>
          </w:cols>
          <w:pgMar w:left="1080" w:top="1440" w:right="108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sectPr>
      <w:pgSz w:w="12960" w:h="17280" w:orient="portrait"/>
      <w:cols w:equalWidth="0" w:num="1">
        <w:col w:w="10800"/>
      </w:cols>
      <w:pgMar w:left="1080" w:top="1440" w:right="1080" w:bottom="7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E884ADC"/>
    <w:multiLevelType w:val="hybridMultilevel"/>
    <w:lvl w:ilvl="0">
      <w:lvlJc w:val="left"/>
      <w:lvlText w:val="շ"/>
      <w:numFmt w:val="bullet"/>
      <w:start w:val="1"/>
    </w:lvl>
  </w:abstractNum>
  <w:abstractNum w:abstractNumId="1">
    <w:nsid w:val="51EAD36B"/>
    <w:multiLevelType w:val="hybridMultilevel"/>
    <w:lvl w:ilvl="0">
      <w:lvlJc w:val="left"/>
      <w:lvlText w:val="ն"/>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1)"/>
      <w:numFmt w:val="lowerRoman"/>
      <w:start w:val="3"/>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104"/>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1)"/>
      <w:numFmt w:val="lowerRoman"/>
      <w:start w:val="3"/>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1"/>
      <w:numFmt w:val="decimal"/>
      <w:start w:val="1"/>
    </w:lvl>
    <w:lvl w:ilvl="1">
      <w:lvlJc w:val="left"/>
      <w:lvlText w:val="(%2)"/>
      <w:numFmt w:val="decimal"/>
      <w:start w:val="1"/>
    </w:lvl>
  </w:abstractNum>
  <w:abstractNum w:abstractNumId="45">
    <w:nsid w:val="3F6AB60F"/>
    <w:multiLevelType w:val="hybridMultilevel"/>
    <w:lvl w:ilvl="0">
      <w:lvlJc w:val="left"/>
      <w:lvlText w:val="%1."/>
      <w:numFmt w:val="decimal"/>
      <w:start w:val="7"/>
    </w:lvl>
    <w:lvl w:ilvl="1">
      <w:lvlJc w:val="left"/>
      <w:lvlText w:val="%2"/>
      <w:numFmt w:val="decimal"/>
      <w:start w:val="1"/>
    </w:lvl>
  </w:abstractNum>
  <w:abstractNum w:abstractNumId="46">
    <w:nsid w:val="61574095"/>
    <w:multiLevelType w:val="hybridMultilevel"/>
    <w:lvl w:ilvl="0">
      <w:lvlJc w:val="left"/>
      <w:lvlText w:val="(%1)"/>
      <w:numFmt w:val="lowerRoman"/>
      <w:start w:val="2"/>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lvl w:ilvl="1">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1)"/>
      <w:numFmt w:val="decimal"/>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decimal"/>
      <w:start w:val="1"/>
    </w:lvl>
  </w:abstractNum>
  <w:abstractNum w:abstractNumId="61">
    <w:nsid w:val="15014ACB"/>
    <w:multiLevelType w:val="hybridMultilevel"/>
    <w:lvl w:ilvl="0">
      <w:lvlJc w:val="left"/>
      <w:lvlText w:val="(%1)"/>
      <w:numFmt w:val="decimal"/>
      <w:start w:val="5"/>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1)"/>
      <w:numFmt w:val="upperLetter"/>
      <w:start w:val="4"/>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1)"/>
      <w:numFmt w:val="decimal"/>
      <w:start w:val="2"/>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1)"/>
      <w:numFmt w:val="decimal"/>
      <w:start w:val="3"/>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amp;"/>
      <w:numFmt w:val="bullet"/>
      <w:start w:val="1"/>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2026-05-01T15:02:57Z</dcterms:created>
  <dcterms:modified xsi:type="dcterms:W3CDTF">2026-05-01T15:02:57Z</dcterms:modified>
</cp:coreProperties>
</file>