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t>
      </w: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 w:lineRule="exact"/>
        <w:rPr>
          <w:sz w:val="24"/>
          <w:szCs w:val="24"/>
          <w:color w:val="auto"/>
        </w:rPr>
      </w:pPr>
    </w:p>
    <w:p>
      <w:pPr>
        <w:ind w:left="3820" w:right="2040" w:hanging="3799"/>
        <w:spacing w:after="0" w:line="311" w:lineRule="auto"/>
        <w:tabs>
          <w:tab w:leader="none" w:pos="49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w:t>
      </w:r>
    </w:p>
    <w:p>
      <w:pPr>
        <w:spacing w:after="0" w:line="34" w:lineRule="exact"/>
        <w:rPr>
          <w:sz w:val="24"/>
          <w:szCs w:val="24"/>
          <w:color w:val="auto"/>
        </w:rPr>
      </w:pPr>
    </w:p>
    <w:p>
      <w:pPr>
        <w:ind w:left="480"/>
        <w:spacing w:after="0"/>
        <w:tabs>
          <w:tab w:leader="none" w:pos="3260" w:val="left"/>
        </w:tabs>
        <w:rPr>
          <w:sz w:val="20"/>
          <w:szCs w:val="20"/>
          <w:color w:val="auto"/>
        </w:rPr>
      </w:pPr>
      <w:r>
        <w:rPr>
          <w:rFonts w:ascii="Times New Roman" w:cs="Times New Roman" w:eastAsia="Times New Roman" w:hAnsi="Times New Roman"/>
          <w:sz w:val="17"/>
          <w:szCs w:val="17"/>
          <w:b w:val="1"/>
          <w:bCs w:val="1"/>
          <w:color w:val="auto"/>
        </w:rPr>
        <w:t>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001-39655</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DAMORA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-271145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37-1957007</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93" w:lineRule="exact"/>
        <w:rPr>
          <w:sz w:val="24"/>
          <w:szCs w:val="24"/>
          <w:color w:val="auto"/>
        </w:rPr>
      </w:pPr>
    </w:p>
    <w:p>
      <w:pPr>
        <w:sectPr>
          <w:pgSz w:w="11900" w:h="16838" w:orient="portrait"/>
          <w:cols w:equalWidth="0" w:num="2">
            <w:col w:w="7440" w:space="500"/>
            <w:col w:w="3300"/>
          </w:cols>
          <w:pgMar w:left="320" w:top="603" w:right="339"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6"/>
          <w:szCs w:val="16"/>
          <w:b w:val="1"/>
          <w:bCs w:val="1"/>
          <w:color w:val="auto"/>
        </w:rPr>
        <w:t>221 Crescent Street</w:t>
      </w:r>
    </w:p>
    <w:p>
      <w:pPr>
        <w:spacing w:after="0" w:line="28" w:lineRule="exact"/>
        <w:rPr>
          <w:sz w:val="24"/>
          <w:szCs w:val="24"/>
          <w:color w:val="auto"/>
        </w:rPr>
      </w:pPr>
    </w:p>
    <w:p>
      <w:pPr>
        <w:ind w:left="206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Building 23, Suite 105</w:t>
      </w:r>
      <w:r>
        <w:rPr>
          <w:sz w:val="20"/>
          <w:szCs w:val="20"/>
          <w:color w:val="auto"/>
        </w:rPr>
        <w:tab/>
      </w:r>
      <w:r>
        <w:rPr>
          <w:rFonts w:ascii="Times New Roman" w:cs="Times New Roman" w:eastAsia="Times New Roman" w:hAnsi="Times New Roman"/>
          <w:sz w:val="16"/>
          <w:szCs w:val="16"/>
          <w:b w:val="1"/>
          <w:bCs w:val="1"/>
          <w:color w:val="auto"/>
        </w:rPr>
        <w:t>02453</w:t>
      </w:r>
    </w:p>
    <w:p>
      <w:pPr>
        <w:spacing w:after="0" w:line="1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Waltham, MA 02453</w:t>
      </w:r>
    </w:p>
    <w:p>
      <w:pPr>
        <w:spacing w:after="0" w:line="19"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281-9020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19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7"/>
                <w:szCs w:val="17"/>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$0.00001 per share</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DMRA</w:t>
            </w:r>
          </w:p>
        </w:tc>
        <w:tc>
          <w:tcPr>
            <w:tcW w:w="12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194"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ind w:right="5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70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7"/>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7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8"/>
        </w:trPr>
        <w:tc>
          <w:tcPr>
            <w:tcW w:w="18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Emerging growth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8"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May 11, 2026 was 61,553,194.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60" w:type="dxa"/>
            <w:vAlign w:val="bottom"/>
            <w:gridSpan w:val="8"/>
            <w:vMerge w:val="restart"/>
          </w:tcPr>
          <w:p>
            <w:pPr>
              <w:jc w:val="center"/>
              <w:ind w:right="2960"/>
              <w:spacing w:after="0"/>
              <w:rPr>
                <w:sz w:val="20"/>
                <w:szCs w:val="20"/>
                <w:color w:val="auto"/>
              </w:rPr>
            </w:pPr>
            <w:r>
              <w:rPr>
                <w:rFonts w:ascii="Times New Roman" w:cs="Times New Roman" w:eastAsia="Times New Roman" w:hAnsi="Times New Roman"/>
                <w:sz w:val="18"/>
                <w:szCs w:val="18"/>
                <w:color w:val="auto"/>
                <w:w w:val="99"/>
              </w:rPr>
              <w:t>PART I. FINANCIAL INFORMATION</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60" w:type="dxa"/>
            <w:vAlign w:val="bottom"/>
            <w:gridSpan w:val="8"/>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434"/>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8"/>
          </w:tcPr>
          <w:p>
            <w:pPr>
              <w:jc w:val="center"/>
              <w:ind w:right="2960"/>
              <w:spacing w:after="0"/>
              <w:rPr>
                <w:sz w:val="20"/>
                <w:szCs w:val="20"/>
                <w:color w:val="auto"/>
              </w:rPr>
            </w:pPr>
            <w:r>
              <w:rPr>
                <w:rFonts w:ascii="Times New Roman" w:cs="Times New Roman" w:eastAsia="Times New Roman" w:hAnsi="Times New Roman"/>
                <w:sz w:val="18"/>
                <w:szCs w:val="18"/>
                <w:color w:val="auto"/>
                <w:w w:val="99"/>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regarding:</w:t>
      </w:r>
    </w:p>
    <w:p>
      <w:pPr>
        <w:spacing w:after="0" w:line="79" w:lineRule="exact"/>
        <w:rPr>
          <w:sz w:val="20"/>
          <w:szCs w:val="20"/>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strategy for the discovery and development of DMR-001, DMR-002 and DMR-003;</w:t>
      </w:r>
    </w:p>
    <w:p>
      <w:pPr>
        <w:spacing w:after="0" w:line="117" w:lineRule="exact"/>
        <w:rPr>
          <w:rFonts w:ascii="Times New Roman" w:cs="Times New Roman" w:eastAsia="Times New Roman" w:hAnsi="Times New Roman"/>
          <w:sz w:val="18"/>
          <w:szCs w:val="18"/>
          <w:color w:val="auto"/>
        </w:rPr>
      </w:pPr>
    </w:p>
    <w:p>
      <w:pPr>
        <w:ind w:left="1500" w:right="220" w:hanging="369"/>
        <w:spacing w:after="0" w:line="266"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planned filing of investigational drug applications or their equivalents, planned product development activities, and initiation of clinical trials of our current product candidates, including DMR-001, DMR-002, and DMR-003, and any future product candidates;</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directors, officers, key employees and consultants;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and manage our growth effectively;</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current or future product candidates that we may identify or develop;</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adequate supply of our current or future product candidates;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third-party relationships necessary to conduct our business;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adequate safety or efficacy profile for our current or future product candidates that we may pursue;</w:t>
      </w:r>
    </w:p>
    <w:p>
      <w:pPr>
        <w:spacing w:after="0" w:line="117" w:lineRule="exact"/>
        <w:rPr>
          <w:rFonts w:ascii="Times New Roman" w:cs="Times New Roman" w:eastAsia="Times New Roman" w:hAnsi="Times New Roman"/>
          <w:sz w:val="18"/>
          <w:szCs w:val="18"/>
          <w:color w:val="auto"/>
        </w:rPr>
      </w:pPr>
    </w:p>
    <w:p>
      <w:pPr>
        <w:ind w:left="1500" w:right="6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execution of our strategic plans for our business, our current or future product candidates we may develop and our technology;</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product candidates and technology;</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for our current or future product candidates we may develop;</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about the size of our market opportunity;</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liquidity;</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17" w:lineRule="exact"/>
        <w:rPr>
          <w:rFonts w:ascii="Times New Roman" w:cs="Times New Roman" w:eastAsia="Times New Roman" w:hAnsi="Times New Roman"/>
          <w:sz w:val="18"/>
          <w:szCs w:val="18"/>
          <w:color w:val="auto"/>
        </w:rPr>
      </w:pPr>
    </w:p>
    <w:p>
      <w:pPr>
        <w:ind w:left="1500" w:right="16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consultants and to identify, hire and retain additional qualified professionals;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internal controls over financial reporting;</w:t>
      </w:r>
    </w:p>
    <w:p>
      <w:pPr>
        <w:spacing w:after="0" w:line="117" w:lineRule="exact"/>
        <w:rPr>
          <w:rFonts w:ascii="Times New Roman" w:cs="Times New Roman" w:eastAsia="Times New Roman" w:hAnsi="Times New Roman"/>
          <w:sz w:val="18"/>
          <w:szCs w:val="18"/>
          <w:color w:val="auto"/>
        </w:rPr>
      </w:pPr>
    </w:p>
    <w:p>
      <w:pPr>
        <w:ind w:left="1500" w:right="42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uncertainty and financial market volatility caused by economic effects of volatility in inflation and interest rates, tariffs, geopolitical instability, changes in international trade relationships and conflicts; and</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w:t>
      </w:r>
    </w:p>
    <w:p>
      <w:pPr>
        <w:spacing w:after="0" w:line="225"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reasons described elsewhere in this Quarterly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Report on Form 10-Q and those set forth in Part I, Item 1A - “Risk Factors” in our Annual Report on Form 10-K for the fiscal year ended December 31, 2025. Any forward-looking statement in this Quarterly Report on Form 10-Q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3"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7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“Damora,” and the “Company” refer to Damora Therapeutics, Inc. and, where appropriate, its consolidated subsidiaries.</w:t>
      </w:r>
    </w:p>
    <w:p>
      <w:pPr>
        <w:spacing w:after="0" w:line="1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applied for various trademarks that we use in connection with the operation of our business. This Quarterly Report on Form 10-Q includes trademarks, service marks, and trade names owned by us or other companies. All trademarks, service marks, and trade names included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to the fullest extent under applicable law, their rights thereto.</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40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532,899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260,423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50"/>
        </w:trPr>
        <w:tc>
          <w:tcPr>
            <w:tcW w:w="7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535,442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260,527</w:t>
            </w:r>
          </w:p>
        </w:tc>
        <w:tc>
          <w:tcPr>
            <w:tcW w:w="100" w:type="dxa"/>
            <w:vAlign w:val="bottom"/>
            <w:shd w:val="clear" w:color="auto" w:fill="CFF0FC"/>
          </w:tcPr>
          <w:p>
            <w:pPr>
              <w:spacing w:after="0"/>
              <w:rPr>
                <w:sz w:val="21"/>
                <w:szCs w:val="21"/>
                <w:color w:val="auto"/>
              </w:rPr>
            </w:pPr>
          </w:p>
        </w:tc>
      </w:tr>
      <w:tr>
        <w:trPr>
          <w:trHeight w:val="197"/>
        </w:trPr>
        <w:tc>
          <w:tcPr>
            <w:tcW w:w="7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6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6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of $0.00001 per share; 10,000,000 shares authorized</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March 31, 2026 and December 31, 2025; 159 shares issued and outstanding as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March 31, 2026 and December 31, 2025</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B non-voting convertible preferred stock, par value of $0.00001 per share;</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16,366 shares authorized at March 31, 2026 and December 31, 2025; 16,366</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as of March 31, 20216 and December 31, 2025</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100" w:type="dxa"/>
            <w:vAlign w:val="bottom"/>
            <w:shd w:val="clear" w:color="auto" w:fill="CFF0FC"/>
          </w:tcPr>
          <w:p>
            <w:pPr>
              <w:spacing w:after="0"/>
              <w:rPr>
                <w:sz w:val="20"/>
                <w:szCs w:val="20"/>
                <w:color w:val="auto"/>
              </w:rPr>
            </w:pPr>
          </w:p>
        </w:tc>
      </w:tr>
      <w:tr>
        <w:trPr>
          <w:trHeight w:val="198"/>
        </w:trPr>
        <w:tc>
          <w:tcPr>
            <w:tcW w:w="70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C non-voting convertible preferred stock, par value of $0.00001 per share;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43,882 shares authorized at March 31, 2026 and December 31, 2025; 1,877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43,882 shares issued and outstanding as of March 31, 2026 and December 31, 2025</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297,291</w:t>
            </w:r>
          </w:p>
        </w:tc>
        <w:tc>
          <w:tcPr>
            <w:tcW w:w="100" w:type="dxa"/>
            <w:vAlign w:val="bottom"/>
          </w:tcPr>
          <w:p>
            <w:pPr>
              <w:spacing w:after="0"/>
              <w:rPr>
                <w:sz w:val="20"/>
                <w:szCs w:val="20"/>
                <w:color w:val="auto"/>
              </w:rPr>
            </w:pPr>
          </w:p>
        </w:tc>
      </w:tr>
      <w:tr>
        <w:trPr>
          <w:trHeight w:val="198"/>
        </w:trPr>
        <w:tc>
          <w:tcPr>
            <w:tcW w:w="7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of $0.00001 per share; 500,000,000 shares authorized</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March 31, 2026 and 300,000,000 shares authorized at December 31, 2025;</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60,303,212 and 1,597,321 shares issued and outstanding at March 31, 2026</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(515,146)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(487,363)</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r>
      <w:tr>
        <w:trPr>
          <w:trHeight w:val="210"/>
        </w:trPr>
        <w:tc>
          <w:tcPr>
            <w:tcW w:w="7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535,442</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-4194175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-4177030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-4194175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-4177030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-3345815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-3345815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-3062605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-3062605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-10795</wp:posOffset>
            </wp:positionV>
            <wp:extent cx="215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-126365</wp:posOffset>
            </wp:positionV>
            <wp:extent cx="2151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1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09"/>
        </w:trPr>
        <w:tc>
          <w:tcPr>
            <w:tcW w:w="6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transaction gain (loss), net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 Series B Preferred Stock</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Series B non-voting convertible preferred stock outstanding,</w:t>
            </w: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4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4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 Series C Preferred Stock</w:t>
            </w:r>
          </w:p>
        </w:tc>
        <w:tc>
          <w:tcPr>
            <w:tcW w:w="10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(33.07)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7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Series C non-voting convertible preferred stock outstanding,</w:t>
            </w:r>
          </w:p>
        </w:tc>
        <w:tc>
          <w:tcPr>
            <w:tcW w:w="10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20,079</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7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 common stock</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w:t>
            </w: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34,299,182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1,322,011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common share, basic and diluted</w:t>
            </w:r>
          </w:p>
        </w:tc>
        <w:tc>
          <w:tcPr>
            <w:tcW w:w="10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Currency translation (loss) gain</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(27,831)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-3342640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-2776855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-2485390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-616585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1"/>
                <w:szCs w:val="11"/>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w:t>
            </w:r>
          </w:p>
        </w:tc>
        <w:tc>
          <w:tcPr>
            <w:tcW w:w="24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40" w:type="dxa"/>
            <w:vAlign w:val="bottom"/>
            <w:tcBorders>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gridSpan w:val="3"/>
            <w:vMerge w:val="restart"/>
          </w:tcPr>
          <w:p>
            <w:pPr>
              <w:jc w:val="center"/>
              <w:ind w:left="95"/>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3"/>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Accumulate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80" w:type="dxa"/>
            <w:vAlign w:val="bottom"/>
            <w:gridSpan w:val="3"/>
          </w:tcPr>
          <w:p>
            <w:pPr>
              <w:jc w:val="center"/>
              <w:ind w:left="95"/>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7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40" w:type="dxa"/>
            <w:vAlign w:val="bottom"/>
            <w:tcBorders>
              <w:right w:val="single" w:sz="8" w:color="auto"/>
            </w:tcBorders>
          </w:tcPr>
          <w:p>
            <w:pPr>
              <w:spacing w:after="0"/>
              <w:rPr>
                <w:sz w:val="10"/>
                <w:szCs w:val="10"/>
                <w:color w:val="auto"/>
              </w:rPr>
            </w:pPr>
          </w:p>
        </w:tc>
        <w:tc>
          <w:tcPr>
            <w:tcW w:w="780" w:type="dxa"/>
            <w:vAlign w:val="bottom"/>
            <w:gridSpan w:val="3"/>
          </w:tcPr>
          <w:p>
            <w:pPr>
              <w:jc w:val="center"/>
              <w:ind w:left="95"/>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ind w:right="50"/>
              <w:spacing w:after="0" w:line="122" w:lineRule="exact"/>
              <w:rPr>
                <w:sz w:val="20"/>
                <w:szCs w:val="20"/>
                <w:color w:val="auto"/>
              </w:rPr>
            </w:pPr>
            <w:r>
              <w:rPr>
                <w:rFonts w:ascii="Times New Roman" w:cs="Times New Roman" w:eastAsia="Times New Roman" w:hAnsi="Times New Roman"/>
                <w:sz w:val="11"/>
                <w:szCs w:val="11"/>
                <w:b w:val="1"/>
                <w:bCs w:val="1"/>
                <w:color w:val="auto"/>
              </w:rPr>
              <w:t>nal</w:t>
            </w:r>
          </w:p>
        </w:tc>
        <w:tc>
          <w:tcPr>
            <w:tcW w:w="160" w:type="dxa"/>
            <w:vAlign w:val="bottom"/>
          </w:tcPr>
          <w:p>
            <w:pPr>
              <w:spacing w:after="0"/>
              <w:rPr>
                <w:sz w:val="10"/>
                <w:szCs w:val="10"/>
                <w:color w:val="auto"/>
              </w:rPr>
            </w:pPr>
          </w:p>
        </w:tc>
        <w:tc>
          <w:tcPr>
            <w:tcW w:w="6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w:t>
            </w:r>
          </w:p>
        </w:tc>
        <w:tc>
          <w:tcPr>
            <w:tcW w:w="7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Comprehen</w:t>
            </w:r>
          </w:p>
        </w:tc>
        <w:tc>
          <w:tcPr>
            <w:tcW w:w="6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Stockhold</w:t>
            </w: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Borders>
              <w:right w:val="single" w:sz="8" w:color="auto"/>
            </w:tcBorders>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1"/>
                <w:szCs w:val="11"/>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sive</w:t>
            </w: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0"/>
              </w:rPr>
              <w:t>ers’</w:t>
            </w: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28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Shar</w:t>
            </w: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40" w:type="dxa"/>
            <w:vAlign w:val="bottom"/>
            <w:tcBorders>
              <w:right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80"/>
              <w:spacing w:after="0" w:line="100" w:lineRule="exact"/>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w:t>
            </w:r>
          </w:p>
        </w:tc>
        <w:tc>
          <w:tcPr>
            <w:tcW w:w="160" w:type="dxa"/>
            <w:vAlign w:val="bottom"/>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40" w:type="dxa"/>
            <w:vAlign w:val="bottom"/>
            <w:tcBorders>
              <w:right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60" w:type="dxa"/>
            <w:vAlign w:val="bottom"/>
          </w:tcPr>
          <w:p>
            <w:pPr>
              <w:spacing w:after="0"/>
              <w:rPr>
                <w:sz w:val="11"/>
                <w:szCs w:val="1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nt</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2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2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w:t>
            </w:r>
          </w:p>
        </w:tc>
        <w:tc>
          <w:tcPr>
            <w:tcW w:w="4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60" w:type="dxa"/>
            <w:vAlign w:val="bottom"/>
            <w:tcBorders>
              <w:right w:val="single" w:sz="8" w:color="CFF0FC"/>
            </w:tcBorders>
            <w:gridSpan w:val="2"/>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1,316,</w:t>
            </w:r>
          </w:p>
        </w:tc>
        <w:tc>
          <w:tcPr>
            <w:tcW w:w="180" w:type="dxa"/>
            <w:vAlign w:val="bottom"/>
            <w:tcBorders>
              <w:right w:val="single" w:sz="8" w:color="CFF0FC"/>
            </w:tcBorders>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291,</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(277,</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Issuance of common stock in connection with vesting of</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5,37</w:t>
            </w:r>
          </w:p>
        </w:tc>
        <w:tc>
          <w:tcPr>
            <w:tcW w:w="18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560" w:type="dxa"/>
            <w:vAlign w:val="bottom"/>
            <w:tcBorders>
              <w:right w:val="single" w:sz="8" w:color="CFF0FC"/>
            </w:tcBorders>
            <w:gridSpan w:val="2"/>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right w:val="single" w:sz="8" w:color="CFF0FC"/>
            </w:tcBorders>
            <w:shd w:val="clear" w:color="auto" w:fill="CFF0FC"/>
          </w:tcPr>
          <w:p>
            <w:pPr>
              <w:spacing w:after="0"/>
              <w:rPr>
                <w:sz w:val="16"/>
                <w:szCs w:val="16"/>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260" w:type="dxa"/>
            <w:vAlign w:val="bottom"/>
            <w:shd w:val="clear" w:color="auto" w:fill="CFF0FC"/>
          </w:tcPr>
          <w:p>
            <w:pPr>
              <w:spacing w:after="0"/>
              <w:rPr>
                <w:sz w:val="8"/>
                <w:szCs w:val="8"/>
                <w:color w:val="auto"/>
              </w:rPr>
            </w:pPr>
          </w:p>
        </w:tc>
        <w:tc>
          <w:tcPr>
            <w:tcW w:w="740" w:type="dxa"/>
            <w:vAlign w:val="bottom"/>
            <w:gridSpan w:val="3"/>
            <w:vMerge w:val="continue"/>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34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60" w:type="dxa"/>
            <w:vAlign w:val="bottom"/>
            <w:tcBorders>
              <w:right w:val="single" w:sz="8" w:color="CFF0FC"/>
            </w:tcBorders>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gridSpan w:val="2"/>
            <w:vMerge w:val="continue"/>
            <w:shd w:val="clear" w:color="auto" w:fill="CFF0FC"/>
          </w:tcPr>
          <w:p>
            <w:pPr>
              <w:spacing w:after="0"/>
              <w:rPr>
                <w:sz w:val="8"/>
                <w:szCs w:val="8"/>
                <w:color w:val="auto"/>
              </w:rPr>
            </w:pPr>
          </w:p>
        </w:tc>
        <w:tc>
          <w:tcPr>
            <w:tcW w:w="480" w:type="dxa"/>
            <w:vAlign w:val="bottom"/>
            <w:vMerge w:val="continue"/>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6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60" w:type="dxa"/>
            <w:vAlign w:val="bottom"/>
            <w:tcBorders>
              <w:right w:val="single" w:sz="8" w:color="CFF0FC"/>
            </w:tcBorders>
            <w:gridSpan w:val="2"/>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spacing w:after="0"/>
              <w:rPr>
                <w:sz w:val="14"/>
                <w:szCs w:val="14"/>
                <w:color w:val="auto"/>
              </w:rPr>
            </w:pPr>
          </w:p>
        </w:tc>
        <w:tc>
          <w:tcPr>
            <w:tcW w:w="740" w:type="dxa"/>
            <w:vAlign w:val="bottom"/>
            <w:gridSpan w:val="3"/>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12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Balance at March 31, 2025</w:t>
            </w:r>
          </w:p>
        </w:tc>
        <w:tc>
          <w:tcPr>
            <w:tcW w:w="2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right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0"/>
                <w:szCs w:val="10"/>
                <w:color w:val="auto"/>
              </w:rPr>
            </w:pP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1,322,</w:t>
            </w:r>
          </w:p>
        </w:tc>
        <w:tc>
          <w:tcPr>
            <w:tcW w:w="18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292,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(280,</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$ 60</w:t>
            </w:r>
          </w:p>
        </w:tc>
        <w:tc>
          <w:tcPr>
            <w:tcW w:w="240" w:type="dxa"/>
            <w:vAlign w:val="bottom"/>
            <w:tcBorders>
              <w:right w:val="single" w:sz="8" w:color="auto"/>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gridSpan w:val="2"/>
            <w:vMerge w:val="continue"/>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tcPr>
          <w:p>
            <w:pPr>
              <w:spacing w:after="0"/>
              <w:rPr>
                <w:sz w:val="20"/>
                <w:szCs w:val="20"/>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w:t>
            </w:r>
          </w:p>
        </w:tc>
        <w:tc>
          <w:tcPr>
            <w:tcW w:w="2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40" w:type="dxa"/>
            <w:vAlign w:val="bottom"/>
            <w:tcBorders>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gridSpan w:val="3"/>
            <w:vMerge w:val="restart"/>
          </w:tcPr>
          <w:p>
            <w:pPr>
              <w:jc w:val="center"/>
              <w:ind w:left="95"/>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3"/>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Accumulate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80" w:type="dxa"/>
            <w:vAlign w:val="bottom"/>
            <w:gridSpan w:val="3"/>
          </w:tcPr>
          <w:p>
            <w:pPr>
              <w:jc w:val="center"/>
              <w:ind w:left="95"/>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7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40" w:type="dxa"/>
            <w:vAlign w:val="bottom"/>
            <w:tcBorders>
              <w:right w:val="single" w:sz="8" w:color="auto"/>
            </w:tcBorders>
          </w:tcPr>
          <w:p>
            <w:pPr>
              <w:spacing w:after="0"/>
              <w:rPr>
                <w:sz w:val="10"/>
                <w:szCs w:val="10"/>
                <w:color w:val="auto"/>
              </w:rPr>
            </w:pPr>
          </w:p>
        </w:tc>
        <w:tc>
          <w:tcPr>
            <w:tcW w:w="780" w:type="dxa"/>
            <w:vAlign w:val="bottom"/>
            <w:gridSpan w:val="3"/>
          </w:tcPr>
          <w:p>
            <w:pPr>
              <w:jc w:val="center"/>
              <w:ind w:left="95"/>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ind w:right="50"/>
              <w:spacing w:after="0" w:line="122" w:lineRule="exact"/>
              <w:rPr>
                <w:sz w:val="20"/>
                <w:szCs w:val="20"/>
                <w:color w:val="auto"/>
              </w:rPr>
            </w:pPr>
            <w:r>
              <w:rPr>
                <w:rFonts w:ascii="Times New Roman" w:cs="Times New Roman" w:eastAsia="Times New Roman" w:hAnsi="Times New Roman"/>
                <w:sz w:val="11"/>
                <w:szCs w:val="11"/>
                <w:b w:val="1"/>
                <w:bCs w:val="1"/>
                <w:color w:val="auto"/>
              </w:rPr>
              <w:t>nal</w:t>
            </w:r>
          </w:p>
        </w:tc>
        <w:tc>
          <w:tcPr>
            <w:tcW w:w="160" w:type="dxa"/>
            <w:vAlign w:val="bottom"/>
          </w:tcPr>
          <w:p>
            <w:pPr>
              <w:spacing w:after="0"/>
              <w:rPr>
                <w:sz w:val="10"/>
                <w:szCs w:val="10"/>
                <w:color w:val="auto"/>
              </w:rPr>
            </w:pPr>
          </w:p>
        </w:tc>
        <w:tc>
          <w:tcPr>
            <w:tcW w:w="6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w:t>
            </w:r>
          </w:p>
        </w:tc>
        <w:tc>
          <w:tcPr>
            <w:tcW w:w="7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Comprehen</w:t>
            </w:r>
          </w:p>
        </w:tc>
        <w:tc>
          <w:tcPr>
            <w:tcW w:w="6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Stockhold</w:t>
            </w: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Borders>
              <w:right w:val="single" w:sz="8" w:color="auto"/>
            </w:tcBorders>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1"/>
                <w:szCs w:val="11"/>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sive</w:t>
            </w: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0"/>
              </w:rPr>
              <w:t>ers’</w:t>
            </w: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28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Shar</w:t>
            </w: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40" w:type="dxa"/>
            <w:vAlign w:val="bottom"/>
            <w:tcBorders>
              <w:right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280"/>
              <w:spacing w:after="0" w:line="100" w:lineRule="exact"/>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w:t>
            </w:r>
          </w:p>
        </w:tc>
        <w:tc>
          <w:tcPr>
            <w:tcW w:w="160" w:type="dxa"/>
            <w:vAlign w:val="bottom"/>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40" w:type="dxa"/>
            <w:vAlign w:val="bottom"/>
            <w:tcBorders>
              <w:right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60" w:type="dxa"/>
            <w:vAlign w:val="bottom"/>
          </w:tcPr>
          <w:p>
            <w:pPr>
              <w:spacing w:after="0"/>
              <w:rPr>
                <w:sz w:val="11"/>
                <w:szCs w:val="1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nt</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2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 at December 31, 2025</w:t>
            </w:r>
          </w:p>
        </w:tc>
        <w:tc>
          <w:tcPr>
            <w:tcW w:w="2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w:t>
            </w:r>
          </w:p>
        </w:tc>
        <w:tc>
          <w:tcPr>
            <w:tcW w:w="4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w:t>
            </w:r>
          </w:p>
        </w:tc>
        <w:tc>
          <w:tcPr>
            <w:tcW w:w="640" w:type="dxa"/>
            <w:vAlign w:val="bottom"/>
            <w:gridSpan w:val="3"/>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117,6</w:t>
            </w:r>
          </w:p>
        </w:tc>
        <w:tc>
          <w:tcPr>
            <w:tcW w:w="5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43,8</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297,2</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1,597,</w:t>
            </w:r>
          </w:p>
        </w:tc>
        <w:tc>
          <w:tcPr>
            <w:tcW w:w="180" w:type="dxa"/>
            <w:vAlign w:val="bottom"/>
            <w:tcBorders>
              <w:right w:val="single" w:sz="8" w:color="CFF0FC"/>
            </w:tcBorders>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310,</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(487,</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240,3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3,13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Conversion of Series C Preferred Stock issued in connection with the</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(16,99</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2,364,</w:t>
            </w:r>
          </w:p>
        </w:tc>
        <w:tc>
          <w:tcPr>
            <w:tcW w:w="180" w:type="dxa"/>
            <w:vAlign w:val="bottom"/>
            <w:tcBorders>
              <w:right w:val="single" w:sz="8" w:color="CFF0FC"/>
            </w:tcBorders>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16,9</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asset acquisition of Damora Therapeutics, Inc</w:t>
            </w:r>
          </w:p>
        </w:tc>
        <w:tc>
          <w:tcPr>
            <w:tcW w:w="2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66"/>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Stockholder approval of the issuance of common stock upon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(266,8</w:t>
            </w:r>
          </w:p>
        </w:tc>
        <w:tc>
          <w:tcPr>
            <w:tcW w:w="16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39,64</w:t>
            </w:r>
          </w:p>
        </w:tc>
        <w:tc>
          <w:tcPr>
            <w:tcW w:w="1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conversion of Series C non-voting convertible preferred stock</w:t>
            </w:r>
          </w:p>
        </w:tc>
        <w:tc>
          <w:tcPr>
            <w:tcW w:w="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gridSpan w:val="3"/>
          </w:tcPr>
          <w:p>
            <w:pPr>
              <w:jc w:val="right"/>
              <w:ind w:right="66"/>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60" w:type="dxa"/>
            <w:vAlign w:val="bottom"/>
            <w:tcBorders>
              <w:right w:val="single" w:sz="8" w:color="CFF0FC"/>
            </w:tcBorders>
            <w:gridSpan w:val="2"/>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16,64</w:t>
            </w:r>
          </w:p>
        </w:tc>
        <w:tc>
          <w:tcPr>
            <w:tcW w:w="180" w:type="dxa"/>
            <w:vAlign w:val="bottom"/>
            <w:tcBorders>
              <w:right w:val="single" w:sz="8" w:color="CFF0FC"/>
            </w:tcBorders>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295,</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295,4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connection with offering, net of issuance costs of $20,753</w:t>
            </w:r>
          </w:p>
        </w:tc>
        <w:tc>
          <w:tcPr>
            <w:tcW w:w="2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4,737</w:t>
            </w: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Forfeiture of shares</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(9,638)</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2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vesting of</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60" w:type="dxa"/>
            <w:vAlign w:val="bottom"/>
            <w:tcBorders>
              <w:right w:val="single" w:sz="8" w:color="CFF0FC"/>
            </w:tcBorders>
            <w:gridSpan w:val="2"/>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2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w:t>
            </w: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6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60,50</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2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26"/>
        </w:trPr>
        <w:tc>
          <w:tcPr>
            <w:tcW w:w="42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 at March 31, 2026</w:t>
            </w:r>
          </w:p>
        </w:tc>
        <w:tc>
          <w:tcPr>
            <w:tcW w:w="2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right w:val="single" w:sz="8" w:color="auto"/>
            </w:tcBorders>
            <w:shd w:val="clear" w:color="auto" w:fill="CFF0FC"/>
          </w:tcPr>
          <w:p>
            <w:pPr>
              <w:spacing w:after="0"/>
              <w:rPr>
                <w:sz w:val="10"/>
                <w:szCs w:val="10"/>
                <w:color w:val="auto"/>
              </w:rPr>
            </w:pP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117,6</w:t>
            </w:r>
          </w:p>
        </w:tc>
        <w:tc>
          <w:tcPr>
            <w:tcW w:w="1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1,87</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13,49</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60,30</w:t>
            </w:r>
          </w:p>
        </w:tc>
        <w:tc>
          <w:tcPr>
            <w:tcW w:w="180" w:type="dxa"/>
            <w:vAlign w:val="bottom"/>
            <w:tcBorders>
              <w:right w:val="single" w:sz="8" w:color="CFF0FC"/>
            </w:tcBorders>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893,</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(515,</w:t>
            </w:r>
          </w:p>
        </w:tc>
        <w:tc>
          <w:tcPr>
            <w:tcW w:w="1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511,6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2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$ 41</w:t>
            </w:r>
          </w:p>
        </w:tc>
        <w:tc>
          <w:tcPr>
            <w:tcW w:w="2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4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3,212</w:t>
            </w:r>
          </w:p>
        </w:tc>
        <w:tc>
          <w:tcPr>
            <w:tcW w:w="180" w:type="dxa"/>
            <w:vAlign w:val="bottom"/>
            <w:tcBorders>
              <w:right w:val="single" w:sz="8" w:color="CFF0FC"/>
            </w:tcBorders>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40" w:type="dxa"/>
            <w:vAlign w:val="bottom"/>
            <w:gridSpan w:val="2"/>
            <w:vMerge w:val="continue"/>
            <w:shd w:val="clear" w:color="auto" w:fill="CFF0FC"/>
          </w:tcPr>
          <w:p>
            <w:pPr>
              <w:spacing w:after="0"/>
              <w:rPr>
                <w:sz w:val="16"/>
                <w:szCs w:val="16"/>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-2948305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-2948305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-2948305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-2948305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-2948305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-2948305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-2948305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-2948305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-2948305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-2948305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-2948305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25"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2"/>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of common stock in connection with vesting of restricted stock units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right of use lease asset</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of lease liability</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69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assets, noncurrent</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9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(5,209)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(20,598)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(2,439)</w:t>
            </w:r>
          </w:p>
        </w:tc>
      </w:tr>
      <w:tr>
        <w:trPr>
          <w:trHeight w:val="209"/>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69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stock in connection with offering,</w:t>
            </w:r>
          </w:p>
        </w:tc>
        <w:tc>
          <w:tcPr>
            <w:tcW w:w="8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issuance costs</w:t>
            </w:r>
          </w:p>
        </w:tc>
        <w:tc>
          <w:tcPr>
            <w:tcW w:w="8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295,497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stock option exercise</w:t>
            </w:r>
          </w:p>
        </w:tc>
        <w:tc>
          <w:tcPr>
            <w:tcW w:w="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295,921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20" w:type="dxa"/>
            <w:vAlign w:val="bottom"/>
          </w:tcPr>
          <w:p>
            <w:pPr>
              <w:spacing w:after="0"/>
              <w:rPr>
                <w:sz w:val="18"/>
                <w:szCs w:val="18"/>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275,323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(2,439)</w:t>
            </w:r>
          </w:p>
        </w:tc>
      </w:tr>
      <w:tr>
        <w:trPr>
          <w:trHeight w:val="20"/>
        </w:trPr>
        <w:tc>
          <w:tcPr>
            <w:tcW w:w="6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760" w:type="dxa"/>
            <w:vAlign w:val="bottom"/>
            <w:gridSpan w:val="2"/>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532,899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FF0FC"/>
          </w:tcPr>
          <w:p>
            <w:pPr>
              <w:spacing w:after="0"/>
              <w:rPr>
                <w:sz w:val="18"/>
                <w:szCs w:val="18"/>
                <w:color w:val="auto"/>
              </w:rPr>
            </w:pPr>
          </w:p>
        </w:tc>
      </w:tr>
      <w:tr>
        <w:trPr>
          <w:trHeight w:val="210"/>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8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taxes</w:t>
            </w: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-290830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Damora Therapeutics, Inc. (formerly known as Galecto, Inc.) is a biopharmaceutical company developing therapies for the treatment of hematological malignancies. As used in these financial statements, unless the context otherwise requires, references to the “Company,” “we,” “us,” and “our” refer to Damora Therapeutics, Inc. and its subsidiaries.</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wholly owned subsidiaries were PharmAkea, Inc., a Delaware corporation (“PharmAkea”), Damora Securities Corporation, a Massachusetts corporation, Damora Therapeutics, LLC, a Delaware limited liability company, and Galecto Biotech AB, a Swedish company. Galecto Biotech ApS, a Danish operating company, is a wholly-owned subsidiary of Galecto Biotech AB.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10, 2025, the Company acquired Damora Therapeutics, Inc., a Delaware corporation (“Pre-Acquisition Damora”), in accordance with the terms of the Agreement and Plan of Merger, dated November 10, 2025 (the “Acquisition Agreement”), by and among the Company, Daylight Merger Sub I, Inc., a Delaware corporation and a wholly owned subsidiary of the Company (“First Merger Sub”), Daylight Merger Sub II, LLC, a Delaware limited liability company and wholly owned subsidiary of the Company (“Second Merger Sub”), and Pre-Acquisition Damora. Pursuant to the Acquisition Agreement, First Merger Sub merged with and into Pre-Acquisition Damora, pursuant to which Pre-Acquisition Damora was the surviving corporation and became a wholly owned subsidiary of the Company (the “First Merger”). Immediately following the First Merger, Pre-Acquisition Damora merged with and into Second Merger Sub, pursuant to which Second Merger Sub was the surviving entity (together with the First Merger, the “Asset Acquisition”). The Asset Acquisition is intended to qualify as a tax-free reorganization for U.S. federal income tax purposes.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Acquisition Agreement, following the closing of the Asset Acquisition (the “Closing”), the Company issued to the stockholders of Pre-Acquisition Damora (i) 265,309 shares of the common stock of the Company, par value $0.00001 per share (the “Common Stock”), (ii) 16,366 shares of Series B Non-Voting Convertible Preferred Stock, par value $0.00001 per share (the “Series B Preferred Stock”) (as described below), and (iii) 4,241 shares of Series C Non-Voting Convertible Preferred Stock, par value $0.00001 per share (the “Series C Preferred Stock”) (as described below), in the case (ii) and (iii), each share of which is convertible into 1,000 shares of Common Stock, subject to certain conditions described below.</w:t>
      </w:r>
    </w:p>
    <w:p>
      <w:pPr>
        <w:spacing w:after="0" w:line="116" w:lineRule="exact"/>
        <w:rPr>
          <w:sz w:val="20"/>
          <w:szCs w:val="20"/>
          <w:color w:val="auto"/>
        </w:rPr>
      </w:pPr>
    </w:p>
    <w:p>
      <w:pPr>
        <w:ind w:right="240"/>
        <w:spacing w:after="0" w:line="227" w:lineRule="exact"/>
        <w:rPr>
          <w:sz w:val="20"/>
          <w:szCs w:val="20"/>
          <w:color w:val="auto"/>
        </w:rPr>
      </w:pPr>
      <w:r>
        <w:rPr>
          <w:rFonts w:ascii="Times New Roman" w:cs="Times New Roman" w:eastAsia="Times New Roman" w:hAnsi="Times New Roman"/>
          <w:sz w:val="18"/>
          <w:szCs w:val="18"/>
          <w:color w:val="auto"/>
        </w:rPr>
        <w:t>In connection with the Asset Acquisition, the Company also entered into a significant private investment in public equity (“PIPE”) transaction. The Company agreed to sell 39,641 shares of Series C Preferred Stock in the PIPE for approximately $285 million in gross proceeds. The PIPE closed on November 12, 2025. The Series C Preferred Stock are convertible into Common Stock at a ratio of 1,000 shares of Common Stock per share of Series C Preferred Stock, subject beneficial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ownership limitations.</w:t>
      </w:r>
    </w:p>
    <w:p>
      <w:pPr>
        <w:spacing w:after="0" w:line="10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February 9, 2026, the Company’s stockholders approved, among other proposals, the issuance of shares of Common Stock upon conversion of the Series B Preferred Stock and Series C Preferred Stock. Following the special meeting of the stockholders of the Company, 42,005 shares of Series C Preferred Stock were automatically converted into 42,005,000 shares of Common Stock.</w:t>
      </w:r>
    </w:p>
    <w:p>
      <w:pPr>
        <w:spacing w:after="0" w:line="9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10, 2026, we also entered into an underwriting agreement with certain underwriters to issue and sell 16,644,737 shares of Common Stock, which included the full exercise by the underwriters of their option to purchase an additional 2,171,052 shares, at a public offering price of $19.00 per share. The underwritten offering closed on February 12, 2026. The net proceeds from this offering were approximately $295.5 million, after deducting underwriting discounts and commissions and expenses of the offering of $20.8 million.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a review of the Company’s product candidate portfolio in March 2026, the Company has determined to focus on its mutant forms of the calcium binding protein calreticulin (“mutCALR”) portfolio to address the full mutCALR myeloproliferative neoplasm (“MPN”) disease spectrum and has deprioritized continued development of GB3226.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inception, the Company has devoted substantially all its efforts to business planning, research and development, recruiting management and technical staff and raising capital, and has financed its operations primarily through the issuance of preferred shares, debt financings, the Company’s initial public offering and sales of Common Stock.</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an accumulated deficit of $515.1 million, from recurring losses since inception in 2011. The Company has incurred recurring losses and has not generated revenue as no products have obtained the necessary regulatory approval in order to market products. The Company expects to continue to incur losses as a result of costs and expenses related to the Company’s clinical development and corporate general and administrative activities. The Company had negative cash flows from operating activities during the three months ended March 31, 2026 and 2025 of $20.6 million and $2.4 million, respectively, and current projections indicate that the Company will have continued negative cash flows for the foreseeable future as it continues to fund operating expenses. Net losses incurred for the three months ended March 31, 2026 and 2025 amounted to $27.8 million and $2.5 million, respectively.</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March 31, 2026, the Company’s cash and cash equivalents amounted to $532.9 million, current assets amounted to $535.4 million and current liabilities amounted to $23.8 million. At December 31, 2025, the Company’s cash and cash equivalents amounted to $257.6 million, current assets amounted to $260.4 million and current liabilities amounted to $20.1 million.</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Based on current operating plans, the Company has sufficient resources to fund operations for at least one year from the issuance date of these financial statements with existing cash and cash equivalents.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February 9, 2026, the Company filed with the Secretary of State of the State of Delaware a certificate of amendment to its amended and restated certificate of incorporation to increase the number of authorized shares of Common Stock from 300,000,000 to 500,000,000.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accordance with United States generally accepted accounting principles (“U.S. GAAP”).</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as of March 31, 2026 and for the three months ended March 31, 2026 and 2025, and related information contained within the notes to the interim condensed consolidated financial statements, are unaudited. In management’s opinion, the unaudited interim condensed consolidated financial statements have been prepared on the same basis as the Company’s audited consolidated financial statements and include all adjustments (including normal recurring adjustments) necessary for the fair presentation of the Company’s financial position as of March 31, 2026, results of operations, statement of stockholders’ equity for the three months ended March 31, 2026 and 2025 and its cash flows for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months ended March 31, 2026 and 2025. All intercompany balances and transactions have been eliminated. These unaudited interim condensed consolidated financial statements should be read in conjunction with the Company’s audited consolidated financial statements and accompanying notes contained in the Company’s </w:t>
      </w:r>
      <w:hyperlink r:id="rId107">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Securities and Exchange Commission (the “SEC”) on March 19, 2026 (the “2025 Consolidated Financial Statements”). The results for the three months ended March 31, 2026 are not necessarily indicative of the results expected for the full fiscal year or any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-308610</wp:posOffset>
            </wp:positionV>
            <wp:extent cx="13582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there have been no material changes to the significant accounting policies as disclosed in Note 2 to the 2025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contingent consideration and the valuation of stock-based awards. Estimates are periodically reviewed in light of changes in circumstances, facts and experience. Actual results could differ from the Company’s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year’s financial statement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14, 2023, the FASB issued ASU No. 2023-09, Improvements to Income Tax Disclosures (“ASU 2023-09”). ASU 2023-09 amends ASC 740, Income Taxes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See Note 14 Income Taxes to the 2025 Consolidated Financial Statements in the Form 10-K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have concluded they are not applicable or not expected to be significant to the accounting for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Paragon Therapeutics, Inc. and Paramora Holding LLC</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Paragon Therapeutics, Inc. (“Paragon”) and Paramora Holding LLC (“Paramora”) each beneficially own less than 5% of the Company’s capital stock through their respective holdings of Common Stock. Fairmount Funds Management LLC (“Fairmount”) beneficially owns more than 5% of the Company’s capital stock on an as-converted basis, has three seats on the board of directors and beneficially owns more than 5% of Paragon. Fairmount appointed Paragon’s board of directors and has the contractual right to approve the appointment of any executive officers. Paramora is an entity formed by Paragon as a vehicle to hold equity in Pre-Acquisition Damora (and, as a result of the Asset Acquisition, the Company) in order to share profits with certain employees of Paragon.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Asset Acquisition, the Company received the option to license certain intellectual property rights related to certain research programs (collectively, the “Option”), pursuant to the Antibody Discovery and Option Agreement, dated as of October 7, 2025, by and among Paragon, Paramora and Pre-Acquisition Damora (the “Paragon Option Agreement”). Under the Paragon Option Agreement, Pre-Acquisition Damora (and, as a result of the Asset Acquisition, the Company) is obligated to compensate Paragon for its services performed under each research program based on the actual costs incurred with mark-up costs pursuant to the terms of the Paragon Option Agreement. The Company is also obligated under the Paragon Option Agreement to issue Paramora annual equity grants in accordance with the Paramora Warrant Obligation (as defined below).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 December 8, 2025, the Company exercised the Option available under the Paragon Option Agreement with respect to the DMR-001 research program, and expects to enter into the DMR-001 License Agreement.</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Following the execution of the DMR-001 License Agreement, the Company will be obligated to pay Paragon up to $22.0 million upon the achievement of specific development, regulatory and clinical milestones for the first product under each agreement, respectively, that achieves such specified milestones. The Company expects to be obligated to make a milestone payment of $2.5 million upon the first dosing of a human patient in a Phase 1 trial.</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expenses related to services provided by Paragon subsequent to the Asset Acquisition totaling $17.0 million, which included $5.0 million of stock-based compensation expense related to the Paramora Warrant Obligation, and were recorded as research and development expenses in the consolidated statements of operations. As of March 31, 2026, $12.0 million was unpaid and was included in Related party accounts payable and other current liabilities on the Company’s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Company made cash payments totaling $17.2 million to Paragon.</w:t>
      </w:r>
    </w:p>
    <w:p>
      <w:pPr>
        <w:spacing w:after="0" w:line="246"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31,</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Reimbursable costs under the Paragon Option Agreement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 of Paramora warrant obligation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the Paragon Option Agreement, the Company agreed to issue Paramora an annual equity grant of warrants, on the last business day of each of the years ended December 31, 2025 and December 31, 2026, to purchase 1% of the then outstanding shares of the Company's Common Stock, on a fully diluted basis, during the term of the Paragon Option Agreement. See Note 4 and Note 9 for additional information on the Paramora Warrant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summary of Related party accounts payable and other current liabilities (in millions):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classified its money market funds within Level 1 because their fair values are based on their quoted market prices. The Company classified its debt securities within Level 2 because their fair values are determined using alternative pricing sources or models that utilized market observable inputs.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 summary of the assets that are measured at fair value as of March 31, 2026 and December 31, 2025 is as follows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86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center"/>
              <w:ind w:right="26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20" w:type="dxa"/>
            <w:vAlign w:val="bottom"/>
            <w:vMerge w:val="continue"/>
          </w:tcPr>
          <w:p>
            <w:pPr>
              <w:spacing w:after="0"/>
              <w:rPr>
                <w:sz w:val="24"/>
                <w:szCs w:val="24"/>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2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43"/>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center"/>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-1876425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-1876425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-1876425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-1876425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-1148080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-1130935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-1148080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-1130935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-1148080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-1130935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-1130935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Money market funds with maturities of 90 days or less at the date of purchase are included within cash and cash equivalents in the accompanying consolidated balance sheets and are recognized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Paramora Warrant Obligation is considered a Level 2 liability based on observable market data for substantially the full term of the liability. The Paramora Warrant Obligation is measured each period using a Black-Scholes model to estimate the fair value of the option grant. Changes in the fair value of the Paramora Warrant Obligation are recorded as stock-based compensation within Research and development expenses for non-employees who provided pre-clinical development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research and development costs</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 receivable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costs</w:t>
            </w: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Value-added tax refund receivable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0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-1079500</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research and development costs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costs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the Company’s commitments and contingencies as disclosed in Note 11 of the 2025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authorized capital stock consists of 500,000,000 shares of Common Stock, and 10,000,000 shares of preferred stock, of which 200 shares were designated as Series A non-voting convertible preferred stock, par value $0.00001 per share (the “Series A Preferred Stock”), 16,366 shares were designated as Series B Preferred Stock, and 43,882 shares were designated as Series C Preferred Stock.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and March 31, 2026, no Common Stock dividends had been declared by the board of directors. As of March 31, 2026, there were 159 shares of Series A Preferred Stock, 16,366 shares of Series B Preferred Stock and 1,877 shares of Series C Preferred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PIPE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2025, in connection with the Asset Acquisition, the Company issued and sold 39,641 shares of Series C Preferred Stock at approximately</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$7,186.90 per share through a private placement to a group of accredited investors. The net proceeds from this offering were approximately $267.0 million, after deducting placement agent fees and offering costs of $18.1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at-the-market (“ATM”) offering program and February 2026 public offering</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filed an automatically effective shelf registration statement (the “Registration Statement”) with the SEC for the issuance of Common Stock, preferred stock, warrants, debt securities, rights and units.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February 10, 2026, the Company entered into a sales agreement (the “ATM Agreement”), pursuant to which it may sell, from time-to-time, shares of Common Stock under an ATM offering program for up to $150.0 million. For the three months ended March 31, 2026, the Company did not make any sales under the ATM offering program and had $150.0 million in remaining capacity under the ATM offering program.</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10, 2026, the Company also entered into an underwriting agreement with certain underwriters to issue and sell 16,644,737 shares of Common Stock, which included the full exercise by the underwriters of their option to purchase an additional 2,171,052 shares, at a public offering price of $19.00 per share. The underwritten offering closed on February 12, 2026. The net proceeds from this offering were approximately $295.5 million, after deducting underwriting discounts and commissions and expenses of $20.8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settled its 2025 obligations under the Paramora Warrant Obligation by issuing Paramora warrants to purchase 628,302 shares of Common Stock, with a per share exercise price equal to $23.01. As of March 31, 2026, none of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warrants issued under the Paramora Warrant Obligation have been exercised. See Note 4 for additional information on the Paramora Warrant Obligation.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of Common Stock held of record for the election of directors and on all matters submitted to a vote of stockholders. A majority vote of the holders of Common Stock is generally required to take action under our amended and restated certificate of incorporation, as amended, and amended and restated by-laws, as amended. Holders of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Common Stock are entitled to share ratably in our net assets legally available after the payment of all our debts and other liabilities, subject to the preferential rights of any preferred stock then outstanding. Holders of Common Stock have no preemptive, subscription, redemption or conversion rights and no sinking fund provisions are applicable to Common Stock. The rights, preferences and privileges of holders of Common Stock are subject to, and may be adversely affected by, the rights of the holders of shares of any series of preferred stock that we have designated or may designate and issue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action by the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Common Stock, diluting the voting power of Common Stock, impairing the liquidation rights of Common Stock, or delaying, deferring or preventing a change in control of us, which might harm the market price of our Common Stock.</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board of directors will make any determination to issue such shares of preferred stock based on its judgment as to our best interests and the best interests of our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has designated 200 shares of Series A Preferred Stock. As of March 31, 2026, 159 shares of Series A Preferred Stock were issued and outstanding. The Series A Preferred Stock is classified as mezzanine equity (temporary equity) because it is convertible at the option of the holder and contains provisions that could require the Company to issue a variable number of shares of Common Stock.</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Series A Preferred Stock was issued on October 7, 2024 in connection with an asset purchase agreement with Bridge Medicines LLC. Each share is convertible at the option of the holder into 1,000 shares of Common Stock, subject to a beneficial ownership limitation (the holder may not beneficially own more than a specified percentage, between 0% and 19.99%, of total outstanding Common Stock after giving effect to conversion). Stockholder approval for purposes of Nasdaq Stock Market Rules was obtained on June 18, 2025 (the “Series A Stockholder Approval”). Following that approval, certain shares were automatically converted into Common Stock on the third business day thereafter, subject to beneficial ownership limitations, and the remaining shares became convertible at the holder’s election. Upon conversion, Series A Preferred Stock is cancelled and retired and resumes the status of authorized but unissued preferred stock.</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Series A Preferred Stock has no voting rights, except as required by law or to protect the rights of the holders of Series A Preferred Stock. No liquidation preference applies. Dividends, if declared on Common Stock, are payable to holders of Series A Preferred Stock on an as-if-converted-to-common-stock basis in the same form.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Asset Acquisition completed on November 10, 2025, the Company issued 16,366 shares of Series B Preferred Stock. As of March 31, 2026, 16,366 shares of Series B Preferred Stock were issued and outstanding. The Series B Preferred Stock is classified within permanent stockholders’ equity.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share of Series B Preferred Stock is convertible at the option of the holder into 1,000 shares of Common Stock (representing 16,366,000 shares of Common Stock in aggregate on an as-converted basis), subject to beneficial ownership limitations.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stockholder approval required for Nasdaq purposes (“Series B Stockholder Approval”) was obtained on February 9, 2026. Upon conversion, the Series B Preferred Stock is cancelled and retired and resumes the status of authorized but unissued preferred stock.</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Series B Preferred Stock does not have general voting rights; however, for so long as at least 30% of the originally issued Series B Preferred Stock remains outstanding, the Company may not, without the affirmative vote of a majority of the then-outstanding Series B shares: (i) consummate a Fundamental Transaction (as defined) or a merger or consolidation resulting in a change of control; (ii) increase the size of the board of directors; (iii) adopt, amend, or repeal certain corporate authority policies unless approved unanimously by the board of directors; or (iv) replace the Company’s registered independent public accounting firm, independent compensation consultant, or corporate counsel. The Series B Preferred Stock has no liquidation preference. Dividends, if declared on Common Stock, are payable to holders of Series B Preferred Stock on an as-if-converted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preferred stock</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Asset Acquisition and a concurrent PIPE transaction completed in November 2025, the Company issued 43,882 shares of Series C Preferred Stock in aggregate (4,241 shares in the Asset Acquisition and 39,641 shares in the PIPE). As of March 31, 2026, 1,877 shares of Series C Preferred Stock were issued and outstanding. The Series C Preferred Stock is classified within permanent stockholders’ equity.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share of Series C Preferred Stock is convertible into 1,000 shares of Common Stock (43,882,000 shares in aggregate on an as-converted basis), subject to beneficial ownership limitations. On February 9, 2026, the Company obtained the stockholder approval required for Nasdaq purposes (“Series C Stockholder Approval”). Following that approval, 42,005 shares of Series C Preferred Stock were automatically converted into 42,005,000 shares of Common Stock (the “Automatic Conversion”), with 1,877 shares remaining outstanding as of February 9, 2026. Each remaining share of Series C Preferred Stock may be converted at the option of the holder, subject to applicable beneficial ownership limitations. Upon conversion, shares are cancelled and retired.</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Series C Preferred Stock does not have general voting rights, except as required by law or to protect the rights of the Series C Preferred Stock. No liquidation preference applies. Dividends, if declared on Common Stock, are payable to holders of Series C Preferred Stock on an as-if-converted basis.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the Company’s board of directors and stockholders approved the 2020 Stock Option and Grant Plan (“2020 Plan”). Holders of stock options under the 2020 Plan are entitled to exercise the vested portion of the stock option during the term of the grant. If a qualified exit, as defined in the 2020 Plan, occurs before the stock option vests, then all of the holders’ unvested options shall vest immediately.</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October 2020, the Company’s board of directors and stockholders approved the 2020 Equity Incentive Plan (“2020 Equity Plan”). Following the adoption of the 2020 Equity Plan, no further equity awards were issued under the 2020 Plan. Stock-based awards granted under the 2020 Equity Plan generally vest over a four-year period and expire ten years from the grant date.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2022, the Company’s board of directors approved the 2022 Inducement Plan (the “Inducement Plan”), which allows for the grant of equity awards to be made to new employees where the equity award is a material inducement to an employee entering into employment with the Company. The Inducement Plan was adopted by the Company’s board of directors without stockholder approval pursuant to Nasdaq Listing Rule 5635(c)(4). In December 2025, the Company’s board of directors approved an increase of 7,990,000 shares of Common Stock reserved for issuance under the Inducement Plan. A total of 8,000,000 shares of the Common Stock have been reserved for issuance under the Inducement Plan, and 4,031,947 shares of Common Stock remain available for grant as of March 31, 2026. During the three months ended March 31, 2026, 2,700,513 options were granted under the Inducement Plan at a weighted average exercise price of $24.34. The weighted average remaining contractual terms for the shares is 10 years. No equity grants were issued under the Inducement Plan during the three months ended March 31, 2025.</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2026, the Company’s stockholders approved the 2026 Equity Incentive Plan (“2026 Equity Plan”). Following the adoption of the 2026 Equity Plan, no further equity awards will be issued under the 2020 Equity Plan. The initial share pool under the 2026 Equity Plan was 9,299,832 shares of Common Stock, subject to certain adjustments in the event of a change in the Company’s capitalization. Stock-based awards granted under the 2026 Equity Plan generally vest over a four-year period and expire ten years from the grant date. Shares available for grant under the 2026 Equity Plan cumulatively increase by 5%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300"/>
        <w:spacing w:after="0" w:line="227" w:lineRule="auto"/>
        <w:rPr>
          <w:sz w:val="20"/>
          <w:szCs w:val="20"/>
          <w:color w:val="auto"/>
        </w:rPr>
      </w:pPr>
      <w:r>
        <w:rPr>
          <w:rFonts w:ascii="Times New Roman" w:cs="Times New Roman" w:eastAsia="Times New Roman" w:hAnsi="Times New Roman"/>
          <w:sz w:val="18"/>
          <w:szCs w:val="18"/>
          <w:color w:val="auto"/>
        </w:rPr>
        <w:t>number of shares of Common Stock issued and outstanding on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each year until 2035. At March 31, 2026, the Company had 8,863,267 shares available for future grant under the 2026 Equity Plan.</w:t>
      </w:r>
    </w:p>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February 2026, the Company's stockholder adopted the 2026 Employee Stock Purchase Plan (the “2026 ESPP”). The number of shares of our common stock reserved for issuance under the 2026 ESPP is equal to 619,989 subject to an annual increase, to be added on the first day of each fiscal year, beginning January 1, 2027, equal to the lesser of (1) 1% of the number of shares of common stock outstanding on the first day of such fiscal year; (2) 1,000,000 shares of our common stock; or (3) such other amount as determined by our Board. As of March 31, 2026, the Company had not issued any shares under the 2026 ESPP.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activity for the Company’s stock options during the periods presented:</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2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5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983,375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8,477,387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3,137,078</w:t>
            </w:r>
          </w:p>
        </w:tc>
        <w:tc>
          <w:tcPr>
            <w:tcW w:w="2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Exercised</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(60,500)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Cancelled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(14,138)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4,045,815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11,421,580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Vested and expected to vest at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4,045,815</w:t>
            </w:r>
          </w:p>
        </w:tc>
        <w:tc>
          <w:tcPr>
            <w:tcW w:w="280" w:type="dxa"/>
            <w:vAlign w:val="bottom"/>
          </w:tcPr>
          <w:p>
            <w:pPr>
              <w:spacing w:after="0"/>
              <w:rPr>
                <w:sz w:val="14"/>
                <w:szCs w:val="14"/>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00" w:type="dxa"/>
            <w:vAlign w:val="bottom"/>
            <w:vMerge w:val="restart"/>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11,421,580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March 31, 2026</w:t>
            </w:r>
          </w:p>
        </w:tc>
        <w:tc>
          <w:tcPr>
            <w:tcW w:w="1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Vested and exercisable at March 31,</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2,033,579</w:t>
            </w:r>
          </w:p>
        </w:tc>
        <w:tc>
          <w:tcPr>
            <w:tcW w:w="28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200" w:type="dxa"/>
            <w:vAlign w:val="bottom"/>
            <w:vMerge w:val="restart"/>
            <w:shd w:val="clear" w:color="auto" w:fill="CFF0FC"/>
          </w:tcPr>
          <w:p>
            <w:pPr>
              <w:spacing w:after="0"/>
              <w:rPr>
                <w:sz w:val="14"/>
                <w:szCs w:val="14"/>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10,483,127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6"/>
                <w:szCs w:val="16"/>
                <w:color w:val="auto"/>
              </w:rPr>
              <w:t>2026</w:t>
            </w:r>
          </w:p>
        </w:tc>
        <w:tc>
          <w:tcPr>
            <w:tcW w:w="15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500" w:type="dxa"/>
            <w:vAlign w:val="bottom"/>
            <w:vMerge w:val="continue"/>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-539115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-521970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-539115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-521970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-539115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-521970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all stock options granted during the three months ended March 31, 2026 was $19.79. The intrinsic value at March 31, 2026 and December 31, 2025 is based on the closing price of the Common Stock on that date of $25.90 and $23.01 per share, respectively.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fair value of its stock options. The Black-Scholes option pricing model includes various assumptions, including the fair value of common shares, expected life of stock options, the expected volatility based on the historical volatility of a publicly traded set of peer companies and the expected risk-free interest rate based on the implied yield on a U.S. Treasury security. The fair values of the options granted were estimated based on the Black-Scholes model, using the following assumptions:</w:t>
      </w:r>
    </w:p>
    <w:p>
      <w:pPr>
        <w:spacing w:after="0" w:line="173"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31,</w:t>
      </w:r>
    </w:p>
    <w:tbl>
      <w:tblPr>
        <w:tblLayout w:type="fixed"/>
        <w:tblInd w:w="17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10, 2025, in connection with the Asset Acquisition, the Company assumed the Paramora Warrant Obligation which provided for an annual equity grant of warrants for Paramora to purchase 1% of the then outstanding shares of Common Stock, on a fully diluted basis, on the last business day of each calendar year during the term of the Paragon Option Agreement, at the fair market value determined by the board of directors of the Company. The Company determined that the 2025 and 2026 grants are two separate grants, as there would be no obligation for the 2026 grant had the Company exercised or terminated all of the options under the Paragon Option Agreement prior to December 31, 2026. The service inception period for the grant precedes the grant date, with the full award being vested as of the grant date with no post-grant date service requirement.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the pro-rated estimated fair value of the warrants to be granted on December 31, 2026, was approximately $20.2 million. For the three months ended March 31, 2026, $5.0 million was recognized as stock compensation expense related to the amortized expense of the Paramora Warrant Obligation. There was no similar expense for the three months ended March 31, 2025. As of March 31, 2026, the unamortized expense related to the Paramora Warrant Obligation was $15.2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summarizes the assumptions used in calculating the fair value of the warrant obligation for the three months ended March 31, 2026:</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48"/>
        </w:trPr>
        <w:tc>
          <w:tcPr>
            <w:tcW w:w="526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526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26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2"/>
                <w:szCs w:val="12"/>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settled its 2025 obligations under the Paramora Warrant Obligation by issuing Paramora warrants to purchase 628,302 shares of Common Stock, less the $23.01 per share exercise price of each warrant. As of March 31, 2026, none of the warrants issued under the Paramora Warrant Obligation have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2024, the Company granted 34,200 restricted stock units (“RSUs”) to its employees under the 2020 Equity Plan. The weighted average grant date fair value of the time-based RSUs was $23.75 for the three months ended March 31, 2026. The RSUs vest 33% after one-year from the grant date and 17% every six-months thereafter, subject to continued service to the Company through the applicable vesting dates. For the three months ended March 31, 2026 and 2025, the Company recognized $0.7 million and $23,000 in expense related to the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activity for the Company’s RSUs during the periods presented: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nonvested units at December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955,005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nonvested units at March 31, 2026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957,513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grant date fair value of stock awards vested during the three months ended March 31, 2026 and 2025 was $3.2 million and $0.2 million, respectively. Total unrecognized compensation expense related to unvested options granted under the Company’s stock-based compensation plan was $97.1 million at March 31, 2026, which is expected to be recognized over a weighted average period of 9.6 years. The Company recorded stock-based compensation expense related to the issuance of stock as follows (in thousands):</w:t>
      </w:r>
    </w:p>
    <w:p>
      <w:pPr>
        <w:spacing w:after="0" w:line="17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spacing w:after="0" w:line="6"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wp:posOffset>
            </wp:positionV>
            <wp:extent cx="15259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8"/>
                <w:szCs w:val="8"/>
                <w:color w:val="auto"/>
              </w:rPr>
              <w:t>(1)</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6,286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1,832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8,118</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4" w:lineRule="exact"/>
        <w:rPr>
          <w:sz w:val="20"/>
          <w:szCs w:val="20"/>
          <w:color w:val="auto"/>
        </w:rPr>
      </w:pPr>
    </w:p>
    <w:p>
      <w:pPr>
        <w:ind w:right="60" w:firstLine="8"/>
        <w:spacing w:after="0" w:line="321" w:lineRule="auto"/>
        <w:tabs>
          <w:tab w:leader="none" w:pos="20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2026, $5.0 million, was recognized as stock compensation expense related to the Paramora Warrant Obligation. There were no such expenses for the three months ended March 31, 2025.</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(“NOLs”), the Company continues to maintain a full valuation allowance against its domestic net deferred tax assets. For the three months ended March 31, 2026 and 2025, the Company recognized an income tax expense of $42,000 and $2,000.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of Common Stock, Series B Preferred Stock and Series C Preferred Stock is calculated as follows (in thousands except share and per share amounts):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9"/>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Allocation of losses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(5,789)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(664)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(21,330)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16,366</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20,079</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34,299,182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(353.72)</w:t>
            </w:r>
          </w:p>
        </w:tc>
        <w:tc>
          <w:tcPr>
            <w:tcW w:w="20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(33.07)</w:t>
            </w:r>
          </w:p>
        </w:tc>
        <w:tc>
          <w:tcPr>
            <w:tcW w:w="24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Allocation of losses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(2,533)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1,322,011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-1816735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-1799590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-1816735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-1799590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-1816735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-1799590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-1525270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-1508125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-1525270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-1508125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-1525270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-1508125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-471170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-453390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-453390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-471170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-179705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-179705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180" w:type="dxa"/>
            <w:vAlign w:val="bottom"/>
            <w:gridSpan w:val="5"/>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r>
      <w:tr>
        <w:trPr>
          <w:trHeight w:val="173"/>
        </w:trPr>
        <w:tc>
          <w:tcPr>
            <w:tcW w:w="17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4,045,815</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236,092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957,513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Paramora warrants</w:t>
            </w:r>
          </w:p>
        </w:tc>
        <w:tc>
          <w:tcPr>
            <w:tcW w:w="3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628,302</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648"/>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one reportable and one operating segment and manages its business activities primarily in the United States on a consolidated basis. The Company’s singular focus is on the development of its mutCALR portfolio to address the full mutCALR myeloproliferative neoplasm disease spectrum. All of the Company’s tangible assets are held in the United States.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(the “CODM”) is its chief executive officer, or in the absence of a chief executive officer, its chief operating officer. The CODM assesses performance for the Company and decides how to allocate resources based on net loss as reported on the consolidated statements of operations. The annual budgeting process is the primary mechanism used to make these decisions. The financial information also helps in making performance assessments using budgeted versus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other than already disclosed or described below, have occurred that require disclosure to the consolidated financial statements.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May 2026, the Company sold an aggregate of 1,240,040 shares of Common Stock under the ATM offering program to a single institutional investor at a price per share of $24.16 resulting in net proceeds of $29.4 million.</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4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unaudited condensed consolidated financial statements and related notes included in Part I, Item 1 of this Quarterly Report for the quarterly period ended March 31, 2026 (this "Quarterly Report") as well as the audited consolidated financial statements and notes and Management’s Discussion and Analysis of Financial Condition and Results of Operations, included in our </w:t>
      </w:r>
      <w:hyperlink r:id="rId107">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2025 (the "Annual Report") filed with the U.S. Securities and Exchange Commission (the "SEC") on March 19, 2026. This discussion and analysis and other parts of this Quarterly Report contain forward-looking statements based upon current beliefs, plans and expectations that involve risks, uncertainties and assumptions, such as statements regarding our expected results, outcomes, and the timing of these results and outcomes, plans, objectives, expectations, intentions and projections. As a result of many factors, including those factors set forth in the “Risk Factors” section of this Quarterly Report, our actual results and the timing of selected events could differ materially from the results described in or implied by the forward-looking statements contained in the following discussion and analysis. As used in this report, unless the context suggests otherwise, “we”, “us”, “our”, “the Company,” or “Damora” refers to Damora Therapeutics, Inc. and its consolidated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-987425</wp:posOffset>
            </wp:positionV>
            <wp:extent cx="13519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Pre-Merger Damora</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November 10, 2025, the Company acquired Damora Therapeutics, Inc., a Delaware corporation (“Pre-Acquisition Damora”), in accordance with the terms of the Agreement and Plan of Merger, dated November 10, 2025 (the “Acquisition Agreement”), by and among the Company, Daylight Merger Sub I, Inc., a Delaware corporation and a wholly owned subsidiary of the Company (“First Merger Sub”), Daylight Merger Sub II, LLC, a Delaware limited liability company and wholly owned subsidiary of the Company (“Second Merger Sub”), and Pre-Acquisition Damora. Pursuant to the Acquisition Agreement, First Merger Sub merged with and into Pre-Acquisition Damora, pursuant to which Pre-Acquisition Damora was the surviving corporation and became a wholly owned subsidiary of the Company (the “First Merger”). Immediately following the First Merger, Pre-Acquisition Damora merged with and into Second Merger Sub, pursuant to which Second Merger Sub was the surviving entity (together with the First Merger, the “Asset Acquisition”).</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Through the Asset Acquisition, we received the option to license certain intellectual property rights related to certain research programs (collectively, the "Option"), pursuant to the Antibody Discovery and Option Agreement, dated as of October 7, 2025, by and among Paragon Therapeutics, Inc. (“Paragon”), Paramora Holding LLC (“Paramora”) and Pre-Acquisition Damora (the “Paragon Option Agreement”). On December 8, 2025, we exercised the Option with respect to one of these research programs to be granted an exclusive license to all of Paragon's rights, title and interest in and to intellectual property rights, including inventions, patents, sequence information and results, under DMR-001, our first mutant forms of the calcium binding protein calreticulin (“CALR,” which are collectively known as “mutCALR”) targeting product candidate, to develop and commercialize antibodies and products worldwide in all therapeutics disorders. On April 28, 2026, we exercised the Option under the Paragon Option Agreement to be granted an exclusive license to all of Paragon’s rights, title and interest in and to intellectual property rights, including inventions, patents, sequence information and results, under DMR-002, our second mutCALR targeting product candidate, to develop and commercialize antibodies and products worldwide in all therapeutics disorders. We also have the option to license exclusive worldwide development and commercialization rights from Paragon of DMR-003, a mutCALR and CD-3-targeting product candidate, pursuant to the Paragon Option Agreement. See the section titled “Paragon Option Agreement” in this Quarterly Report for more discussion about the Paragon Option Agreement. Pursuant to the Paragon Option Agreement, we have engaged Paragon to execute a mutually agreed research plan for DMR-001, DMR-002, and DMR-003 aimed at producing potential product candidates to be licensed for further development, manufacture and commercialization by us. The research plan activities performed by Paragon are overseen by a joint development committee comprised of our employees and employees of Paragon.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developing therapies for the treatment of hematologic disorders. In our previously announced Asset Acquisition, we bolstered our pipeline with the addition of three product candidates designed to treat myeloproliferative neoplasms (“MPNs”), a group of related, chronic disorders of the bone marrow.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candidates leverage multiple distinct antibody mechanisms to target mutCALR, and together have the potential to address the full spectrum of patients with mutCALR-driven MPNs, regardless of mutation type, disease subtype or disease severity. Combined with proprietary antibody design features enabling high potency across CALR mutation types and extended half-life supporting convenient subcutaneous administration, we believe each asset profile has best-in-class potential. Our portfolio of mutCALR targeted therapies includes: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ind w:left="1260" w:right="540" w:hanging="368"/>
        <w:spacing w:after="0" w:line="284"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DMR-001</w:t>
      </w:r>
      <w:r>
        <w:rPr>
          <w:rFonts w:ascii="Times New Roman" w:cs="Times New Roman" w:eastAsia="Times New Roman" w:hAnsi="Times New Roman"/>
          <w:sz w:val="18"/>
          <w:szCs w:val="18"/>
          <w:color w:val="auto"/>
        </w:rPr>
        <w:t>, an Fc-null antibody designed to block mutCALR-mediated oncogenic signaling, without engaging the immune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effector functions.</w:t>
      </w:r>
    </w:p>
    <w:p>
      <w:pPr>
        <w:spacing w:after="0" w:line="50" w:lineRule="exact"/>
        <w:rPr>
          <w:rFonts w:ascii="Times New Roman" w:cs="Times New Roman" w:eastAsia="Times New Roman" w:hAnsi="Times New Roman"/>
          <w:sz w:val="18"/>
          <w:szCs w:val="18"/>
          <w:color w:val="auto"/>
        </w:rPr>
      </w:pPr>
    </w:p>
    <w:p>
      <w:pPr>
        <w:ind w:left="1260" w:right="100" w:hanging="368"/>
        <w:spacing w:after="0" w:line="284"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DMR-002</w:t>
      </w:r>
      <w:r>
        <w:rPr>
          <w:rFonts w:ascii="Times New Roman" w:cs="Times New Roman" w:eastAsia="Times New Roman" w:hAnsi="Times New Roman"/>
          <w:sz w:val="18"/>
          <w:szCs w:val="18"/>
          <w:color w:val="auto"/>
        </w:rPr>
        <w:t>, an afucosylated antibody designed to enhance antibody-dependent cellular cytotoxicity and amplify natural immune killing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malignant cells.</w:t>
      </w:r>
    </w:p>
    <w:p>
      <w:pPr>
        <w:spacing w:after="0" w:line="5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DMR-003</w:t>
      </w:r>
      <w:r>
        <w:rPr>
          <w:rFonts w:ascii="Times New Roman" w:cs="Times New Roman" w:eastAsia="Times New Roman" w:hAnsi="Times New Roman"/>
          <w:sz w:val="18"/>
          <w:szCs w:val="18"/>
          <w:color w:val="auto"/>
        </w:rPr>
        <w:t>, a bi-specific T-cell engager antibody designed to recruit and direct T-cell-mediated killing of malignant cells.</w:t>
      </w:r>
    </w:p>
    <w:p>
      <w:pPr>
        <w:spacing w:after="0" w:line="2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Beginning with our lead asset DMR-001, we are developing these candidates for the treatment of essential thrombocythemia (“ET”), an MPN associated with the overproduction of platelets, and myelofibrosis (“MF”), an MPN involving the overproliferation of blood cells and deposition of fibrous material in the bone marrow and spleen. Approximately 25% and 35% of cases of ET and MF, respectively, are caused by mutCALR rather than mutations in Janus-associated kinase 2 (“JAK2”).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the potential combination of increased clinical activity and improved pharmacokinetics of DMR-001 positions it as a potential best-in-class therapy for ET and MF. We intend to make our first regulatory submissions enabling the start of clinical development for DMR-001 and DMR-002 in mid-2026 and the second half of 2026, respectively, and for DMR-003 in 2027.</w:t>
      </w:r>
    </w:p>
    <w:p>
      <w:pPr>
        <w:spacing w:after="0" w:line="188"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MPNs are caused by excessive proliferation of myeloid cells. In some patients, including ET patients, MPNs are considered chronic diseases that lead to significant decreases in quality of life. MPNs also include MF, which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ultimate goal is to develop a portfolio of targeted mutation-directed candidates to address the full spectrum of MPN disease.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DMR-001</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DMR-001 is a monoclonal antibody that targets mutations in CALR, including the two major forms of CALR mutations referred to as Type 1 and Type 2 mutCALR. CALR mutations are the drivers of about a quarter of all cases of ET, a disease with a prevalence in the United States of about 140,000 patients. ET is characterized by excessive production of platelets, leading to symptoms that range from tingling or burning in the hands and feet to headache, visual problems, weakness, dizziness and increased risk of blood clots, causing heart attacks, strokes and other thromboses. CALR mutations are the drivers of about 35% of all cases of MF, a disease with a prevalence in the United States of about 20,000 patients. MF is characterized by abnormal myeloid cell proliferation leading to inflammation and a fibrotic response in the bone marrow. This results in bone marrow scarring, splenomegaly, elevated cytokine levels, and bone marrow dysfunction. Symptoms include fatigue, easy bruising and bleeding, night sweats and fever. Approximately 17% of ET patients who have CALR mutations progress to MF. We believe there exists at least a $5 billion addressable market in the United States for mutCALR driven ET and MF.</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DMR-001 has the potential to become a best-in-class anti-mutCALR therapy due to two differentiating features compared to marketed therapies and therapies in development, including INCA033989. First, our preclinical studies demonstrated that DMR-001 is a more potent inhibitor of mutCALR-dependent cell proliferation compared to a reference mutCALR targeted monoclonal antibody. This is especially relevant with regard to patients with Type 2 mutCALR, which represent about a third of mutCALR patients. Whereas Type 1 mutations are characterized by a deletion of 52 base pairs in the gene for CALR, Type 2 mutations have an insertion of 5 base pairs. Our preclinical assays demonstrated that DMR-001 has approximately ten-fold higher potency on Type 2 mutCALR than a reference mutCALR antibody with the same mechanism of action as INCA033989. Second, DMR-001 was engineered to have an increased half-life in circulation through the incorporation of sequence modifications that have previously been shown to improve pharmacokinetics in humans. Our preclinical data generated in non-human primates (“NHPs”), confirmed the improved half-life of DMR-001 compared to a reference antibody.</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expected combination of increased clinical activity and longer half-life is predicted to enable the delivery of sufficient amounts of DMR-001 via subcutaneous injection to match and potentially exceed the reported efficacy of INCA033989 that was intravenously administered in Incyte Corporation’s (“Incyte”) Phase 1 trial. We believe such a subcutaneous formulation is critically important because it provides a more convenient dosing option for ET and MF patients, most of whom have a long life expectancy after diagnosis and thus require long-term treatment. We intend to make our first regulatory submission enabling the start of clinical development for DMR-001 in mid-2026 and initiate a global Phase 1/1b trial in ET and MF patients with a subcutaneous formulation thereafter, subject to regulatory approval, with two proof-of-concept readouts expected beginning mid-2027. The Phase 1/1b trial is designed to rapidly identify a recommended dose and initiate expansion cohorts in multiple ET and MF patient populations, leveraging an adaptive Bayesian design enabling enrichment, dose escalation in a combined ET and MF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population, and an expected starting dose near anticipated therapeutic exposure. Subject to the results of this Phase 1/1b trial, we plan to initiate Phase 3 development of DMR-001 as early as mid-2028.</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goal is to develop potential best-in-class therapies to treat a range of hematologic disorders, including MPNs such as ET and MF. Our strategy to achieve this is as follows:</w:t>
      </w:r>
    </w:p>
    <w:p>
      <w:pPr>
        <w:spacing w:after="0" w:line="50" w:lineRule="exact"/>
        <w:rPr>
          <w:sz w:val="20"/>
          <w:szCs w:val="20"/>
          <w:color w:val="auto"/>
        </w:rPr>
      </w:pPr>
    </w:p>
    <w:p>
      <w:pPr>
        <w:ind w:left="1160" w:right="20" w:hanging="388"/>
        <w:spacing w:after="0" w:line="257" w:lineRule="auto"/>
        <w:tabs>
          <w:tab w:leader="none" w:pos="11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 clinical development of DMR-001. </w:t>
      </w:r>
      <w:r>
        <w:rPr>
          <w:rFonts w:ascii="Times New Roman" w:cs="Times New Roman" w:eastAsia="Times New Roman" w:hAnsi="Times New Roman"/>
          <w:sz w:val="18"/>
          <w:szCs w:val="18"/>
          <w:color w:val="auto"/>
        </w:rPr>
        <w:t>Our preclinical results have shown that DMR-001 has improved potency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pharmacokinetics compared to a reference antibody with the same mechanism of action as INCA033989, a molecule for which impressive Phase 1 clinical results in the treatment of ET and MF have been reported. We plan to make our first regulatory submissions enabling the start of clinical development for DMR-001 for the treatment of ET and MF patients in mid-2026 and initiate a global Phase 1/1b trial in ET and MF patients with a subcutaneous formulation thereafter, subject to regulatory approval, with two proof-of-concept readouts expected beginning mid-2027.</w:t>
      </w:r>
    </w:p>
    <w:p>
      <w:pPr>
        <w:spacing w:after="0" w:line="74" w:lineRule="exact"/>
        <w:rPr>
          <w:rFonts w:ascii="Times New Roman" w:cs="Times New Roman" w:eastAsia="Times New Roman" w:hAnsi="Times New Roman"/>
          <w:sz w:val="18"/>
          <w:szCs w:val="18"/>
          <w:color w:val="auto"/>
        </w:rPr>
      </w:pPr>
    </w:p>
    <w:p>
      <w:pPr>
        <w:ind w:left="1160" w:right="140" w:hanging="343"/>
        <w:spacing w:after="0" w:line="262" w:lineRule="auto"/>
        <w:tabs>
          <w:tab w:leader="none" w:pos="11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early in preparation for late-stage development of DMR-001. </w:t>
      </w:r>
      <w:r>
        <w:rPr>
          <w:rFonts w:ascii="Times New Roman" w:cs="Times New Roman" w:eastAsia="Times New Roman" w:hAnsi="Times New Roman"/>
          <w:sz w:val="18"/>
          <w:szCs w:val="18"/>
          <w:color w:val="auto"/>
        </w:rPr>
        <w:t>Although DMR-001 is not the first anti-mutCALR antibody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 the clinic, we believe that it has the potential to be best-in-class. We intend to be in a position to execute additional clinical trials for DMR-001 in response to both the results that we generate and to those of our competitors, with the intention of minimizing unnecessary delays.</w:t>
      </w:r>
    </w:p>
    <w:p>
      <w:pPr>
        <w:spacing w:after="0" w:line="68" w:lineRule="exact"/>
        <w:rPr>
          <w:rFonts w:ascii="Times New Roman" w:cs="Times New Roman" w:eastAsia="Times New Roman" w:hAnsi="Times New Roman"/>
          <w:sz w:val="18"/>
          <w:szCs w:val="18"/>
          <w:color w:val="auto"/>
        </w:rPr>
      </w:pPr>
    </w:p>
    <w:p>
      <w:pPr>
        <w:ind w:left="1160" w:hanging="388"/>
        <w:spacing w:after="0" w:line="259" w:lineRule="auto"/>
        <w:tabs>
          <w:tab w:leader="none" w:pos="11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DMR-002 and DMR-003 into clinical development, as part of a comprehensive portfolio strategy. </w:t>
      </w:r>
      <w:r>
        <w:rPr>
          <w:rFonts w:ascii="Times New Roman" w:cs="Times New Roman" w:eastAsia="Times New Roman" w:hAnsi="Times New Roman"/>
          <w:sz w:val="18"/>
          <w:szCs w:val="18"/>
          <w:color w:val="auto"/>
        </w:rPr>
        <w:t>Our differentiated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leverages multiple distinct antibody mechanisms with the potential to address the full spectrum of patients with mutCALR-driven MPNs, regardless of mutation type, disease subtype or disease severity. This includes our lead asset DMR-001, an Fc null antibody, as well as DMR-002, an afucosylated antibody, and DMR-003, a bi-specific T-cell engager. As we advance DMR-001, we plan to make our first regulatory submissions enabling the start of clinical development for DMR-002 in the second half of 2026 and for DMR-003 in 2027.</w:t>
      </w:r>
    </w:p>
    <w:p>
      <w:pPr>
        <w:spacing w:after="0" w:line="71" w:lineRule="exact"/>
        <w:rPr>
          <w:rFonts w:ascii="Times New Roman" w:cs="Times New Roman" w:eastAsia="Times New Roman" w:hAnsi="Times New Roman"/>
          <w:sz w:val="18"/>
          <w:szCs w:val="18"/>
          <w:color w:val="auto"/>
        </w:rPr>
      </w:pPr>
    </w:p>
    <w:p>
      <w:pPr>
        <w:jc w:val="both"/>
        <w:ind w:left="1160" w:right="600" w:hanging="388"/>
        <w:spacing w:after="0" w:line="268" w:lineRule="auto"/>
        <w:tabs>
          <w:tab w:leader="none" w:pos="11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focused company infrastructure and foster a positive corporate culture. </w:t>
      </w:r>
      <w:r>
        <w:rPr>
          <w:rFonts w:ascii="Times New Roman" w:cs="Times New Roman" w:eastAsia="Times New Roman" w:hAnsi="Times New Roman"/>
          <w:sz w:val="18"/>
          <w:szCs w:val="18"/>
          <w:color w:val="auto"/>
        </w:rPr>
        <w:t>We are building the infrastructure of Damora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our commitments to science-driven drug development and rapidly addressing the needs of patients with hematologic disorders.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Paragon Option Agreement</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October 7, 2025, Pre-Acquisition Damora entered into the Paragon Option Agreement with Paragon and Paramora. In connection with the Asset Acquisition, we assumed the rights and obligations of Pre-Acquisition Damora under the Paragon Option Agreement. Under the terms of the Paragon Option Agreement, Paragon agreed to perform certain research activities to discover, generate, identify, and characterize one or more antibody candidates directed to certain mutually agreed therapeutic targets of interest (each, a “Research Program”). The Paragon Option Agreement includes mutCALR as the selected target for DMR-001 and DMR-002, and mutCALR and CD3 as the selected targets for DMR-003. From time to time, we may choose to add additional targets to the Paragon Option Agreement by mutual agreement with Paragon and Paramora.</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Paragon Option Agreement, we are required to pay Paragon a one-time, non-refundable research initiation fee within 30 days following finalization of a Research Plan in the amount of $1.25 million for each of DMR-001, DMR-002, and DMR-003. The Research Plans for each of DMR-001, DMR-002, and DMR-003 were completed in December 2025, and we paid the related fees in January 2026. Under the Paragon Option Agreement, on a Research Program-by-Research Program and product-by-product basis, we are required to make one-time non-refundable milestone payments to Paragon of up to a total of $22.0 million, upon the achievement of certain clinical development and regulatory milestones. On April 28, 2026, we exercised the Option available under the Paragon Option Agreement with respect to the DMR-002 research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Fairmount, Paragon and Paramora</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Asset Acquisition, we assumed the rights and obligations of Pre-Acquisition Damora under the Paragon Option Agreement. Fairmount Funds Management LLC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and will not perform any substantive role under the Paragon Option Agreement other than to receive warrants expected to be granted to Paramora under the Paragon Option Agreement. Three of our directors are affiliated with Fairmount (Peter Harwin, Christopher Cain, Ph.D., and Julianne Bruno) and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were appointed in accordance with the Acquisition Agreement. We consider Paragon, Paramora, and Fairmount to be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ATM Offering Program and February 2026 Public Offering</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February 10, 2026, we filed an automatically effective shelf registration statement (the “Registration Statement”) with the SEC for the issuance of Common Stock, preferred stock, warrants, debt securities, rights and units.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10, 2026, we entered into the ATM Agreement, pursuant to which we may sell, from time-to-time, shares of our Common Stock under an ATM offering program for up to $150.0 million. For the three months ended March 31, 2026, we have not made any sales under the ATM offering program and had $150.0 million in remaining capacity under the ATM offering program. In May 2026, the Company sold an aggregate of 1,240,040 shares of common stock under the ATM offering program to a single institutional investor at a price per share of $24.16 resulting in net proceeds of $29.4 million.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10, 2026, we also entered into an underwriting agreement with certain underwriters to issue and sell 16,644,737 shares of our Common Stock, which included the full exercise by the underwriters of their option to purchase an additional 2,171,052 shares, at a public offering price of $19.00 per share. The net proceeds from this offering were approximately $295.5 million, after deducting underwriting discounts and commissions and expenses of the offering. The underwritten offering closed on February 12, 2026.</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advance our preclinical studies, clinical trials, and manufacturing in support of our antibody programs, as well as for additional research and development activities, working capital, and general corporate purposes. We may also use a portion of the proceeds to license, acquire or invest in new product candidates or for drug development activities related to such product candidates, complementary businesses, technology or assets.</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underwritten offering was made pursuant to the Registration Statement. A final prospectus supplement dated February 10, 2026 relating to and describing the terms of the underwritten offering was filed with the SEC on February 11,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Change</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March 6, 2026, we filed with the Secretary of State of the State of Delaware an amendment to our amended and restated certificate of incorporation to change the name of the Company from “Galecto, Inc.” to “Damora Therapeutics, Inc.” (the “Name Change Amendment”). The Name Change Amendment became effective at 12:01 a.m. Eastern Time on March 10,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extent of the impact of macroeconomic events and conditions, including inflation, increasing interest rates, increasing financial market volatility and uncertainty, the impacts of geopolitical instabilities and government actions, including the ongoing military conflict in Ukraine, conflict between Israel and various other parties, conflicts in the Middle East, geopolitical tensions between China and the United States, and the implementation of tariffs, sanctions, export or import controls, and other measures that restrict international trade by the United States, China or other governments, and their potential supply chain impact, and public health pandemics on our operational and financial performance will continue to depend on certain developments, including the impact on our clinical studies, employee or industry events, and effect on our suppliers and manufacturers, all of which are uncertain and cannot be predicted. Adverse effects of these large macroeconomic conditions have been prevalent in many of the areas where we and our suppliers or third-party business partners conduct business, and as a result, we may experience disruptions in our operations. We may experience disruptions or delays due to these factors as well as delays due to labor shortages and supply chain disruptions in distribution of clinical trial materials, trial monitoring and data analysis that could materially adversely impact our business, results of operations and overall financial performance in future periods. As of the filing date of this Quarterly Report, the extent to which these macroeconomic events and conditions may impact our financial condition, results of operations or guidance is uncertain. The effect of these macroeconomic events and conditions may not be fully reflected in our results of operations and overall financial performance until future periods. See Part I, Item 1A “Risk Factors” for further discussion of the possible impact of these macroeconomic conditions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costs.</w:t>
      </w: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the development of our product candidates and our drug discovery efforts, which include:</w:t>
      </w:r>
    </w:p>
    <w:p>
      <w:pPr>
        <w:spacing w:after="0" w:line="162" w:lineRule="exact"/>
        <w:rPr>
          <w:sz w:val="20"/>
          <w:szCs w:val="20"/>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equity-based compensation expense;</w:t>
      </w:r>
    </w:p>
    <w:p>
      <w:pPr>
        <w:spacing w:after="0" w:line="117" w:lineRule="exact"/>
        <w:rPr>
          <w:rFonts w:ascii="Times New Roman" w:cs="Times New Roman" w:eastAsia="Times New Roman" w:hAnsi="Times New Roman"/>
          <w:sz w:val="18"/>
          <w:szCs w:val="18"/>
          <w:color w:val="auto"/>
        </w:rPr>
      </w:pPr>
    </w:p>
    <w:p>
      <w:pPr>
        <w:ind w:left="1400" w:right="340" w:hanging="374"/>
        <w:spacing w:after="0" w:line="282" w:lineRule="auto"/>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and third-party contract organizations that conduct research and development activities on our behalf;</w:t>
      </w:r>
    </w:p>
    <w:p>
      <w:pPr>
        <w:spacing w:after="0" w:line="53" w:lineRule="exact"/>
        <w:rPr>
          <w:rFonts w:ascii="Times New Roman" w:cs="Times New Roman" w:eastAsia="Times New Roman" w:hAnsi="Times New Roman"/>
          <w:sz w:val="18"/>
          <w:szCs w:val="18"/>
          <w:color w:val="auto"/>
        </w:rPr>
      </w:pPr>
    </w:p>
    <w:p>
      <w:pPr>
        <w:ind w:left="1400" w:right="680" w:hanging="374"/>
        <w:spacing w:after="0" w:line="282" w:lineRule="auto"/>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pass through costs associated with research conducted under the Paragon Option Agreement, including equity-based compensation expense from issuing warrants to Paramora;</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sponsored research service agreements;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preclinical and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vendor expenses related to the execution of preclinical studies and planned clinical trials;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equipment used for internal research and development activities;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in-process research and development programs.</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including for acquired in-process research and development. Costs for certain research and development activities are recognized based on an evaluation of the progress to completion of specific tasks using information and data provided to us by our vendors and third-party service providers.</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recognized $17.0 million of research and development expenses in connection with services provided by Paragon under the Paragon Option Agreement in our consolidated statement of operations and comprehensive loss.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historically met the requirements to receive a tax credit in Denmark of up to $0.8 million per year for losses resulting from research and development costs of up to approximately $3.9 million per year. The tax credit is reported as a reduction to research and development expense in the consolidated statements of operations. We recorded a reduction to research and development expense of $0.8 million in the three months ended March 31, 2025. We have not recorded a reduction to research and development expense for the three months ended March 31, 2026. The credits are available the following year, in 2026 and 2025, respectively.</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direct research and development expenses are not currently tracked on a program-by-program basis. We use our personnel and infrastructure resources across multiple research and development programs directed toward identifying and developing product candidates.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process of conducting the necessary clinical research to obtain regulatory approval is costly and time-consuming, and the successful development of our product candidates is highly uncertain. Product candidates in later stages of clinical development generally incur higher development costs than those in earlier stages of clinical development, primarily due to the increased size and duration of later-stage clinical trials. As a result, we expect that if we pursue further development and testing of our product candidates, our research and development expenses will increase as our product candidates advance into clinical development and/or later stages of clinical development.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5" w:name="page26"/>
    <w:bookmarkEnd w:id="25"/>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through commercialization.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183" w:lineRule="exact"/>
        <w:rPr>
          <w:sz w:val="20"/>
          <w:szCs w:val="20"/>
          <w:color w:val="auto"/>
        </w:rPr>
      </w:pPr>
    </w:p>
    <w:p>
      <w:pPr>
        <w:ind w:left="1400" w:hanging="374"/>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including DMR-001, DMR-002, DMR-003 and any our other product candidates we develop in the future;</w:t>
      </w:r>
    </w:p>
    <w:p>
      <w:pPr>
        <w:spacing w:after="0" w:line="53" w:lineRule="exact"/>
        <w:rPr>
          <w:rFonts w:ascii="Times New Roman" w:cs="Times New Roman" w:eastAsia="Times New Roman" w:hAnsi="Times New Roman"/>
          <w:sz w:val="18"/>
          <w:szCs w:val="18"/>
          <w:color w:val="auto"/>
        </w:rPr>
      </w:pPr>
    </w:p>
    <w:p>
      <w:pPr>
        <w:ind w:left="1400" w:right="680" w:hanging="374"/>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53"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regulatory filings for DMR-001, DMR-002, DMR-003 and any future product candidates;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400" w:right="180" w:hanging="374"/>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400" w:right="40" w:hanging="374"/>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Activities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acquired in-process research and development activities consist of payments pursuant to our business development transactions, including asset acquisitions. In-process research and development that is acquired in a transaction that does not qualify as a business combination under United States generally accepted accounting principles (“U.S. GAAP”) and that does not have an alternative future use is recorded to “Acquired in-process research and development expenses” (“AIPR&amp;D”) in our consolidated statements of income in the period in which it is acquired. We present the cost to acquire AIPR&amp;D within our “Cash flows from operating activities” in our consolidated statements of cash flows.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costs, depreciation expense and other expenses for outside professional services, including legal, human resources, audit and accounting services and facility-related fees not otherwise included in research and development expenses. Personnel costs consist of salaries, benefits and stock-based compensation expense, for our personnel in executive, finance and accounting, business operations and other administrative functions. We expect that our general and administrative expenses will increase substantially for the foreseeable future as we 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income (expense), net is comprised of:</w:t>
      </w:r>
    </w:p>
    <w:p>
      <w:pPr>
        <w:spacing w:after="0" w:line="216" w:lineRule="exact"/>
        <w:rPr>
          <w:sz w:val="20"/>
          <w:szCs w:val="20"/>
          <w:color w:val="auto"/>
        </w:rPr>
      </w:pPr>
    </w:p>
    <w:p>
      <w:pPr>
        <w:ind w:left="1400" w:hanging="37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The interest income earned on our cash and cash equivalents is recorded in our statements of operations</w:t>
      </w:r>
      <w:r>
        <w:rPr>
          <w:rFonts w:ascii="Times New Roman" w:cs="Times New Roman" w:eastAsia="Times New Roman" w:hAnsi="Times New Roman"/>
          <w:sz w:val="21"/>
          <w:szCs w:val="21"/>
          <w:color w:val="auto"/>
        </w:rPr>
        <w:t>.</w:t>
      </w:r>
    </w:p>
    <w:p>
      <w:pPr>
        <w:spacing w:after="0" w:line="118" w:lineRule="exact"/>
        <w:rPr>
          <w:rFonts w:ascii="Times New Roman" w:cs="Times New Roman" w:eastAsia="Times New Roman" w:hAnsi="Times New Roman"/>
          <w:sz w:val="18"/>
          <w:szCs w:val="18"/>
          <w:color w:val="auto"/>
        </w:rPr>
      </w:pPr>
    </w:p>
    <w:p>
      <w:pPr>
        <w:jc w:val="both"/>
        <w:ind w:left="1400" w:right="440" w:hanging="374"/>
        <w:spacing w:after="0" w:line="282" w:lineRule="auto"/>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The functional currency of our subsidiaries in Denmark and Sweden is the Euro. Transactions denominated in currencies other than the Euro result in exchange gains and losses that are recorded in our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Comparison of the Three Months Ended March 31, 2026 and 2025</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bottom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Pr>
          <w:p>
            <w:pPr>
              <w:spacing w:after="0"/>
              <w:rPr>
                <w:sz w:val="18"/>
                <w:szCs w:val="18"/>
                <w:color w:val="auto"/>
              </w:rPr>
            </w:pPr>
          </w:p>
        </w:tc>
        <w:tc>
          <w:tcPr>
            <w:tcW w:w="1460" w:type="dxa"/>
            <w:vAlign w:val="bottom"/>
            <w:gridSpan w:val="4"/>
          </w:tcPr>
          <w:p>
            <w:pPr>
              <w:jc w:val="center"/>
              <w:ind w:left="31"/>
              <w:spacing w:after="0"/>
              <w:rPr>
                <w:sz w:val="20"/>
                <w:szCs w:val="20"/>
                <w:color w:val="auto"/>
              </w:rPr>
            </w:pPr>
            <w:r>
              <w:rPr>
                <w:rFonts w:ascii="Times New Roman" w:cs="Times New Roman" w:eastAsia="Times New Roman" w:hAnsi="Times New Roman"/>
                <w:sz w:val="18"/>
                <w:szCs w:val="18"/>
                <w:color w:val="auto"/>
                <w:w w:val="97"/>
              </w:rPr>
              <w:t>3407%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4"/>
            <w:shd w:val="clear" w:color="auto" w:fill="CFF0FC"/>
          </w:tcPr>
          <w:p>
            <w:pPr>
              <w:jc w:val="center"/>
              <w:ind w:left="31"/>
              <w:spacing w:after="0"/>
              <w:rPr>
                <w:sz w:val="20"/>
                <w:szCs w:val="20"/>
                <w:color w:val="auto"/>
              </w:rPr>
            </w:pPr>
            <w:r>
              <w:rPr>
                <w:rFonts w:ascii="Times New Roman" w:cs="Times New Roman" w:eastAsia="Times New Roman" w:hAnsi="Times New Roman"/>
                <w:sz w:val="18"/>
                <w:szCs w:val="18"/>
                <w:color w:val="auto"/>
                <w:w w:val="99"/>
              </w:rPr>
              <w:t>266%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80" w:type="dxa"/>
            <w:vAlign w:val="bottom"/>
          </w:tcPr>
          <w:p>
            <w:pPr>
              <w:spacing w:after="0"/>
              <w:rPr>
                <w:sz w:val="18"/>
                <w:szCs w:val="18"/>
                <w:color w:val="auto"/>
              </w:rPr>
            </w:pPr>
          </w:p>
        </w:tc>
        <w:tc>
          <w:tcPr>
            <w:tcW w:w="1460" w:type="dxa"/>
            <w:vAlign w:val="bottom"/>
            <w:gridSpan w:val="4"/>
          </w:tcPr>
          <w:p>
            <w:pPr>
              <w:jc w:val="center"/>
              <w:ind w:left="31"/>
              <w:spacing w:after="0"/>
              <w:rPr>
                <w:sz w:val="20"/>
                <w:szCs w:val="20"/>
                <w:color w:val="auto"/>
              </w:rPr>
            </w:pPr>
            <w:r>
              <w:rPr>
                <w:rFonts w:ascii="Times New Roman" w:cs="Times New Roman" w:eastAsia="Times New Roman" w:hAnsi="Times New Roman"/>
                <w:sz w:val="18"/>
                <w:szCs w:val="18"/>
                <w:color w:val="auto"/>
                <w:w w:val="97"/>
              </w:rPr>
              <w:t>1085%</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(30,811)</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(28,212)</w:t>
            </w:r>
          </w:p>
        </w:tc>
        <w:tc>
          <w:tcPr>
            <w:tcW w:w="1460" w:type="dxa"/>
            <w:vAlign w:val="bottom"/>
            <w:gridSpan w:val="4"/>
            <w:shd w:val="clear" w:color="auto" w:fill="CFF0FC"/>
          </w:tcPr>
          <w:p>
            <w:pPr>
              <w:jc w:val="center"/>
              <w:ind w:left="31"/>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Pr>
          <w:p>
            <w:pPr>
              <w:spacing w:after="0"/>
              <w:rPr>
                <w:sz w:val="18"/>
                <w:szCs w:val="18"/>
                <w:color w:val="auto"/>
              </w:rPr>
            </w:pPr>
          </w:p>
        </w:tc>
        <w:tc>
          <w:tcPr>
            <w:tcW w:w="1460" w:type="dxa"/>
            <w:vAlign w:val="bottom"/>
            <w:gridSpan w:val="4"/>
          </w:tcPr>
          <w:p>
            <w:pPr>
              <w:jc w:val="center"/>
              <w:ind w:left="31"/>
              <w:spacing w:after="0"/>
              <w:rPr>
                <w:sz w:val="20"/>
                <w:szCs w:val="20"/>
                <w:color w:val="auto"/>
              </w:rPr>
            </w:pPr>
            <w:r>
              <w:rPr>
                <w:rFonts w:ascii="Times New Roman" w:cs="Times New Roman" w:eastAsia="Times New Roman" w:hAnsi="Times New Roman"/>
                <w:sz w:val="18"/>
                <w:szCs w:val="18"/>
                <w:color w:val="auto"/>
                <w:w w:val="97"/>
              </w:rPr>
              <w:t>4415%</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(27,741)</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(25,210)</w:t>
            </w:r>
          </w:p>
        </w:tc>
        <w:tc>
          <w:tcPr>
            <w:tcW w:w="1460" w:type="dxa"/>
            <w:vAlign w:val="bottom"/>
            <w:gridSpan w:val="4"/>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-996%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4"/>
          </w:tcPr>
          <w:p>
            <w:pPr>
              <w:jc w:val="center"/>
              <w:ind w:left="3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(27,783)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(25,250)</w:t>
            </w:r>
          </w:p>
        </w:tc>
        <w:tc>
          <w:tcPr>
            <w:tcW w:w="1460" w:type="dxa"/>
            <w:vAlign w:val="bottom"/>
            <w:gridSpan w:val="4"/>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-997%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3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comprised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studies and clinical trial-related activities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 of Paramora warrant obligation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Consultants and other costs</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tcPr>
          <w:p>
            <w:pPr>
              <w:spacing w:after="0"/>
              <w:rPr>
                <w:sz w:val="18"/>
                <w:szCs w:val="18"/>
                <w:color w:val="auto"/>
              </w:rPr>
            </w:pP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-2750820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-2750820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-2750820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-2176780</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-2176780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-2176780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-1885315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-1868170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-1885315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-1868170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-1885315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-1868170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$23.8 million for the three months ended March 31, 2026, compared to $0.7 million for the three months ended March 31, 2025. The increase of $23.1 million was primarily related to increased preclinical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9" w:right="439" w:bottom="1440" w:gutter="0" w:footer="0" w:header="0"/>
        </w:sectPr>
      </w:pPr>
    </w:p>
    <w:bookmarkStart w:id="27" w:name="page28"/>
    <w:bookmarkEnd w:id="27"/>
    <w:p>
      <w:pPr>
        <w:ind w:right="160"/>
        <w:spacing w:after="0" w:line="266" w:lineRule="auto"/>
        <w:rPr>
          <w:sz w:val="20"/>
          <w:szCs w:val="20"/>
          <w:color w:val="auto"/>
        </w:rPr>
      </w:pPr>
      <w:r>
        <w:rPr>
          <w:rFonts w:ascii="Times New Roman" w:cs="Times New Roman" w:eastAsia="Times New Roman" w:hAnsi="Times New Roman"/>
          <w:sz w:val="18"/>
          <w:szCs w:val="18"/>
          <w:color w:val="auto"/>
        </w:rPr>
        <w:t>studies and clinical trial-related expenses of $10.6 million, all of which related to costs incurred by Paragon under the Paragon Option Agreement, costs related to the Paramora Warrant Obligation of $5.0 million, increased chemistry, manufacturing and control (“CMC”) activities of $4.6 million, increased personnel costs of $2.1 million and increased consulting related costs and other research and development costs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$7.0 million for the three months ended March 31, 2026, compared to $1.9 million for the three months ended March 31, 2025. The increase of $5.1 million was primarily related to increased personnel costs of $1.7 million, increased stock-based compensation costs of $1.7 million, increased professional fees of $1.2 million, and increased other general and administrative costs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$3.1 million for the three months ended March 31, 2026, compared to $0.1 million for the three months ended March 31, 2025. The increase of $3.0 million was due to increased interest income as a result of the recent financings.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financed primarily through our initial public offering, the sale and issuance of Common Stock and preferred shares and, prior to becoming a public company, convertible notes. During the three months ended March 31, 2026, we entered into an underwriting agreement in February 2026 with certain underwriters to issue and sell 16,644,737 shares of our Common Stock, which included the full exercise by the underwriters of their option to purchase an additional 2,171,052 shares, at a public offering price of $19.00 per share. The net proceeds from this offering were approximately $295.5 million, after deducting underwriting discounts and commissions and expenses of the offering. In February 2026, we entered into the ATM Agreement, pursuant to which we may sell, from time-to-time, shares of our Common Stock under an ATM offering program for up to $150.0 million. As of March 31, 2026, we had not made any sales under the ATM offering program and had $150.0 million in remaining capacity under the ATM offering program. In May 2026, we sold an aggregate of 1,240,040 shares of our Common Stock under the ATM offering program to a single institutional investor at a price per share of $24.16 resulting in net proceeds of $29.4 million.</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losses were $27.8 million and $2.5 million for the three months ended March 31, 2026 and 2025, respectively. As of March 31, 2026, we had an accumulated deficit of $515.1 million and $532.9 million in cash and cash equivalents.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6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2"/>
          </w:tcPr>
          <w:p>
            <w:pPr>
              <w:spacing w:after="0"/>
              <w:rPr>
                <w:sz w:val="12"/>
                <w:szCs w:val="12"/>
                <w:color w:val="auto"/>
              </w:rPr>
            </w:pPr>
          </w:p>
        </w:tc>
      </w:tr>
      <w:tr>
        <w:trPr>
          <w:trHeight w:val="216"/>
        </w:trPr>
        <w:tc>
          <w:tcPr>
            <w:tcW w:w="170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(20,598)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275,323</w:t>
            </w:r>
          </w:p>
        </w:tc>
        <w:tc>
          <w:tcPr>
            <w:tcW w:w="14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380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-933450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-916305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-933450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$20.6 million during the three months ended March 31, 2026 was attributable to our net loss of $27.8 million, a net decrease of $2.6 million in our working capital, and a net increase in non-cash items of $3.2 million principally with respect to non-cash stock-based compensation.</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of $2.4 million during the three months ended March 31, 2025 was attributable to our net loss of $2.5 million and a net decrease of $0.1 million in our working capital, offset by a net increase in non-cash items of $0.2 million of non-cash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of $295.9 million for the three months ended March 31, 2026 was primarily attributable to entering into an underwriting agreement in February 2026 with certain underwriters to issue and sell 16,644,737 shares of our Common Stock, which included the full exercise by the underwriters of their option to purchase an additional 2,171,052 shares, at a public offering price of $19.00 per share. The net proceeds from this offering were approximately $295.5 million, after deducting underwriting discounts and commissions and expenses of the offering.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financing activities for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We do not expect to generate any meaningful product revenue unless and until we obtain regulatory approval of and commercialize DMR-001, DMR-002, DMR-003 or any future product candidates, and we do not know when, or if, that will occur. Until we can generate significant revenue from product sales, if ever, we will continue to require substantial additional capital to develop DMR-001, DMR-002, DMR-003 or any future product candidates and fund operations for the foreseeable future. We expect our expenses to increase in connection with our ongoing activities. We are subject to all the risks involved in the development of new biopharmaceutical products, and we may encounter unforeseen expenses, difficulties, complications, delays, and other unknown factors that may harm our business. We expect to incur significant costs as we implement our development plans for DMR-001, DMR-002 and DMR-003 and we will need to obtain substantial additional funding to finance our continuing operations.</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order to complete the development of DMR-001, DMR-002, DMR-003 or any future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if ever, we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such as our ATM offering program,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disruptions to, and volatility in, the credit and financial markets in the United States and worldwide resulting from bank failures, other general macroeconomic conditions and otherwise. Our failure to obtain sufficient capital on acceptable terms when needed could have a material adverse effect on our business, results of operations or financial condition, including requiring us to seek other alternatives which may include, among others, a delay or termination of our clinical trials or the development of our product candidates, temporary or permanent curtailment of our operations, a sale of our assets, or other alternatives with strategic or financial partners. We cannot provide assurance that we will ever generate positive cash flow from operating activities.</w:t>
      </w:r>
    </w:p>
    <w:p>
      <w:pPr>
        <w:spacing w:after="0" w:line="19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costs related to third-party research, manufacturing and development services; laboratory expenses and costs for related supplies; clinical costs; compensation-related expenses; legal and other regulatory expenses; costs to operate as a public company; and general overhead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Based on current estimates of our expenses going forward, we believe that our existing cash and cash equivalents of $532.9 million as of March 31, 2026 will be sufficient to fund our operations into 2029. We have based these estimates on assumptions that may prove to be wrong, and we could exhaust our available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related disclosures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and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incur expenses associated with the development of our product candidates to conduct preclinical studies and clinical trials. Accounting for clinical trials relating to activities performed by clinical research organizations (“CROs”), contract manufacturing organizations (“CMOs”) and other external vendors requires management to exercise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CMOs and other vendors in connection with preclinical studies and clinical trials. We record the estimated costs of research and development activities based upon the estimated amount of services provided by the CRO, CMOs and other vendors but not yet invoiced and include these costs in the accrued and other current liabilities or prepaid expenses on the balance sheets and within research and development expense on the consolidated statements of operations. In estimating the duration of a clinical study, we evaluate the start-up, treatment and wrap-up periods, compensation arrangements and services received attributable to each clinical trial and fluctuations are regularly tested against payment plans and trial completion assumptions.</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issued stock-based compensation awards through the granting of stock awards, which generally vest over a four-year period. We account for stock-based compensation in accordance with Accounting Standards Codification (“ASC”) 718, Compensation-Stock Compensation (“ASC 718”). In accordance with ASC 718, compensation cost is measured at estimated fair value and is recognized as compensation expense over the vesting period during which service is provided in exchange for the award.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a Black-Scholes option pricing model to determine fair value of our stock options. The Black-Scholes option pricing model includes various assumptions, including the fair value of common shares, expected life of stock options, the expected volatility based on the historical volatility of a publicly traded set of peer companies and the expected risk-free interest rate. These assumptions reflect our best estimates, but they involve inherent uncertainties based on market conditions generally outside our control. As a result, if other assumptions had been used, stock-based compensation cost could have been materially impacted.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Furthermore, if we use different assumptions for future grants, share-based compensation cost could be materially impacted in future periods.</w:t>
      </w:r>
    </w:p>
    <w:p>
      <w:pPr>
        <w:spacing w:after="0" w:line="225" w:lineRule="exact"/>
        <w:rPr>
          <w:sz w:val="20"/>
          <w:szCs w:val="20"/>
          <w:color w:val="auto"/>
        </w:rPr>
      </w:pPr>
    </w:p>
    <w:p>
      <w:pPr>
        <w:jc w:val="center"/>
        <w:ind w:right="460"/>
        <w:spacing w:after="0" w:line="261" w:lineRule="auto"/>
        <w:rPr>
          <w:sz w:val="20"/>
          <w:szCs w:val="20"/>
          <w:color w:val="auto"/>
        </w:rPr>
      </w:pPr>
      <w:r>
        <w:rPr>
          <w:rFonts w:ascii="Times New Roman" w:cs="Times New Roman" w:eastAsia="Times New Roman" w:hAnsi="Times New Roman"/>
          <w:sz w:val="18"/>
          <w:szCs w:val="18"/>
          <w:color w:val="auto"/>
        </w:rPr>
        <w:t>The fair value of our awards in the three months ended March 31, 2026 has been estimated using Black-Scholes based on the following assumptions: term of 7.0 years; volatility of 101.6%; risk-free rate of 4.0%; and no expectation of dividends. The fair value of our awards in the three</w:t>
      </w:r>
    </w:p>
    <w:p>
      <w:pPr>
        <w:spacing w:after="0" w:line="260" w:lineRule="auto"/>
        <w:rPr>
          <w:sz w:val="20"/>
          <w:szCs w:val="20"/>
          <w:color w:val="auto"/>
        </w:rPr>
      </w:pPr>
      <w:r>
        <w:rPr>
          <w:rFonts w:ascii="Times New Roman" w:cs="Times New Roman" w:eastAsia="Times New Roman" w:hAnsi="Times New Roman"/>
          <w:sz w:val="18"/>
          <w:szCs w:val="18"/>
          <w:color w:val="auto"/>
        </w:rPr>
        <w:t>months ended March 31, 2025 has been estimated using Black-Scholes based on the following assumptions: term of 6.0 years; volatility of 95.3%; risk-free rate of 4.5%; and no expectation of dividends.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assumptions utilized for our equity-based compensation expense calculations on a prospective basis. In addition to the assumptions used in the Black-Scholes model, the amount of equity-based compensation expense we recognize in our consolidated financial statements includes stock option forfeitures as they occurred. We recognize forfeitures as they occur, and the compensation expense is reversed in the period that the forfeiture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deferred tax assets.</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have not recorded any uncertain tax positions as of March 31, 2026 or December 31, 2025. We do not believe there will be any material changes in our unrecognized tax positions over the next 12 months. In the event we are assessed interest or penalties at some point in the future, they will be classified in the consolidated financial statements as a component of income tax expense. We have not incurred any interest or penalties.</w:t>
      </w:r>
    </w:p>
    <w:p>
      <w:pPr>
        <w:spacing w:after="0" w:line="18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operate in multiple jurisdictions, both within and outside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will monitor the extent to which our deferred tax assets may be realized and adjust the valuation allowance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our consolidated financial statements for the three months ended March 31, 2026 and 2025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service providers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 and we cannot reasonably estimate the timing of if and when they will occur. Refer to Note 3, “Related Party Transactions,” in the in the accompanying notes to our consolidated financial statements for the three months ended March 31, 2026 and 2025 for a discussion of our obligations under the Paragon Option Agreement We could also enter into additional research, manufacturing, supplier and other agreements in the future, which may require up-front payments and even long-term commitments of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305(e) of Regulation S-K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Our assets are primarily monetary, consisting of cash and cash equivalents. Because of their liquidity, these assets are not directly affected by inflation. Since we intend to retain and continue to use our equipment, furniture, fixtures and office equipment, computer hardware and software and leasehold improvements, we believe that the incremental inflation related to replacement costs of such items will not materially affect our operations. However, the rate of inflation affects our expense and use of our resources. We continue to monitor the impact of inflation on these costs in order to minimize its effects through productivity improvements and cost reductions. There can be no assurance, however, that our operating results will not be affected by inflation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Based on that evaluation of our disclosure controls and procedures, our principal executive officer and principal financial officer concluded that our disclosure controls and procedures were effective at the reasonable assurance level as of March 31, 2026.</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periodic and current reports we file or submit under the Exchange Act is accumulated and communicated to our management, including our principal executive officer and principal financial and accounting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We are not party to any material legal matters or claims. In the future,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public filings when evaluating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Limited Operating History, Financial Position and Capital Requirements</w:t>
      </w:r>
    </w:p>
    <w:p>
      <w:pPr>
        <w:spacing w:after="0" w:line="121" w:lineRule="exact"/>
        <w:rPr>
          <w:sz w:val="20"/>
          <w:szCs w:val="20"/>
          <w:color w:val="auto"/>
        </w:rPr>
      </w:pPr>
    </w:p>
    <w:p>
      <w:pPr>
        <w:ind w:left="1780" w:hanging="515"/>
        <w:spacing w:after="0"/>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acquisition of Pre-Acquisition Damora in November 2025 will increase stockholder value.</w:t>
      </w:r>
    </w:p>
    <w:p>
      <w:pPr>
        <w:spacing w:after="0" w:line="117" w:lineRule="exact"/>
        <w:rPr>
          <w:rFonts w:ascii="Times New Roman" w:cs="Times New Roman" w:eastAsia="Times New Roman" w:hAnsi="Times New Roman"/>
          <w:sz w:val="18"/>
          <w:szCs w:val="18"/>
          <w:color w:val="auto"/>
        </w:rPr>
      </w:pPr>
    </w:p>
    <w:p>
      <w:pPr>
        <w:ind w:left="1780" w:right="260" w:hanging="515"/>
        <w:spacing w:after="0" w:line="266"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preclinical 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ind w:left="1780" w:hanging="515"/>
        <w:spacing w:after="0" w:line="266"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Discovery, Development and Commercialization</w:t>
      </w:r>
    </w:p>
    <w:p>
      <w:pPr>
        <w:spacing w:after="0" w:line="121" w:lineRule="exact"/>
        <w:rPr>
          <w:sz w:val="20"/>
          <w:szCs w:val="20"/>
          <w:color w:val="auto"/>
        </w:rPr>
      </w:pPr>
    </w:p>
    <w:p>
      <w:pPr>
        <w:ind w:left="1780" w:right="520" w:hanging="515"/>
        <w:spacing w:after="0" w:line="282"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the diseases addressed by our product candidates.</w:t>
      </w:r>
    </w:p>
    <w:p>
      <w:pPr>
        <w:spacing w:after="0" w:line="53" w:lineRule="exact"/>
        <w:rPr>
          <w:rFonts w:ascii="Times New Roman" w:cs="Times New Roman" w:eastAsia="Times New Roman" w:hAnsi="Times New Roman"/>
          <w:sz w:val="18"/>
          <w:szCs w:val="18"/>
          <w:color w:val="auto"/>
        </w:rPr>
      </w:pPr>
    </w:p>
    <w:p>
      <w:pPr>
        <w:ind w:left="1780" w:right="80" w:hanging="515"/>
        <w:spacing w:after="0" w:line="266"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in the preclinical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780" w:right="320" w:hanging="515"/>
        <w:spacing w:after="0" w:line="282"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DMR-001, and our anticipated future clinical trials of such product candidate may not be successful.</w:t>
      </w:r>
    </w:p>
    <w:p>
      <w:pPr>
        <w:spacing w:after="0" w:line="53" w:lineRule="exact"/>
        <w:rPr>
          <w:rFonts w:ascii="Times New Roman" w:cs="Times New Roman" w:eastAsia="Times New Roman" w:hAnsi="Times New Roman"/>
          <w:sz w:val="18"/>
          <w:szCs w:val="18"/>
          <w:color w:val="auto"/>
        </w:rPr>
      </w:pPr>
    </w:p>
    <w:p>
      <w:pPr>
        <w:jc w:val="both"/>
        <w:ind w:left="1780" w:right="180" w:hanging="515"/>
        <w:spacing w:after="0" w:line="266"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67" w:lineRule="exact"/>
        <w:rPr>
          <w:rFonts w:ascii="Times New Roman" w:cs="Times New Roman" w:eastAsia="Times New Roman" w:hAnsi="Times New Roman"/>
          <w:sz w:val="18"/>
          <w:szCs w:val="18"/>
          <w:color w:val="auto"/>
        </w:rPr>
      </w:pPr>
    </w:p>
    <w:p>
      <w:pPr>
        <w:ind w:left="1780" w:right="80" w:hanging="515"/>
        <w:spacing w:after="0" w:line="261"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left="1400" w:hanging="515"/>
        <w:spacing w:after="0" w:line="266" w:lineRule="auto"/>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21" w:lineRule="exact"/>
        <w:rPr>
          <w:sz w:val="20"/>
          <w:szCs w:val="20"/>
          <w:color w:val="auto"/>
        </w:rPr>
      </w:pPr>
    </w:p>
    <w:p>
      <w:pPr>
        <w:ind w:left="1400" w:right="680" w:hanging="515"/>
        <w:spacing w:after="0" w:line="282"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53" w:lineRule="exact"/>
        <w:rPr>
          <w:rFonts w:ascii="Times New Roman" w:cs="Times New Roman" w:eastAsia="Times New Roman" w:hAnsi="Times New Roman"/>
          <w:sz w:val="18"/>
          <w:szCs w:val="18"/>
          <w:color w:val="auto"/>
        </w:rPr>
      </w:pPr>
    </w:p>
    <w:p>
      <w:pPr>
        <w:ind w:left="1400" w:right="160" w:hanging="515"/>
        <w:spacing w:after="0" w:line="282"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400" w:right="120" w:hanging="515"/>
        <w:spacing w:after="0" w:line="282"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3" w:lineRule="exact"/>
        <w:rPr>
          <w:rFonts w:ascii="Times New Roman" w:cs="Times New Roman" w:eastAsia="Times New Roman" w:hAnsi="Times New Roman"/>
          <w:sz w:val="18"/>
          <w:szCs w:val="18"/>
          <w:color w:val="auto"/>
        </w:rPr>
      </w:pPr>
    </w:p>
    <w:p>
      <w:pPr>
        <w:ind w:left="1400" w:right="120" w:hanging="515"/>
        <w:spacing w:after="0" w:line="258"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5" w:lineRule="exact"/>
        <w:rPr>
          <w:rFonts w:ascii="Times New Roman" w:cs="Times New Roman" w:eastAsia="Times New Roman" w:hAnsi="Times New Roman"/>
          <w:sz w:val="18"/>
          <w:szCs w:val="18"/>
          <w:color w:val="auto"/>
        </w:rPr>
      </w:pPr>
    </w:p>
    <w:p>
      <w:pPr>
        <w:ind w:left="1400" w:right="420" w:hanging="515"/>
        <w:spacing w:after="0" w:line="261"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21" w:lineRule="exact"/>
        <w:rPr>
          <w:sz w:val="20"/>
          <w:szCs w:val="20"/>
          <w:color w:val="auto"/>
        </w:rPr>
      </w:pPr>
    </w:p>
    <w:p>
      <w:pPr>
        <w:ind w:left="1400" w:right="340" w:hanging="515"/>
        <w:spacing w:after="0" w:line="282"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53" w:lineRule="exact"/>
        <w:rPr>
          <w:rFonts w:ascii="Times New Roman" w:cs="Times New Roman" w:eastAsia="Times New Roman" w:hAnsi="Times New Roman"/>
          <w:sz w:val="18"/>
          <w:szCs w:val="18"/>
          <w:color w:val="auto"/>
        </w:rPr>
      </w:pPr>
    </w:p>
    <w:p>
      <w:pPr>
        <w:ind w:left="1400" w:right="160" w:hanging="515"/>
        <w:spacing w:after="0" w:line="282"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maintain necessary rights to our programs through acquisitions and in-licenses, our business may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w:t>
      </w:r>
    </w:p>
    <w:p>
      <w:pPr>
        <w:spacing w:after="0" w:line="121" w:lineRule="exact"/>
        <w:rPr>
          <w:sz w:val="20"/>
          <w:szCs w:val="20"/>
          <w:color w:val="auto"/>
        </w:rPr>
      </w:pPr>
    </w:p>
    <w:p>
      <w:pPr>
        <w:ind w:left="1400" w:right="100" w:hanging="515"/>
        <w:spacing w:after="0" w:line="261"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400" w:right="320" w:hanging="515"/>
        <w:spacing w:after="0" w:line="266" w:lineRule="auto"/>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7" w:lineRule="exact"/>
        <w:rPr>
          <w:rFonts w:ascii="Times New Roman" w:cs="Times New Roman" w:eastAsia="Times New Roman" w:hAnsi="Times New Roman"/>
          <w:sz w:val="18"/>
          <w:szCs w:val="18"/>
          <w:color w:val="auto"/>
        </w:rPr>
      </w:pPr>
    </w:p>
    <w:p>
      <w:pPr>
        <w:ind w:left="1400" w:hanging="515"/>
        <w:spacing w:after="0"/>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 the outcome of litigation could have a material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121" w:lineRule="exact"/>
        <w:rPr>
          <w:sz w:val="20"/>
          <w:szCs w:val="20"/>
          <w:color w:val="auto"/>
        </w:rPr>
      </w:pPr>
    </w:p>
    <w:p>
      <w:pPr>
        <w:ind w:left="1400" w:hanging="515"/>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is expected to continue to be volatile.</w:t>
      </w:r>
    </w:p>
    <w:p>
      <w:pPr>
        <w:spacing w:after="0" w:line="117" w:lineRule="exact"/>
        <w:rPr>
          <w:rFonts w:ascii="Times New Roman" w:cs="Times New Roman" w:eastAsia="Times New Roman" w:hAnsi="Times New Roman"/>
          <w:sz w:val="18"/>
          <w:szCs w:val="18"/>
          <w:color w:val="auto"/>
        </w:rPr>
      </w:pPr>
    </w:p>
    <w:p>
      <w:pPr>
        <w:ind w:left="1400" w:right="180" w:hanging="515"/>
        <w:spacing w:after="0" w:line="282"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53" w:lineRule="exact"/>
        <w:rPr>
          <w:rFonts w:ascii="Times New Roman" w:cs="Times New Roman" w:eastAsia="Times New Roman" w:hAnsi="Times New Roman"/>
          <w:sz w:val="18"/>
          <w:szCs w:val="18"/>
          <w:color w:val="auto"/>
        </w:rPr>
      </w:pPr>
    </w:p>
    <w:p>
      <w:pPr>
        <w:ind w:left="1400" w:hanging="515"/>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may arise between us and Paragon or us and Fairmount.</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36" w:name="page37"/>
    <w:bookmarkEnd w:id="36"/>
    <w:p>
      <w:pPr>
        <w:ind w:right="3660"/>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Risks Related to Our Limited Operating History, Financial Position and Capital Requirements </w:t>
      </w:r>
      <w:r>
        <w:rPr>
          <w:rFonts w:ascii="Times New Roman" w:cs="Times New Roman" w:eastAsia="Times New Roman" w:hAnsi="Times New Roman"/>
          <w:sz w:val="17"/>
          <w:szCs w:val="17"/>
          <w:b w:val="1"/>
          <w:bCs w:val="1"/>
          <w:i w:val="1"/>
          <w:iCs w:val="1"/>
          <w:color w:val="auto"/>
        </w:rPr>
        <w:t>There is no guarantee that our acquisition of Pre-Acquisition Damora will increase stockholder value.</w:t>
      </w: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In November 2025, we acquired Pre-Acquisition Damora. We cannot guarantee that implementing the Asset Acquisition and related transactions will not impair stockholder value or otherwise adversely affect our business. The Asset Acquisition poses significant integration challenges between our businesses which could result in management and business disruptions, any of which could harm our results of operation, business prospects, and impair the value of the Asset Acquisition to our stockholders.</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preclinical 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preclinical stage biotechnology company with limited operating history. Since our inception, we have incurred operating losses with no corresponding revenue and have utilized substantially all of our resources to identify, license and develop our product candidates, organize and staff our company and provide other general and administrative support for our operations. We have limited experience as a company in initiating, conducting and completing preclinical studies and clinical trials. In part because of this lack of experience, we cannot be certain that our preclinical studies or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19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Developing biotechnology products is a long, time-consuming, expensive and uncertain process that takes years to complete. We expect our expenses to increase in connection with our ongoing activities, particularly as we conduct preclinical studies and clinical trials of, and seek regulatory approval for our product candidates, advance discovery efforts with respect to our research and research programs, and advance any future programs and product candidates that we may develop or license. Even if one or more of the programs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or more expansive than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p>
    <w:p>
      <w:pPr>
        <w:spacing w:after="0" w:line="80" w:lineRule="exact"/>
        <w:rPr>
          <w:sz w:val="20"/>
          <w:szCs w:val="20"/>
          <w:color w:val="auto"/>
        </w:rPr>
      </w:pPr>
    </w:p>
    <w:p>
      <w:pPr>
        <w:ind w:left="1140" w:hanging="368"/>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design, progress, results and costs of discovery, preclinical and clinical development for our product candidates;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w:t>
      </w:r>
    </w:p>
    <w:p>
      <w:pPr>
        <w:spacing w:after="0" w:line="117" w:lineRule="exact"/>
        <w:rPr>
          <w:rFonts w:ascii="Times New Roman" w:cs="Times New Roman" w:eastAsia="Times New Roman" w:hAnsi="Times New Roman"/>
          <w:sz w:val="18"/>
          <w:szCs w:val="18"/>
          <w:color w:val="auto"/>
        </w:rPr>
      </w:pPr>
    </w:p>
    <w:p>
      <w:pPr>
        <w:ind w:left="1160" w:right="80" w:hanging="388"/>
        <w:spacing w:after="0" w:line="266" w:lineRule="auto"/>
        <w:tabs>
          <w:tab w:leader="none" w:pos="11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defending and enforcing our intellectual property and proprietary rights, and defending intellectual property-related claims, including claims of infringement, misappropriation or other violations of third-party intellectual property;</w:t>
      </w:r>
    </w:p>
    <w:p>
      <w:pPr>
        <w:spacing w:after="0" w:line="6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the regulatory review of our product candidates and obtaining the requisite regulatory approvals;</w:t>
      </w:r>
    </w:p>
    <w:p>
      <w:pPr>
        <w:spacing w:after="0" w:line="117" w:lineRule="exact"/>
        <w:rPr>
          <w:rFonts w:ascii="Times New Roman" w:cs="Times New Roman" w:eastAsia="Times New Roman" w:hAnsi="Times New Roman"/>
          <w:sz w:val="18"/>
          <w:szCs w:val="18"/>
          <w:color w:val="auto"/>
        </w:rPr>
      </w:pPr>
    </w:p>
    <w:p>
      <w:pPr>
        <w:ind w:left="1160" w:right="240" w:hanging="388"/>
        <w:spacing w:after="0" w:line="282" w:lineRule="auto"/>
        <w:tabs>
          <w:tab w:leader="none" w:pos="11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future commercialization activities, either on our own or in collaboration with others, including product sales, marketing, manufacturing, and distribution for any product candidate for which we receive regulatory approval;</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product candidates for which we receive regulatory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ind w:left="1160" w:right="40" w:hanging="388"/>
        <w:spacing w:after="0" w:line="282" w:lineRule="auto"/>
        <w:tabs>
          <w:tab w:leader="none" w:pos="11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including our collaboration with Paragon pursuant to the Paragon Option Agreement and any future license agreements we enter into with Paragon;</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operational, financial and management information systems and associated personnel; and</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continue our operations. As of March 31, 2026, we had $532.9 million of cash and cash equivalents. We expect that our existing cash and cash equivalents will be sufficient to fund our operations into 2029. We will still need to raise additional capital to continue to fund our operations in the future. If we are unable to raise additional capital when needed, that could raise substantial doubt about our ability to continue as a going concern.</w:t>
      </w:r>
    </w:p>
    <w:p>
      <w:pPr>
        <w:spacing w:after="0" w:line="1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may be required to seek additional funds sooner than planned through public or private equity offerings, debt financings, collaborations and licensing arrangements or other sources, and adequate additional financing may not be available to us on acceptable terms, or at all.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the ownership interest of our stockholders will be diluted, and the terms may include liquidation or other preferences and anti-dilution protections that adversely affect the rights of our stockholders. Debt financing may result in the imposition of debt covenants, increased fixed payment obligations or other restrictions that may affect our business. If we raise additional funds through upfront payments or milestone payments pursuant to current or future collaborations with third parties, we may have to relinquish valuable rights to our product candidates, or grant licenses on terms that are not favorable to us. Our ability to raise additional capital may be adversely impacted by global macroeconomic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product candidates, clinical trials or future commercialization efforts or cease our operations.</w:t>
      </w:r>
    </w:p>
    <w:p>
      <w:pPr>
        <w:spacing w:after="0" w:line="294" w:lineRule="exact"/>
        <w:rPr>
          <w:sz w:val="20"/>
          <w:szCs w:val="20"/>
          <w:color w:val="auto"/>
        </w:rPr>
      </w:pPr>
    </w:p>
    <w:p>
      <w:pPr>
        <w:jc w:val="both"/>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losses for the foreseeable future and may not be able to achieve or sustain profitability in the future. We have no products approved for sale, have not generated any revenue from our product candidates and may never generate revenue or become profitable.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We have no products that have been dosed in humans or approved for commercial sale, have not generated any revenue from product sales to date, and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product candidates. We may never succeed in these activities and, even if we do, may never generate revenues that are significant or large enough to achieve profitability. If we are unable to raise sufficient additional capital to advance a product candidate to commercialization or generate sufficient revenue through the sale of any approved products, we may be unable to continue operations without additional funding.</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in each period since our inception in 2011. For the three months ended March 31, 2026 and 2025, we had net losses of $27.8 million and $2.5 million, respectively. As of March 31, 2026, we had an accumulated deficit of $515.1 million. We expect to continue to incur losses for the foreseeable future. Our operating expenses and net losses may fluctuate significantly from quarter to quarter and year to year. We anticipate that our expenses will increase substantially if and as we:</w:t>
      </w:r>
    </w:p>
    <w:p>
      <w:pPr>
        <w:spacing w:after="0" w:line="72" w:lineRule="exact"/>
        <w:rPr>
          <w:sz w:val="20"/>
          <w:szCs w:val="20"/>
          <w:color w:val="auto"/>
        </w:rPr>
      </w:pPr>
    </w:p>
    <w:p>
      <w:pPr>
        <w:ind w:left="1140" w:hanging="3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obtain and maintain regulatory and regulatory approvals for our product candidates;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1160" w:right="600" w:hanging="388"/>
        <w:spacing w:after="0" w:line="282"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payments to Paragon under the Paragon Option Agreement and under any additional future collaboration or license agreements that we enter into;</w:t>
      </w:r>
    </w:p>
    <w:p>
      <w:pPr>
        <w:spacing w:after="0" w:line="53" w:lineRule="exact"/>
        <w:rPr>
          <w:rFonts w:ascii="Times New Roman" w:cs="Times New Roman" w:eastAsia="Times New Roman" w:hAnsi="Times New Roman"/>
          <w:sz w:val="18"/>
          <w:szCs w:val="18"/>
          <w:color w:val="auto"/>
        </w:rPr>
      </w:pPr>
    </w:p>
    <w:p>
      <w:pPr>
        <w:ind w:left="1160" w:right="660" w:hanging="388"/>
        <w:spacing w:after="0" w:line="282"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regulatory approval, either on our own or in collaboration with others;</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 candidates for which we receive regulatory approval, if any;</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and technologies;</w:t>
      </w:r>
    </w:p>
    <w:p>
      <w:pPr>
        <w:spacing w:after="0" w:line="103" w:lineRule="exact"/>
        <w:rPr>
          <w:rFonts w:ascii="Times New Roman" w:cs="Times New Roman" w:eastAsia="Times New Roman" w:hAnsi="Times New Roman"/>
          <w:sz w:val="18"/>
          <w:szCs w:val="18"/>
          <w:color w:val="auto"/>
        </w:rPr>
      </w:pPr>
    </w:p>
    <w:p>
      <w:pPr>
        <w:ind w:left="1160" w:right="400" w:hanging="388"/>
        <w:spacing w:after="0" w:line="282"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clinical and commercial-scale current good manufacturing practices (“cGMPs”) capabilities through a third-party or our own manufacturing facility; and</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integrate Pre-Acquisition Damora into our operations.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FDA or other regulatory authorities to perform clinical trials or studies in addition to, or different than, those that we currently anticipate, there are any delays in completing our clinical trials or the development of any of our product candidates, or there are any third-party challenges to our intellectual property or we need to defend against any intellectual property-related claim.</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83"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failure to become profitable would decrease our value and could impair our ability to raise capital, maintain our research and development efforts, expand our business and/or continue our operations. A decline in the value of our stock could also cause stockholders to lose all or part of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Discovery, Development and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the diseases addressed by our product candidates.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If approved for the treatment of patients with mutCALR-driven MPNs, our portfolio of products would compete with anagrelide as well as hydroxyurea, ruxolitinib and interferon, which are not approved for the treatment of ET in the United States, as well as ruxolitinib, momelotinib, pacritinib and fedratinib in MF. In addition, we are aware of several companies with product candidates in research and development for the treatment of patients with mutCALR-driven MPNs, including Incyte’s INCA033989 and INCA035784, Janssen Pharmaceuticals, Inc.’s JNJ-88549968, Meiji Seika Pharma’s mutCALR TCE, Prelude Therapeutics, LLC’s mCALR CDK9d DAC, and Alethio Therapeutics’ AT-02. We are also aware of several companies with product candidates in development for the treatment of ET and/or MF, including PharmaEssentia Corporation’s ropeginterferon alfa-2b, Merck &amp; Co., Inc’s bomedemstat, Novartis AG’s pelabresib, Geron Corporation’s imetelstat, Kartos Therapeutics, Inc.’s navtemadlin, Karyopharm Therapeutics Inc.’s selinexor, AbbVie Inc.’s navitoclax, Bristol Myers Squibb Company’s BMS-986158, Disc Medicine, Inc.’s DISC-0974 and Takeda’s elritercept. We also compete with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regulatory approved products than we do, and are further along in the clinical development and/or commercialization process.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patient registration for clinical trials, establishing and defending rights to intellectual property, as well as in acquiring technologies complementary to, or necessary for, our product candidates.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9" w:name="page40"/>
    <w:bookmarkEnd w:id="39"/>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Our competitors have developed or are developing, and may in the future develop, product candidates or products competitive with our product candidates.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biosimilars that enter the market more quickly than we do and are able to gain market acceptance. Conversely, the lack of commercial success of other competing therapies may raise concerns about the financial viability of our product candidates.</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because of the competitive landscape for MPNs, we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our product candidates. An increase in the number of approved products for the indications we are targeting with our product candidates will likely further exacerbate this competition. Our inability to enroll a sufficient number of patients could, among other impacts, delay our development timeline, which may further harm our competitive position.</w:t>
      </w:r>
    </w:p>
    <w:p>
      <w:pPr>
        <w:spacing w:after="0" w:line="28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in the preclinical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no commercially approved products. Our programs are in the preclinical stages of development, and we have not begun or completed any clinical trials for these product candidates.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any product candidate, we or an existing or future collaborator must conduct extensive preclinical tests and clinical trials to demonstrate the safety and efficacy in humans of the product candidate.</w:t>
      </w:r>
    </w:p>
    <w:p>
      <w:pPr>
        <w:spacing w:after="0" w:line="19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preclinical studies or clinical trials. We or our collaborators also may experience numerous unforeseen events during, or as a result of, any future preclinical studies or clinical trials that we could conduct that could delay or prevent our ability to receive regulatory approval or commercialize our product candidates, including:</w:t>
      </w:r>
    </w:p>
    <w:p>
      <w:pPr>
        <w:spacing w:after="0" w:line="68" w:lineRule="exact"/>
        <w:rPr>
          <w:sz w:val="20"/>
          <w:szCs w:val="20"/>
          <w:color w:val="auto"/>
        </w:rPr>
      </w:pPr>
    </w:p>
    <w:p>
      <w:pPr>
        <w:ind w:left="1160" w:right="140" w:hanging="388"/>
        <w:spacing w:after="0" w:line="282"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institutional review boards (“IRBs”) or comparable foreign regulatory authorities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160" w:right="260" w:hanging="388"/>
        <w:spacing w:after="0" w:line="282"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160" w:right="200" w:hanging="388"/>
        <w:spacing w:after="0" w:line="282"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the trial protocol, fail to conduct trials in a compliant manner or drop out of a trial, which may require that we add new clinical trial sites or investigators or otherwise negatively impact the timing or integrity of our clinical trial(s);</w:t>
      </w:r>
    </w:p>
    <w:p>
      <w:pPr>
        <w:spacing w:after="0" w:line="40" w:lineRule="exact"/>
        <w:rPr>
          <w:rFonts w:ascii="Times New Roman" w:cs="Times New Roman" w:eastAsia="Times New Roman" w:hAnsi="Times New Roman"/>
          <w:sz w:val="18"/>
          <w:szCs w:val="18"/>
          <w:color w:val="auto"/>
        </w:rPr>
      </w:pPr>
    </w:p>
    <w:p>
      <w:pPr>
        <w:ind w:left="1160" w:right="280" w:hanging="388"/>
        <w:spacing w:after="0" w:line="266"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or may produce negative or inconclusive results and we may decide, or regulators may require us, to conduct additional preclinical studies or clinical trials or we may decide to abandon a product research program;</w:t>
      </w:r>
    </w:p>
    <w:p>
      <w:pPr>
        <w:spacing w:after="0" w:line="67" w:lineRule="exact"/>
        <w:rPr>
          <w:rFonts w:ascii="Times New Roman" w:cs="Times New Roman" w:eastAsia="Times New Roman" w:hAnsi="Times New Roman"/>
          <w:sz w:val="18"/>
          <w:szCs w:val="18"/>
          <w:color w:val="auto"/>
        </w:rPr>
      </w:pPr>
    </w:p>
    <w:p>
      <w:pPr>
        <w:ind w:left="1160" w:right="60" w:hanging="388"/>
        <w:spacing w:after="0" w:line="266"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and enrollment in these clinical trials may be slower than we anticipate or subjects may drop out of these clinical trials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ind w:left="1160" w:right="180" w:hanging="388"/>
        <w:spacing w:after="0" w:line="266"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suffer other quality or performance issues that negatively impact the timing or integrity of our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left="1160" w:right="60" w:hanging="388"/>
        <w:spacing w:after="0" w:line="266" w:lineRule="auto"/>
        <w:tabs>
          <w:tab w:leader="none" w:pos="11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160" w:right="180" w:hanging="388"/>
        <w:spacing w:after="0" w:line="282" w:lineRule="auto"/>
        <w:tabs>
          <w:tab w:leader="none" w:pos="11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clinical trials of our product candidates may be inadequate to initiate or successfully complete a given clinical trial;</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quantities of our product candidates for use in clinical trials;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17" w:lineRule="exact"/>
        <w:rPr>
          <w:rFonts w:ascii="Times New Roman" w:cs="Times New Roman" w:eastAsia="Times New Roman" w:hAnsi="Times New Roman"/>
          <w:sz w:val="18"/>
          <w:szCs w:val="18"/>
          <w:color w:val="auto"/>
        </w:rPr>
      </w:pPr>
    </w:p>
    <w:p>
      <w:pPr>
        <w:ind w:left="1160" w:right="800" w:hanging="388"/>
        <w:spacing w:after="0" w:line="282" w:lineRule="auto"/>
        <w:tabs>
          <w:tab w:leader="none" w:pos="11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establish an appropriate safety profile for a product candidate based on clinical or preclinical data for such product candidates as well as data emerging from other therapies in the same class as our product candidates; and</w:t>
      </w:r>
    </w:p>
    <w:p>
      <w:pPr>
        <w:spacing w:after="0" w:line="53" w:lineRule="exact"/>
        <w:rPr>
          <w:rFonts w:ascii="Times New Roman" w:cs="Times New Roman" w:eastAsia="Times New Roman" w:hAnsi="Times New Roman"/>
          <w:sz w:val="18"/>
          <w:szCs w:val="18"/>
          <w:color w:val="auto"/>
        </w:rPr>
      </w:pPr>
    </w:p>
    <w:p>
      <w:pPr>
        <w:ind w:left="1160" w:right="400" w:hanging="388"/>
        <w:spacing w:after="0" w:line="282" w:lineRule="auto"/>
        <w:tabs>
          <w:tab w:leader="none" w:pos="11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Investigational New Drug Application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us to complete additional preclinical studies or we are required to satisfy other FDA or foreign regulatory authority requests, respectively, prior to commencing clinical trials, the start of our first clinical trial for a product candidate may be delayed. Even after we receive and incorporate guidance from these regulatory authorities, the FDA or other regulatory authorities could disagree as to whether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analogous processes and risks applicable to clinical trial applications in other countries, including but not limited to Canada, New Zealand, Australia, countries in the EU and countries in Asia.</w:t>
      </w:r>
    </w:p>
    <w:p>
      <w:pPr>
        <w:spacing w:after="0" w:line="194"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DMR-001, and our anticipated future clinical trials of such product candidate may not be successful.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success is substantially dependent on our ability to timely obtain regulatory approval for, and then successfully commercialize, DMR-</w:t>
      </w:r>
    </w:p>
    <w:p>
      <w:pPr>
        <w:spacing w:after="0" w:line="27" w:lineRule="exact"/>
        <w:rPr>
          <w:sz w:val="20"/>
          <w:szCs w:val="20"/>
          <w:color w:val="auto"/>
        </w:rPr>
      </w:pPr>
    </w:p>
    <w:p>
      <w:pPr>
        <w:ind w:firstLine="8"/>
        <w:spacing w:after="0" w:line="251"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initially investing a majority of our efforts and financial resources into the research and development of this program. We intend to make our first regulatory submission enabling the start of clinical development for DMR-001 in mid-2026 and initiate a global Phase 1/1b trial in ET and MF patients with a subcutaneous formulation thereafter, subject to regulatory approval. The success of DMR-001 is dependent on observing rapid and sustained reduction in excess platelets, the key pathology in ET, compared to other anti-mutCALR antibody product candidates in clinical development. This is based in part on the assumption that the increased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and improved pharmacokinetics observed in NHPs will translate into inhibition of Type 1 and Type 2 mutCALR-dependent cell proliferation and improved pharmacokinetic properties of DMR-001 in humans, resulting in a more convenient dosing regimen. To the extent we do not observe this inhibition of Type 1 and Type 2 mutCALR-dependent cell proliferation or improved pharmacokinetic properties in our global Phase 1/1b clinical trial of DMR-001 or in additional clinical trials, it would significantly and adversely affect the clinical and commercial potential of DMR-001.</w:t>
      </w:r>
    </w:p>
    <w:p>
      <w:pPr>
        <w:spacing w:after="0" w:line="19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development, evaluation of clinical, preclinical and manufacturing activities, regulatory approval in multiple jurisdictions, substantial investment and significant marketing efforts before we generate any revenues from product sales. We are not permitted to market or promote these product candidates, or any other product candidates, before we receive regulatory approval from the FDA and comparable foreign regulatory authorities, and we may never receive such regulatory approvals.</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potential threats from the intellectual property rights of third parties and the manufacturing, marketing,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DMR-001, DMR-002, DMR-003 or future product candidates, or are significantly delayed in doing so, our business will be materially harmed.</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initiation of our Phase 1 clinical trials of DMR-001, DMR-002 and DMR-003, the timing for receipt of clinical data, and the timing for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many cases for reasons beyond our control. If we do not meet these milestones as publicly announced, or at all, our prospects and reputation may be adversely affected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9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target patient population for the treatment of MPNs is small and has not been definitively determined, and if estimates of the number of treatable patients is lower than expected, our potential revenues from sales of our product candidates, if approved, and our ability to achieve profitability would be compromised.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estimates of both the number of patients who have MPNs, as well as the subset of patients with the disease in a position to receive treatment from DMR-001 (i.e., those with mutCALR proteins &gt; 42,000 patients in the United States), if approved, may prove to be incorrect. These estimates have been derived from a variety of sources, including scientific literature, input from physicians that treat patients with the diseases we are targeting, patient foundations and secondary market research databases. For example, estimates of the prevalence of MPNs in certain geographies are based in part on the published prevalence of MPNs among patient populations in the United States split across ethnicities, and our own analyses of prevalence in Europe, and on published disease incidence rates for certain geographies and estimated for the populations of such geographies. Further, new studies may change the estimated incidence or prevalence of MPNs. Similar considerations would apply to estimates of patient population for target indications we select for DMR-002, DMR-003 and any future product candidates. Accordingly, our target patient populations may turn out to be lower than expected, in which case the potential revenues from sales of our product candidates, if approved, would be lower than expected.</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DMR-001, DMR-002 and DMR-003 is unproven, and we may not be successful in our efforts to build a pipeline of product candidates with commercial value.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approach to the discovery and development of our product candidates leverages well-established mechanisms of action and incorporates advanced antibody engineering to optimize half-life and other properties designed to overcome limitations of existing therapies, including increased binding affinity. Our product candidates are purposefully designed to improve upon existing product candidates and products while maintaining the same, well-established mechanisms of action. However, the scientific research that forms the basis of our efforts to develop DMR-001, DMR-002 and DMR-003 using half-life extension technologies and to enhance efficacy through improved binding affinity, including monoclonal antibodies, is ongoing and may not result in viable product candidates. We have limited clinical data on product candidates utilizing monoclonal antibody half-life extension technologies, especially in autoimmune indications, demonstrating whether they are safe or effective for long-term treatment in humans. We also have no clinical data to indicate whether our modifications to enhance binding affinity translate into improved efficacy in humans. The long-term safety and efficacy of DMR-001, DMR-002 and DMR-003 compared to currently approved products is unknown.</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ultimately discover that utilizing half-life extension technologies for our specific targets and indications and any product candidates resulting therefrom do not possess certain properties required for therapeutic effectiveness. We currently have only preclinical data regarding the increased half-life properties of DMR-001, DMR-002 and DMR-003, and the same results may not be seen in humans. In addition, product candidates using half-life extension technologies may demonstrate different chemical and pharmacological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other companies are developing drug products that utilize half-life extension technology in other targets and indications. The failure of those companies to demonstrate the safety and efficacy of their product candidates may be harmful to our business, financial condition, results of operations and prospects.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product candidates that are based on novel targets and technologies that are unproven. If our discovery or business development activities fail to identify novel targets or technologies for drug development, or such targets or technologies prove to be unsuitable for treating human disease, we may not be able to develop viable additional product candidates.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product candidates prove to be ineffective, unsafe or commercially unviable, our product candidates and pipeline would have little, if any, value, which would have a material and adverse effect on our business, financial condition, results of operations and prospects.</w:t>
      </w:r>
    </w:p>
    <w:p>
      <w:pPr>
        <w:spacing w:after="0" w:line="29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While we currently do not anticipate that this shortage will materially impact our costs or timelines, a continuing or future shortage could cause the cost of obtaining NHPs for our future preclinical studies to increase significantly or result in delays to our development timelines.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enrolling patients in clinical trials for cancer therapies is challenging, as cancer patients will first receive the applicable standard of care. Many patients who respond positively to the standard of care therapy (and thus do not enroll in clinical trials) are believed to have tumor types that may have responded well to our product candidates. This may limit the number of eligible patients able to enroll in our clinical trials and could extend development timelines or increase costs for these programs. Patients who fail to respond positively to the standard of care treatment will be eligible for clinical trials of unapproved drug candidates. However, these patients may have either compromised immune function from prior administration of chemotherapy or an enhanced immune response from the prior administration of checkpoint inhibitors. Either of these prior treatment regimens may render our therapies less effective in clinical trials. We have sought and may continue to seek to mitigate these effects in the future through modification of enrollment eligibility criteria. Additionally, patients who have failed approved therapies will typically have more advanced cancer and a poorer long-term prognosis. If we are unable to initiate or adequately enroll our clinical trial sites, our clinical trials may be delayed.</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we expect to rely on patients to provide feedback on measures such as measures of disease and quality of life,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8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cannot be sure that the FDA or comparable foreign regulatory authorities will agree with our clinical development plans, and there is no guarantee that data from our Phase 1 trial will support additional trials. If the FDA or comparable foreign regulatory authorities require us to conduct additional trials or enroll additional patients, our development timelines may be delayed. We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data to support the initiation or continuation of clinical trials; delays in reaching a consensus with regulatory authorities on study design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clinical trials; delays or failure in obtaining regulatory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ind w:right="60"/>
        <w:spacing w:after="0" w:line="253" w:lineRule="auto"/>
        <w:rPr>
          <w:sz w:val="20"/>
          <w:szCs w:val="20"/>
          <w:color w:val="auto"/>
        </w:rPr>
      </w:pPr>
      <w:r>
        <w:rPr>
          <w:rFonts w:ascii="Times New Roman" w:cs="Times New Roman" w:eastAsia="Times New Roman" w:hAnsi="Times New Roman"/>
          <w:sz w:val="18"/>
          <w:szCs w:val="18"/>
          <w:color w:val="auto"/>
        </w:rPr>
        <w:t>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our CMOs or us to make any necessary changes to such manufacturing process; and third parties being unwilling or unable to satisfy their contractual obligations to us.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would be adversely affected.</w:t>
      </w:r>
    </w:p>
    <w:p>
      <w:pPr>
        <w:spacing w:after="0" w:line="292"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particularly given the relatively small patient population. If we encounter difficulties enrolling patients in our future clinical trial of DMR-001 or our other programs, our clinical development activities could be delayed or otherwise adversely affected.</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current or future clinical trials for a variety of reasons. The timely completion of clinical trials in accordance with their protocols depends, among other things, on our ability to enroll a sufficient number of patients who remain in the trial until our conclusion.</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cancer therapies are sometimes characterized by line of therapy (first, second, third, fourth, etc.), and the FDA often initially approves new therapies only for use in a particular line or lines of therapy. For example, we may initially seek approval of our product candidates as a third-line therapy for patients who have failed other approved treatments. We may subsequently seek approval as a second- and first-line therapy. There is no guarantee that our product candidates, even if initially approved, would be subsequently approved as a second or first line therapy, which may further reduce the number of patients available to us.</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Currently, most ET patients are often treated with aspirin alone. However, the remaining ET patients carry a higher risk of clotting and bleeding and are generally treated with hydroxyurea, which is not approved for the treatment of ET in the United States, anagrelide or interferon.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enrollment of patients in future trials for any of our product candidates will depend on many factors, including:</w:t>
      </w:r>
    </w:p>
    <w:p>
      <w:pPr>
        <w:spacing w:after="0" w:line="117" w:lineRule="exact"/>
        <w:rPr>
          <w:sz w:val="20"/>
          <w:szCs w:val="20"/>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clinicians’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1160" w:right="500" w:hanging="388"/>
        <w:spacing w:after="0" w:line="266" w:lineRule="auto"/>
        <w:tabs>
          <w:tab w:leader="none" w:pos="11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w:t>
      </w:r>
    </w:p>
    <w:p>
      <w:pPr>
        <w:spacing w:after="0" w:line="6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left="1140" w:hanging="36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number of patients required for clinical trials of our product candidates may be larger than we anticipate.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regulatory approvals and increased development costs or may require us to abandon one or more clinical trials altogether, which could cause our value to decline, limit our ability to obtain additional financing and otherwise harm our prospects.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authorities,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of us as a company.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clinical trials or those of our current or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Results of our clinical trials could reveal a high or unacceptable severity and prevalence of side effects, adverse events or unexpected characteristics. If significant adverse events or other side effects are observed in any of our future clinical trials, we may have difficulty recruiting patients to such trials, patients may drop out of our trials, or we may be required to abandon the trials or our development efforts of one or more product candidates altogether. For example, although anti-mutCALR monoclonal antibodies have been generally well tolerated in clinical trials to date, four discontinuations out of 55 patients, one of which was due to a treatment-emergent adverse event (“TEAE”), were reported by Incyte in its Phase 1 trial investigating INCA033989 in ET patients resistant or intolerant to prior cytoreductive therapy. The most frequent grade ≥ 3 TEAEs were neutropenia, amylase increase, anemia and lipase increase. Because DMR-001 will have a similar mechanism of action, it is possible that patients in our future clinical trials could exhibit similar grade TEAEs as well. We,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our tolerability versus other therapies. In addition, an extended half-life could prolong the duration of undesirable side effects, which could also inhibit market acceptance. TEAEs could also affect patient recruitment or the ability of enrolled subjects to complete our clinical trials or could result in potential product liability claims. Potential side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80"/>
        <w:spacing w:after="0" w:line="266" w:lineRule="auto"/>
        <w:rPr>
          <w:sz w:val="20"/>
          <w:szCs w:val="20"/>
          <w:color w:val="auto"/>
        </w:rPr>
      </w:pPr>
      <w:r>
        <w:rPr>
          <w:rFonts w:ascii="Times New Roman" w:cs="Times New Roman" w:eastAsia="Times New Roman" w:hAnsi="Times New Roman"/>
          <w:sz w:val="18"/>
          <w:szCs w:val="18"/>
          <w:color w:val="auto"/>
        </w:rPr>
        <w:t>effects associated with our product candidates may not be appropriately recognized or managed by the treating medical staff, as toxicities resulting from our product candidates may not be normally encountered in the general patient population and by medical personnel. Any of these occurrences could harm our business, financial condition, results of operations and prospects significantly.</w:t>
      </w:r>
    </w:p>
    <w:p>
      <w:pPr>
        <w:spacing w:after="0" w:line="17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In addition, even if we successfully advance our product candidates or any future product candidate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spacing w:after="0" w:line="16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one or more of our product candidates prove to be unsafe, our entire pipeline could be affected, any of which would have a material adverse effect on our business, financial condition, results of operations and prospects.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a particular program and fail to capitalize on programs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research and development efforts on certain selected programs. For example, we are currently focused primarily on DMR-001.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of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we select product candidates amongst a variety of potential product candidates from Paragon, and the product candidates we select may fail to be viable commercial products or the product candidates we do not select may have a greater likelihood of success.</w:t>
      </w:r>
    </w:p>
    <w:p>
      <w:pPr>
        <w:spacing w:after="0" w:line="29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we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our control. There are two recently approved products and additional product candidates in later stages of development for the treatment of MPNs, including momelotinib (approved in 2023) and pacritinib (approved in 2022) as well as late-stage ropeginterferon alfa-2b, imetelstat, pelabresib, bomedemstat, and navtemadlin. However, DMR-001 is designed to have improved potency against both Type 1 and Type 2 mutCALR and contain modifications that are known to increase the half-life of antibodies in circulation; to date, no such disease-modifying therapy that reduces platelet counts in ET patients with high risk of clotting and bleeding has been approved by the FDA for the treatment of MPNs, though several such agents are in advanced clinical development and close to approval. Market participants with significant influence over acceptance of new treatments, such as clinicians and third-party payors, may not adopt a biologic that incorporates anti-mutCALR antibodies and half-life extension for our targeted indication, and we may not be able to convince the medical community and third-party payors to accept and use, or to provide favorable reimbursement for, any programs developed by us or our existing or future collaborators.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Additionally, although we believe that the improved dosing and convenience we expect our product candidates to provide will improve market acceptance of such product candidates and that our candidates will have a competitive efficacy profile, our predictions may not be accurate and other competitive products may instead gain and hold the applicable market. 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DMR-001 for the treatment of ET and MF and intend to develop DMR-002 and DMR-003 for other MPNs, and we may in the future develop programs for additional MPNs. However, developing multiple product candidates for MPNs may negatively impact our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our future revenue.</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for product candidates at sites outside the United States, and the FDA may not accept data from trials conducted in such locations.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planning to conduct our Phase 1/1b clinical trial of DMR-001 in several geographies, including the United States and Australia, and we may choose to conduct one or more of our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our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our development of the applicable product candidates or delay or prevent regulatory approval for commercialization in the applicable jurisdiction. Even if the FDA or any comparable foreign regulatory authority accepted such data, it could require us to modify our planned clinical trials to receive clearance to initiate such trials in the United States or the relevant jurisdiction, as applicable, or to continue such trials once initiated.</w:t>
      </w:r>
    </w:p>
    <w:p>
      <w:pPr>
        <w:spacing w:after="0" w:line="19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rely on our collaboration with a third party, Paragon, for a substantial portion of our discovery capabilities and for the rights necessary to develop and commercialize our product candidates. In the future, we could also rely on additional licensing arrangements with third parties. For example, we have entered into the Paragon Option Agreement. However, Paragon could terminate the Paragon Option Agreement under certain circumstances, including our failure to make any payments owed to Paragon under the agreement or any uncured material breach of the agreement by us, in which event we may lose intellectual property rights and may not be able to develop or commercialize the product candidates covered by that agreement, including DMR-001, DMR-002 or DMR-003, as applicable.</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our obligations under our agreement with us, disagrees with our interpretation of the terms of such agreement or terminates their agreement with us, our pipeline and product candidates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leading to the potential invalidation of our intellectual property, or they may even infringe upon our intellectual property rights, any of which could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7" w:name="page48"/>
    <w:bookmarkEnd w:id="47"/>
    <w:p>
      <w:pPr>
        <w:ind w:right="140"/>
        <w:spacing w:after="0" w:line="261" w:lineRule="auto"/>
        <w:rPr>
          <w:sz w:val="20"/>
          <w:szCs w:val="20"/>
          <w:color w:val="auto"/>
        </w:rPr>
      </w:pPr>
      <w:r>
        <w:rPr>
          <w:rFonts w:ascii="Times New Roman" w:cs="Times New Roman" w:eastAsia="Times New Roman" w:hAnsi="Times New Roman"/>
          <w:sz w:val="18"/>
          <w:szCs w:val="18"/>
          <w:color w:val="auto"/>
        </w:rPr>
        <w:t>subject us to litigation or arbitration, which would be time-consuming and expensive and could harm our ability to commercialize our product candidates.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add development or commercialization capabilities.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may be unwilling to assign or license rights to us, whether they perceive us to be a competitor or for other reasons.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does not have sufficient funds or expertise to undertake the necessary development and commercialization activities, we may not be able to further develop our product candidates or bring them to market.</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relied and continue to rely on Paragon, and expect to rely on our future licensing partners, to (i) conduct research and development in accordance with the applicable protocol, legal, regulatory and scientific standards, (ii) accurately report the results of all preclinical trials conducted prior to our licensing or acquisition of the relevant product candidates and (iii) correctly collect and interpret the data from these trials. If the research and development processes or the results of the research programs prior to our licensing or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87" w:lineRule="exact"/>
        <w:rPr>
          <w:sz w:val="20"/>
          <w:szCs w:val="20"/>
          <w:color w:val="auto"/>
        </w:rPr>
      </w:pPr>
    </w:p>
    <w:p>
      <w:pPr>
        <w:ind w:right="240" w:firstLine="509"/>
        <w:spacing w:after="0" w:line="277" w:lineRule="auto"/>
        <w:rPr>
          <w:sz w:val="20"/>
          <w:szCs w:val="20"/>
          <w:color w:val="auto"/>
        </w:rPr>
      </w:pPr>
      <w:r>
        <w:rPr>
          <w:rFonts w:ascii="Times New Roman" w:cs="Times New Roman" w:eastAsia="Times New Roman" w:hAnsi="Times New Roman"/>
          <w:sz w:val="17"/>
          <w:szCs w:val="17"/>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they are ever commenced or completed, and our ability to generate revenues from our product candidates may be delayed. Please see the section titled “</w:t>
      </w:r>
      <w:r>
        <w:rPr>
          <w:rFonts w:ascii="Times New Roman" w:cs="Times New Roman" w:eastAsia="Times New Roman" w:hAnsi="Times New Roman"/>
          <w:sz w:val="17"/>
          <w:szCs w:val="17"/>
          <w:i w:val="1"/>
          <w:iCs w:val="1"/>
          <w:color w:val="auto"/>
        </w:rPr>
        <w:t>Risk Factors-Risks Related to Our Intellectual Property-If we are unable to obtain or maintain necessary rights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 programs through acquisitions and in-licenses, our business may be materially harmed</w:t>
      </w:r>
      <w:r>
        <w:rPr>
          <w:rFonts w:ascii="Times New Roman" w:cs="Times New Roman" w:eastAsia="Times New Roman" w:hAnsi="Times New Roman"/>
          <w:sz w:val="17"/>
          <w:szCs w:val="17"/>
          <w:color w:val="auto"/>
        </w:rPr>
        <w:t>” below for additional information regarding such risks.</w:t>
      </w:r>
    </w:p>
    <w:p>
      <w:pPr>
        <w:spacing w:after="0" w:line="2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which are regulations and guidelines enforced by the FDA and comparable foreign regulatory authorities for all of our product candidates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In addition, our clinical trials must be conducted with products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100"/>
        <w:spacing w:after="0" w:line="266" w:lineRule="auto"/>
        <w:rPr>
          <w:sz w:val="20"/>
          <w:szCs w:val="20"/>
          <w:color w:val="auto"/>
        </w:rPr>
      </w:pPr>
      <w:r>
        <w:rPr>
          <w:rFonts w:ascii="Times New Roman" w:cs="Times New Roman" w:eastAsia="Times New Roman" w:hAnsi="Times New Roman"/>
          <w:sz w:val="18"/>
          <w:szCs w:val="18"/>
          <w:color w:val="auto"/>
        </w:rPr>
        <w:t>manufactured in accordance with cGMPs. Our failure to comply with these requirements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and foreign equivalents.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encounter challenges hiring and retaining sufficient qualified personnel or they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plan to rely on foreign CROs and CMOs, including WuXi Biologics (Hong Kong) Limited (“WuXi Biologics (Hong Kong)”), for formulation and manufacturing of our Phase 1 clinical trial materials, and will likely continue to rely on foreign CROs and CMOs in the future. WuXi Biologics (Hong Kong) is a subsidiary or affiliate of WuXi Biologics, which was previously identified in the U.S. legislation proposed in 2024 known as the BIOSECURE Act as a biotechnology “company of concern.” The BIOSECURE Act as it was enacted into law on December 18, 2025, will prohibit U.S. federal agencies from entering into, extending or renewing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of revisions to the Federal Acquisition Regulation designating an entity a biotechnology company of concern until five years from such effective date. The timing for implementation of the BIOSECURE Act is uncertain. Depending on how the BIOSECURE Act is implemented by U.S. federal agencies, we could be potentially restricted from pursuing U.S. federal government business or grants in the future if we continue to use WuXi Biologics (Hong Kong) and if WuXi Biologics (Hong Kong) or other parties we contract with are identified as “biotechnology companies of concern” beyond the grandfathering period. Foreign CMOs may be the target of U.S. legislation, including the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15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research programs. Furthermore, if one or more of our collaborators or vendors in China, including WuXi Biologics (Hong Kong), is named a biotechnology company of concern,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a geopolitical instability affecting our collaborators in China could introduce delays into the research program.</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third-party CMOs to manufacture our product candidates, and we expect to continue to rely on third-party CMOs to produce our products, if approved. Our business could be adversely affected if we are unable to use third-party manufacturing suites or if the third-party manufacturers encounter difficulties in production.</w:t>
      </w:r>
    </w:p>
    <w:p>
      <w:pPr>
        <w:spacing w:after="0" w:line="6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rely on CMOs to manufacture our product candidates. We have not yet caused our product candidates to be manufactured on a commercial scale and may not be able to do so for any of our product candidates, if approved. We currently have a single source for our supply of our product candidates and recently entered into an agreement with a second supplier. If there should be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18"/>
          <w:szCs w:val="18"/>
          <w:color w:val="auto"/>
        </w:rPr>
        <w:t>disruption in such supply arrangement, including any adverse events affecting our sole supplier, or if we experience delays or difficulties in transferring, or are unable to successfully transfer, our manufacturing processes, it could have a negative effect on the clinical development of our product candidates and other operations while we work to identify and qualify an alternate supply source. We have limited control over the manufacturing process of, and may be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another applicable regulatory authority does not approve these facilities for the manufacture of our product candidates or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We, or our future contract manufacturers, any current or future collaborators and their contract manufacturers could be subject to periodic unannounced inspections by the FDA, competent authorities of the EU Member States or other comparable foreign regulatory authorities, to monitor and ensure compliance with cGMPs.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CMOs, to comply with applicable regulations could result in sanctions being imposed on us,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 candidates or products, if approved, and harm our business and results of operations.</w:t>
      </w:r>
    </w:p>
    <w:p>
      <w:pPr>
        <w:spacing w:after="0" w:line="1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intellectual property disputes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commercially reasonable cost,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or comparable foreign regulatory authorities, result in higher costs or adversely impact commercialization of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preclinical and clinical drug development, technical operations, clinical operations and regulatory affairs.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Jennifer Jarrett, our President and Chief Executive Officer, Becker Hewes, M.D., our Chief Medical Officer, and Sherwin Sattarzadeh, our Chief Operating Officer.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340"/>
        <w:spacing w:after="0" w:line="282" w:lineRule="auto"/>
        <w:rPr>
          <w:sz w:val="20"/>
          <w:szCs w:val="20"/>
          <w:color w:val="auto"/>
        </w:rPr>
      </w:pPr>
      <w:r>
        <w:rPr>
          <w:rFonts w:ascii="Times New Roman" w:cs="Times New Roman" w:eastAsia="Times New Roman" w:hAnsi="Times New Roman"/>
          <w:sz w:val="18"/>
          <w:szCs w:val="18"/>
          <w:color w:val="auto"/>
        </w:rPr>
        <w:t>attracting and retaining experienced personnel and may be required to expend significant financial resources in our employee recruitment and retention efforts.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if approved,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CMOs, and a delay in our development timelines.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applicable foreign regulatory authority,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if approved,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right="180"/>
        <w:spacing w:after="0" w:line="266" w:lineRule="auto"/>
        <w:rPr>
          <w:sz w:val="20"/>
          <w:szCs w:val="20"/>
          <w:color w:val="auto"/>
        </w:rPr>
      </w:pPr>
      <w:r>
        <w:rPr>
          <w:rFonts w:ascii="Times New Roman" w:cs="Times New Roman" w:eastAsia="Times New Roman" w:hAnsi="Times New Roman"/>
          <w:sz w:val="18"/>
          <w:szCs w:val="18"/>
          <w:color w:val="auto"/>
        </w:rPr>
        <w:t>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8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spacing w:after="0" w:line="17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3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right="980"/>
        <w:spacing w:after="0" w:line="282" w:lineRule="auto"/>
        <w:rPr>
          <w:sz w:val="20"/>
          <w:szCs w:val="20"/>
          <w:color w:val="auto"/>
        </w:rPr>
      </w:pPr>
      <w:r>
        <w:rPr>
          <w:rFonts w:ascii="Times New Roman" w:cs="Times New Roman" w:eastAsia="Times New Roman" w:hAnsi="Times New Roman"/>
          <w:sz w:val="18"/>
          <w:szCs w:val="18"/>
          <w:color w:val="auto"/>
        </w:rPr>
        <w:t>severity, and we cannot guarantee that third parties’ infrastructure in our supply chain or our third-party partners’ supply chains have not been compromised.</w:t>
      </w:r>
    </w:p>
    <w:p>
      <w:pPr>
        <w:spacing w:after="0" w:line="162"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17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and third parties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we are and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IRS and other regulatory authorities. In addition,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540"/>
        <w:spacing w:after="0" w:line="282" w:lineRule="auto"/>
        <w:rPr>
          <w:sz w:val="20"/>
          <w:szCs w:val="20"/>
          <w:color w:val="auto"/>
        </w:rPr>
      </w:pPr>
      <w:r>
        <w:rPr>
          <w:rFonts w:ascii="Times New Roman" w:cs="Times New Roman" w:eastAsia="Times New Roman" w:hAnsi="Times New Roman"/>
          <w:sz w:val="18"/>
          <w:szCs w:val="18"/>
          <w:color w:val="auto"/>
        </w:rPr>
        <w:t>we have no assurance as to whether, when and how this provision may be subject to further amendment or repeal. Such changes, among others, may adversely affect our effective tax rate, results of operation and financial condition.</w:t>
      </w:r>
    </w:p>
    <w:p>
      <w:pPr>
        <w:spacing w:after="0" w:line="26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product candidates or products, or form strategic alliances, in the future, and may not realize the benefits of such acquisitions.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9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rely upon a combination of patents, trademarks, trade secret protection, copyrights and confidentiality agreements, licenses and the Paragon Option Agreement to protect the intellectual property related to our programs and technologies and to prevent third parties from competing unfairly with us. Our success depends in large part on our ability to obtain and maintain patent protection for our product candidates and their uses, as well as our ability to operate without infringing on or violating the proprietary rights of others. We do not currently own or license any patents with respect to DMR-001, DMR-002, DMR-003. Paragon has filed patent applications directed to anti-mutCALR monoclonal antibodies, including applications covering composition of matter, pharmaceutical formulations, and methods of using such antibodies, including DMR-001, which we have the option to license pursuant to the Paragon Option Agreement. In the future, we expect to prosecute underlying intellectual property for DMR-001, DMR-002, DMR-003, and some or all of the in-licensed or owned product candidates that we develop.</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obtain or protect our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or our licensor files patent applications to obtain such rights. Our competitors may operate in countries where we do not have patent protection and may be able to freely use our technologies and discoveries in such countries, at least to the extent not forbidden by law.</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intellectual property portfolio is at an early stage. Except as described above, we do not currently own or license any issued patents or pending patent applications. Our future optioned, in-licensed or owned patent applications may not result in patents being issued. Any issued patents may not afford sufficient protection of our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we may license or own covering our product candidates could be narrowed or found invalid or unenforceable if challenged in court or before administrative bodies in the United States or abroad, including the United States Patent and Trademark Office (“USPTO”). If we do not obtain patent coverage for the work we are conducting, or if we obtain such rights but they are invalidated or rendered unenforceable, we may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100"/>
        <w:spacing w:after="0" w:line="256" w:lineRule="auto"/>
        <w:rPr>
          <w:sz w:val="20"/>
          <w:szCs w:val="20"/>
          <w:color w:val="auto"/>
        </w:rPr>
      </w:pPr>
      <w:r>
        <w:rPr>
          <w:rFonts w:ascii="Times New Roman" w:cs="Times New Roman" w:eastAsia="Times New Roman" w:hAnsi="Times New Roman"/>
          <w:sz w:val="18"/>
          <w:szCs w:val="18"/>
          <w:color w:val="auto"/>
        </w:rPr>
        <w:t>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exclusivity period or competitive advantage.</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reasonable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9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necessary rights to our programs through acquisitions and in-licenses, our business may be materially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our research programs currently do and may in the future require the use of proprietary rights held by third parties, the growth of our business will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intellectual property rights we obtain in the future, we may have to abandon development of the relevant program, which could have a material adverse effect on our business, financial condition, results of operations, and prospects.</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have the right to control prosecution, defense, maintenance and enforcement of patents in-licensed under the Paragon license agreements once the trigger for transfer of prosecution control is met, there may be times when rights for patents and patent applications relating to our product candidates are controlled by our future licensors or collaboration partners. For example, Paragon currently has the right to file patent applications and control prosecution with respect to any other inventions that may fall within the Paragon Option Agreement, including those that may apply to DMR-001, DMR-002 and DMR-003. If we, Paragon or any of our future licensors or collaboration partners fail to prosecute, defend, maintain and enforce such patents and patent applications in a manner consistent with our best interests,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if we have the right to control prosecution of patents and patent applications we have licensed to and from third parties, including under future license agreements with Paragon following the point at which such control is assumed, we may still be adversely affected or prejudiced by actions or inactions of Paragon, additional licensees, or licensors and their counsel prior to the date upon which we assume control over patent prosecution. For example, Paragon is responsible for the prosecution, defense, maintenance and enforcement of patents related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DMR-001, DMR-002 and DMR-003. Subsequent to entering into such license agreements, we expect to control patent prosecution over DMR-001, DMR-002 and DMR-003 following the trigger for transfer of prosecution control for the applicable program to us.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future licensors may not be the sole and exclusive owners of all rights in the patents we may in-license. If other third parties have rights to our future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product candidates, manufacturing methods or future products or methods resulting in either an injunction prohibiting our manufacture or future sales, or, with respect to our future sales, an obligation on our part to pay royalties and/or other forms of compensation to third parties, which could be significant.</w:t>
      </w:r>
    </w:p>
    <w:p>
      <w:pPr>
        <w:spacing w:after="0" w:line="19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(but not limited to):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If we or our future licensors breach the terms of our license agreements, such breach may have a material adverse effect on our business and the commercialization efforts for our programs.</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lawsuits or may need to file lawsuits to protect our intellectual property, which could result in substantial costs and liability and prevent us from commercializing our potential products.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could be alleged to render one or more of our product candidates infringing. If a third party successfully brings a claim against us, and our rights are not held invalid or unenforceable, we may be required to pay substantial damages, be forced to abandon any affected product candidate and/or seek a license from the patent holder.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future patents, if filed and issued, owned or licensed by us will not be challenged by others, whether in the course of litigation or in agencies like the USPTO.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we may be required to protect our future patents, if filed and issued,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60"/>
        <w:spacing w:after="0" w:line="282" w:lineRule="auto"/>
        <w:rPr>
          <w:sz w:val="20"/>
          <w:szCs w:val="20"/>
          <w:color w:val="auto"/>
        </w:rPr>
      </w:pPr>
      <w:r>
        <w:rPr>
          <w:rFonts w:ascii="Times New Roman" w:cs="Times New Roman" w:eastAsia="Times New Roman" w:hAnsi="Times New Roman"/>
          <w:sz w:val="18"/>
          <w:szCs w:val="18"/>
          <w:color w:val="auto"/>
        </w:rPr>
        <w:t>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future licensees or customers and other parties with whom we have business relationships and we may be required to indemnify those parties for any damages they suffer as a result of these claims, which may require us to initiate or defend protracted and costly litigation on behalf of licensees or other parties regardless of the merits of such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0"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our and our current and future licensors’ ability to obtain, maintain and enforce patent protection for our licensed intellectual property.</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and our current and future licensors’ (including Paragon’s) ability to obtain, maintain and enforce patent protection for our licensed intellectual property. Currently, Paragon controls the prosecution, maintenance, enforcement and defense of DMR-001, DMR-002 and DMR-003. After entry into license agreements with Paragon for DMR-001, DMR-002 and DMR-003, and once the trigger for transfer of prosecution control is met, we expect to hold such rights. We, Paragon and our future licensors may not successfully prosecute the patent applications that cover our product candidates. Even if patents are issued in respect of these patent applications, we and our future licensors (including Paragon) may fail to maintain these patents, may determine not to pursue litigation against other companies that are infringing these patents, or may pursue such litigation less aggressively than we would. Without protection for any in-licensed intellectual property, other companies might be able to offer substantially identical products for sale, which could adversely affect our competitive business position and harm our business prospects.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While we may litigate to defend against these claims, even if we are successful, litigation could result in substantial costs and could be a distraction to management and other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t>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our patent applications and the enforcement or defense of our issued patents, all of which could have a material adverse effect on our business, financial condition, results of operations and prospects. Additionally, there have been proposals for additional changes to the patent laws of the United States and other countries that, if adopted, could impact our ability to enforce our proprietary technology.</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as broad as Amgen’s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do not currently own any European patents or applications, if we obtain or license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180"/>
        <w:spacing w:after="0" w:line="258" w:lineRule="auto"/>
        <w:rPr>
          <w:sz w:val="20"/>
          <w:szCs w:val="20"/>
          <w:color w:val="auto"/>
        </w:rPr>
      </w:pPr>
      <w:r>
        <w:rPr>
          <w:rFonts w:ascii="Times New Roman" w:cs="Times New Roman" w:eastAsia="Times New Roman" w:hAnsi="Times New Roman"/>
          <w:sz w:val="18"/>
          <w:szCs w:val="18"/>
          <w:color w:val="auto"/>
        </w:rPr>
        <w:t>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any future patents and patent applications, if filed and issued, covering our product candidates, our competitive position would be adversely affected.</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issued patents or our pending applications, if filed, or that we were the first to invent the technology. Our competitors may have filed, and may in the future file, patent applications covering our products or technology similar to ours. Any such patent application may have priority over our future patent applications or patents, if filed and issued, which could require us to obtain rights to issued patents covering such technologies.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if issued, and other intellectual property.</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of our product candidates for an adequate amount of time.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our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patent portfolio may not provide us with sufficient rights to exclude others from commercializing products similar or identical to ours.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there are certain restrictions on Paragon’s ability to develop products that could be competitive with ours, these restrictions may not prevent the possible future license or development by Paragon of certain technology that could lead to product candidates competitive with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DMR-001, DMR-002 and DMR-003,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may prove to have undesirable or unintended side effects, toxicities or other characteristics, or may fail to improve on the applicable standard of care, any of which may preclude our obtaining regulatory approval. The FDA and comparable foreign regulatory authorities have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our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our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20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of our product candidates for fewer or more limited indications than we request, including failing to approve the most commercially promising indications, may grant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40"/>
        <w:spacing w:after="0" w:line="269" w:lineRule="auto"/>
        <w:rPr>
          <w:sz w:val="20"/>
          <w:szCs w:val="20"/>
          <w:color w:val="auto"/>
        </w:rPr>
      </w:pPr>
      <w:r>
        <w:rPr>
          <w:rFonts w:ascii="Times New Roman" w:cs="Times New Roman" w:eastAsia="Times New Roman" w:hAnsi="Times New Roman"/>
          <w:sz w:val="17"/>
          <w:szCs w:val="17"/>
          <w:color w:val="auto"/>
        </w:rPr>
        <w:t>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this could have a material adverse effect on our competitive position, business, financial condition, results of operations, and prospects. In addition, the FDA and foreign regulatory authorities may undergo leadership changes, change their policies, issue additional regulations or revise existing regulations, or take other actions,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federal government could adopt legislation, regulations or policies that adversely affect our business or create a more challenging and costly environment to pursue the development, approval and commercialization of our product candidates.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from biosimilars sooner than anticipated.</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280"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or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t>compliance with cGMPs. 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delays or restrictions on our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us or by any of our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9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for 43 days beginning on October 1, 2025, the U.S. government shut down and certain regulatory agencies, such as the FDA and the SEC, had to furlough critical employees and stop critical activities. Actions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and regulatory legislative reform measures.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22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300"/>
        <w:spacing w:after="0" w:line="282" w:lineRule="auto"/>
        <w:rPr>
          <w:sz w:val="20"/>
          <w:szCs w:val="20"/>
          <w:color w:val="auto"/>
        </w:rPr>
      </w:pPr>
      <w:r>
        <w:rPr>
          <w:rFonts w:ascii="Times New Roman" w:cs="Times New Roman" w:eastAsia="Times New Roman" w:hAnsi="Times New Roman"/>
          <w:sz w:val="18"/>
          <w:szCs w:val="18"/>
          <w:color w:val="auto"/>
        </w:rPr>
        <w:t>and regulations. These laws may constrain the business or financial arrangements and relationships through which we conduct our operations, including how we research, market, sell and distribute our product candidates, if approved.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Governmental regulation of the import or export of our drug candidates, or our failure to obtain any required import or export authorization for our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8"/>
          <w:szCs w:val="18"/>
          <w:color w:val="auto"/>
        </w:rPr>
        <w:t>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28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seek and are unable to obtain accelerated approval, the amount, size and duration of our clinical trials could be greater than planned, which could increase the expense, reduce the likelihood, and/or delay the timing of obtaining necessary regulatory approvals. Even if we receive accelerated approval, if confirmatory trials do not verify clinical benefit, or if we do not comply with rigorous post-approval requirements, such authorities may withdraw accelerated approval.</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or other expedited development, review or approval status, for our product candidates. Even if granted, there is no guarantee that receiving an expedited development, review or approval status from the FDA will lead to a faster development or regulatory review or approval process, and such status does not increase the likelihood that our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we choose to pursue accelerated approval, there can be no assurance that the FDA will agree that our proposed primary endpoint is an appropriate surrogate endpoint.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We might not be able to fulfill the FDA’s requirements in a timely manner, which would cause delays, or approval might not be granted because our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we receive accelerated approval from the FDA, we will be subject to rigorous post-approval requirements, including submission to the FDA of all promotional materials prior to their dissemination. The FDA could withdraw accelerated approval for multiple reasons, including our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our competitive position in the marketplace. Comparable considerations apply outside of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when testing a product candidate in the clinical stage or at the commercial stage, and our product liability insurance may not cover all damages from such claims.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dosed in humans or approved for commercial sale, the future use of a product candidate in clinical trials, and the sale of any approved products in the future, may expose us to liability claims. These claims may be made by patients that use the product or product candidate,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intend to obtain product liability insurance for our future clinical trials,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information, contractual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240"/>
        <w:spacing w:after="0" w:line="266" w:lineRule="auto"/>
        <w:rPr>
          <w:sz w:val="20"/>
          <w:szCs w:val="20"/>
          <w:color w:val="auto"/>
        </w:rPr>
      </w:pPr>
      <w:r>
        <w:rPr>
          <w:rFonts w:ascii="Times New Roman" w:cs="Times New Roman" w:eastAsia="Times New Roman" w:hAnsi="Times New Roman"/>
          <w:sz w:val="18"/>
          <w:szCs w:val="18"/>
          <w:color w:val="auto"/>
        </w:rPr>
        <w:t>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spacing w:after="0" w:line="2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we and our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20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expected to continue to be volatile.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expected to continue to be subject to significant fluctuations. Some of the factors that may cause the market price of our Common Stock to fluctuate include:</w:t>
      </w:r>
    </w:p>
    <w:p>
      <w:pPr>
        <w:spacing w:after="0" w:line="54" w:lineRule="exact"/>
        <w:rPr>
          <w:sz w:val="20"/>
          <w:szCs w:val="20"/>
          <w:color w:val="auto"/>
        </w:rPr>
      </w:pPr>
    </w:p>
    <w:p>
      <w:pPr>
        <w:ind w:left="1140" w:hanging="36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our recent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left="1160" w:right="100" w:hanging="388"/>
        <w:spacing w:after="0" w:line="282" w:lineRule="auto"/>
        <w:tabs>
          <w:tab w:leader="none" w:pos="11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160" w:right="20" w:hanging="388"/>
        <w:spacing w:after="0" w:line="282" w:lineRule="auto"/>
        <w:tabs>
          <w:tab w:leader="none" w:pos="11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40"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60" w:right="500" w:hanging="388"/>
        <w:spacing w:after="0" w:line="282" w:lineRule="auto"/>
        <w:tabs>
          <w:tab w:leader="none" w:pos="11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60" w:right="880" w:hanging="388"/>
        <w:spacing w:after="0" w:line="282" w:lineRule="auto"/>
        <w:tabs>
          <w:tab w:leader="none" w:pos="11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governed by Delaware law and our amended and restated certificate of incorporation, as amended (the “Certificate of Incorporation”) and amended and restated By-laws, as amended (the “By-laws”), provisions of which have anti-takeover implications.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that are included in our Certificate of Incorporation and By-laws may discourage, delay or prevent a merger, acquisition or other change in control of the Company that our stockholders may consider favorable, including transactions in which holders of Common Stock might otherwise receive a premium price for their shares. These provisions could also limit the price that investors might be willing to pay in the future for shares of our Common Stock, thereby depressing the market price of our Common Stock. In addition, because the board of directors is responsible for appointing our management team, these provisions may frustrate or prevent any attempts by our stockholders to replace or remove our current management by making it more difficult for our stockholders to replace members of the board of directors. Among other things, these provisions will:</w:t>
      </w:r>
    </w:p>
    <w:p>
      <w:pPr>
        <w:spacing w:after="0" w:line="79" w:lineRule="exact"/>
        <w:rPr>
          <w:sz w:val="20"/>
          <w:szCs w:val="20"/>
          <w:color w:val="auto"/>
        </w:rPr>
      </w:pPr>
    </w:p>
    <w:p>
      <w:pPr>
        <w:ind w:left="1140" w:hanging="36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use of a classified board of directors such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the board of directors;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our stockholders can remove directors from the board of directors;</w:t>
      </w:r>
    </w:p>
    <w:p>
      <w:pPr>
        <w:spacing w:after="0" w:line="103" w:lineRule="exact"/>
        <w:rPr>
          <w:rFonts w:ascii="Times New Roman" w:cs="Times New Roman" w:eastAsia="Times New Roman" w:hAnsi="Times New Roman"/>
          <w:sz w:val="18"/>
          <w:szCs w:val="18"/>
          <w:color w:val="auto"/>
        </w:rPr>
      </w:pPr>
    </w:p>
    <w:p>
      <w:pPr>
        <w:ind w:left="1160" w:right="60" w:hanging="388"/>
        <w:spacing w:after="0" w:line="282" w:lineRule="auto"/>
        <w:tabs>
          <w:tab w:leader="none" w:pos="11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160" w:right="200" w:hanging="388"/>
        <w:spacing w:after="0" w:line="282" w:lineRule="auto"/>
        <w:tabs>
          <w:tab w:leader="none" w:pos="11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6" w:name="page67"/>
    <w:bookmarkEnd w:id="66"/>
    <w:p>
      <w:pPr>
        <w:ind w:left="1140" w:hanging="36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160" w:right="60" w:hanging="388"/>
        <w:spacing w:after="0" w:line="266" w:lineRule="auto"/>
        <w:tabs>
          <w:tab w:leader="none" w:pos="11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issue preferred stock without stockholder approval, which could be used to institute a “poison pill” that would work to dilute the stock ownership of a potential hostile acquirer, effectively preventing acquisitions that have not been approved by the board of directors;</w:t>
      </w:r>
    </w:p>
    <w:p>
      <w:pPr>
        <w:spacing w:after="0" w:line="67" w:lineRule="exact"/>
        <w:rPr>
          <w:rFonts w:ascii="Times New Roman" w:cs="Times New Roman" w:eastAsia="Times New Roman" w:hAnsi="Times New Roman"/>
          <w:sz w:val="18"/>
          <w:szCs w:val="18"/>
          <w:color w:val="auto"/>
        </w:rPr>
      </w:pPr>
    </w:p>
    <w:p>
      <w:pPr>
        <w:ind w:left="1160" w:right="660" w:hanging="388"/>
        <w:spacing w:after="0" w:line="282" w:lineRule="auto"/>
        <w:tabs>
          <w:tab w:leader="none" w:pos="11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voting rights to amend or repeal certain provisions of the Certificate of Incorporation or By-laws; and</w:t>
      </w:r>
    </w:p>
    <w:p>
      <w:pPr>
        <w:spacing w:after="0" w:line="53" w:lineRule="exact"/>
        <w:rPr>
          <w:rFonts w:ascii="Times New Roman" w:cs="Times New Roman" w:eastAsia="Times New Roman" w:hAnsi="Times New Roman"/>
          <w:sz w:val="18"/>
          <w:szCs w:val="18"/>
          <w:color w:val="auto"/>
        </w:rPr>
      </w:pPr>
    </w:p>
    <w:p>
      <w:pPr>
        <w:ind w:left="1160" w:right="340" w:hanging="388"/>
        <w:spacing w:after="0" w:line="282" w:lineRule="auto"/>
        <w:tabs>
          <w:tab w:leader="none" w:pos="11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not less than 66 2/3% of the outstanding shares of capital stock entitled to vote on the matter to amend or repeal the By-laws if the board of directors does not recommend the same.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we and our organizational documents are governed by Delaware law. Section 203 of the DGCL contains provisions that may enable our board of directors to discourage, delay or prevent a change in our ownership or in our management. The business combinations with interested stockholders provisions of the DGCL, subject to certain exceptions, restrict our ability to engage in any business combination with an interested stockholder for a three year period following the time that this stockholder becomes an interested stockholder, unless (i) before the stockholder became an interested stockholder, our board of directors approved either the business combination or the transaction which resulted in the stockholder becoming an interested stockholder;</w:t>
      </w:r>
    </w:p>
    <w:p>
      <w:pPr>
        <w:spacing w:after="0" w:line="3" w:lineRule="exact"/>
        <w:rPr>
          <w:sz w:val="20"/>
          <w:szCs w:val="20"/>
          <w:color w:val="auto"/>
        </w:rPr>
      </w:pPr>
    </w:p>
    <w:p>
      <w:pPr>
        <w:ind w:firstLine="8"/>
        <w:spacing w:after="0" w:line="251"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(iii) at or after the time the stockholder became an interested stockholder, the business combination was approved by our board of directors and authorized at an annual or special meeting of the stockholders by the affirmative vote of at least two-thirds of the outstanding voting stock which is not owned by the interested stockholder. For purposes of the foregoing provisions, “interested stockholder”, with certain exceptions is any entity or person beneficially owning 15% or more of the outstanding voting stock of the corporation and any entity or person affiliated with or controlling or controlled by the entity or person at any time in the last three-year period.</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Additionally, the Series B Certificate of Designation may delay or prevent a change in control of the Company. At any time while at least 30% of the originally issued Series B Preferred Stock remains issued and outstanding, we will not, without the affirmative vote of the holders of a majority of the then outstanding shares of the Series B Preferred Stock, (i) consummate (x) any Fundamental Transaction (as defined in the Series B Certificate of Designation) or (y) any merger or consolidation of the Company with or into another entity or any stock sale to, or other business combination in which our stockholders immediately before such transaction do not hold at least a majority of our capital stock of immediately after such transaction, (ii) increase the size of the board of directors, (iii) adopt, amend or repeal any written delegation of authority policy, corporate authority matrix or similar document, framework or schedule unless such adoption, amendment or repeal has been approved by the unanimous vote of the board of directors, or (iv) retain or replace our registered independent public accounting firm, independent compensation consultant or corporate counsel.</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Certificate of Incorporation and By-laws limit the court in which you may bring an action against us, you may have difficulty obtaining a more favorable judicial forum or you may incur more expense enforcing any rights which you may claim as compared to another forum.</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to the extent permitted by law, any person who acquires equity in our company shall be deemed to have notice and consented to the forum selection provision of our By-laws, which require actions to be brought only in the Court of Chancery of the State of Delaware, which may inhibit or deter stockholders’ actions (i) brought in the name of our company or on our behalf; (ii) asserting a claim for breach of any fiduciary duty owed by any of our directors, officers, employees or agents to us or our stockholders; (iii) arising or asserting a claim arising pursuant to any provision of the DGCL or any provision of our Certificate of Incorporation or By-laws; (iv) to interpret, apply, enforce or determine the validity of any provision of our Certificate of Incorporation or By-laws; or (v) asserting a claim governed by the internal affairs doctrine. This exclusive forum provision may limit our stockholders’ ability to obtain what they believe to be a favorable judicial forum for disputes with us and our officers and directors. This provision does not apply to claims brought under the Securities Act or the Exchange Act.</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By-laws to be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line="282" w:lineRule="auto"/>
        <w:rPr>
          <w:sz w:val="20"/>
          <w:szCs w:val="20"/>
          <w:color w:val="auto"/>
        </w:rPr>
      </w:pPr>
      <w:r>
        <w:rPr>
          <w:rFonts w:ascii="Times New Roman" w:cs="Times New Roman" w:eastAsia="Times New Roman" w:hAnsi="Times New Roman"/>
          <w:sz w:val="18"/>
          <w:szCs w:val="18"/>
          <w:color w:val="auto"/>
        </w:rPr>
        <w:t>inapplicable or unenforceable in an action, we may incur additional costs associated with resolving the dispute in other jurisdictions, which could harm our results of operations.</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including costs associated with public company reporting obligations under the Exchange Act. Our executive officers and other personnel need to devote substantial time to comply with public company reporting requirements and additional applicable laws and obligations.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9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 among other things, that we file with the SEC, annual, quarterly and current reports with respect to our business and financial condition as well as other disclosure and corporate governance requirements. However, as a “smaller reporting company,” as such term is defined in Rule 12b-2 under the Exchange Act, in at least the near term, we may take advantage of exemptions from disclosure requirements and reduced disclosure obligations regarding executive compensation in our periodic reports and proxy statements. In addition, as a smaller reporting company with less than $100.0 million in annual revenue, we are not required to comply with the auditor attestation requirements of Section 404 of the Sarbanes-Oxley Act.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the sole source of gain, if any, for our stockholders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existing securityholders sell, or indicate an intention to sell, substantial amounts of our Common Stock in the public market after legal restrictions on resale in connection with our recent merger lapse, the trading price of our Common Stock could decline. In addition, shares of Common Stock that are subject to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84"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 significant portion of our outstanding shares of Common Stock (on a fully-diluted basis), subject to beneficial ownership limitations.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between us and Paragon or us and Fairmount.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Asset Acquisition, we assumed the rights and obligations of Pre-Acquisition Damora under the Paragon Option Agreement. See the section titled “Paragon Option Agreement” for more information on the Paragon Option Agreement.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Fairmount beneficially owns 19.99% of our Common Stock assuming conversion of the Series B Preferred Stock and Series C Preferred Stock into Common Stock (in each case, subject to beneficial ownership limitations). Three of our directors are affiliated with Fairmount (Peter Harwin, Christopher Cain, Ph.D., and Julianne Bruno) and were appointed in accordance with the Acquisition Agreement. The remaining three members of the board of directors are not affiliated with Fairmount or Paragon.</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relationship with Paragon, Paramora, Fairmount and our non-employee directors may create, or may create the appearance of, conflicts of interest when we are faced with decisions that could have different implications for Paragon or Paramora than the decisions have for us. For example, such conflicts may arise in connection with the selection of additional targets, the exercise of options under the Paragon Option Agreement, the negotiation of the terms of any future license agreements, the allocation of resources and expenses, the enforcement or defense of intellectual property rights, the pursuit of strategic partnerships or transactions, or the resolution of any disputes that may arise between us and Paragon or Paramora. We expect that the decision to amend the Paragon Option Agreement or enter into any similar agreements or license agreements with Paragon will be subject to the approval of the board of directors. All directors owe fiduciary duties pursuant to Delaware law, and directors are expected to comply with their respective fiduciary duties under Delaware law relevant to related party transactions. We have previously adopted a related party transaction approval policy and our audit committee will be responsible for the review, consideration and approval or ratification of related party transactions.</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Paragon and Fairmount have interests in other biotechnology companies that may compete with us or pursue similar or complementary product candidates or technologies, they may have an incentive to favor or support such other companies over us. These potential conflicts of interest may make it more difficult for us to favorably advance our business interests and may adversely affect our competitive position, business, financial condition, results of operations and prospects.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then our stock price and trading volume could decline.</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addition, we do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 coverage of us or fail to publish reports on us regularly, demand for our Common Stock could decrease, which in turn could cause our stock price or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(“NOL”) carryforwards and other tax attributes may be limited, including as a result of our recent merger.</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become profitable in the near future and may never achieve profitability. As of December 31, 2025, we had federal and state NOL carryforwards and federal and state research and development credits that may be used to offset future taxable income. Under current law, our U.S. federal NOLs incurred in tax years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Internal Revenue Code (the “Code”), U.S.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as discussed above, in connection with our recent merger or other transactions. Similar rules may apply under state tax laws. If we earn taxable income, such limitations could result in increased future income tax liability to us, and our future cash flows could be adversely affected.</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structure of our capital stock may limit your ability to influence corporate matters and may limit your visibility with respect to certain transactions.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class structure of our capital stock may limit your ability to influence corporate matters. Holders of Common Stock are entitled to one vote per share, while holders of the Series A Preferred Stock, Series B Preferred Stock and Series C Preferred Stock are not entitled to any votes. Nonetheless, each share of Series A Preferred Stock, Series B Preferred Stock and Series C Preferred Stock, may be converted at any time into 1,000 shares of Common Stock at the option of the holder by providing written notice to us, subject to beneficial ownership limitations and the limitations provided for in our Certificate of Incorporation and the related certificates of designation. Consequently, if holders of the Series A Preferred Stock, Series B Preferred Stock and Series C Preferred Stock exercise their option to make this conversion, this will have the effect of increasing the relative voting power of those prior holders of the Series A Preferred Stock, Series B Preferred Stock and Series C Preferred Stock, respectively, and correspondingly decreasing the voting power of the holders of Common Stock, which may limit your ability to influence corporate matters.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Series B Preferred Stock does not have voting rights on proposals presented to our holders of Common Stock, at any time while at least 30% of the originally issued Series B Preferred Stock remains issued and outstanding, we will not, without the affirmative vote of the holders of a majority of the then outstanding shares of the Series B Preferred Stock, (i) consummate (x) any Fundamental Transaction (as defined in the Series B Certificate of Designation) or (y) any merger or consolidation of the Company with or into another entity or any stock sale to, or other business combination in which our stockholders immediately before such transaction do not hold at least a majority of our capital stock immediately after such transaction, (ii) increase the size of the board of directors, (iii) adopt, amend or repeal any written delegation of authority policy, corporate authority matrix or similar document, framework or schedule unless such adoption, amendment or repeal has been approved by the unanimous vote of the board of directors, or (iv) retain or replace our registered independent public accounting firm, independent compensation consultant or corporate counsel.</w:t>
      </w:r>
    </w:p>
    <w:p>
      <w:pPr>
        <w:spacing w:after="0" w:line="192"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Additionally, stockholders who hold, in the aggregate, more than 10% of Common Stock, Series A Preferred Stock, Series B Preferred Stock and Series C Preferred Stock outstanding, but beneficially own 10% or less of Common Stock, and are not otherwise an insider, may not be required to report changes in their ownership due to transactions in the Series A Preferred Stock, Series B Preferred Stock and Series C Preferred Stock pursuant to Section 16(a) of the Exchange Act, and may not be subject to the short-swing profit provisions of Section 16(b) of the Exchange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38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Herein from Form or</w:t>
            </w:r>
          </w:p>
        </w:tc>
        <w:tc>
          <w:tcPr>
            <w:tcW w:w="180" w:type="dxa"/>
            <w:vAlign w:val="bottom"/>
          </w:tcPr>
          <w:p>
            <w:pPr>
              <w:spacing w:after="0"/>
              <w:rPr>
                <w:sz w:val="12"/>
                <w:szCs w:val="12"/>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82"/>
        <w:spacing w:after="0" w:line="264" w:lineRule="auto"/>
        <w:rPr>
          <w:sz w:val="20"/>
          <w:szCs w:val="20"/>
          <w:color w:val="auto"/>
        </w:rPr>
      </w:pPr>
      <w:r>
        <w:rPr>
          <w:rFonts w:ascii="Times New Roman" w:cs="Times New Roman" w:eastAsia="Times New Roman" w:hAnsi="Times New Roman"/>
          <w:sz w:val="14"/>
          <w:szCs w:val="14"/>
          <w:b w:val="1"/>
          <w:bCs w:val="1"/>
          <w:color w:val="auto"/>
        </w:rPr>
        <w:t>SEC File / Reg.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-19685</wp:posOffset>
            </wp:positionV>
            <wp:extent cx="9601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9280" w:space="460"/>
            <w:col w:w="840"/>
          </w:cols>
          <w:pgMar w:left="320" w:top="981" w:right="999" w:bottom="1440" w:gutter="0" w:footer="0" w:header="0"/>
        </w:sectPr>
      </w:pP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3.5</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3.6</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3.7</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3.8</w:t>
      </w:r>
    </w:p>
    <w:p>
      <w:pPr>
        <w:spacing w:after="0" w:line="3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3.9</w:t>
      </w:r>
    </w:p>
    <w:p>
      <w:pPr>
        <w:spacing w:after="0" w:line="3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3.10</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w:t>
      </w:r>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right="120"/>
        <w:spacing w:after="0" w:line="261"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Agreement and Plan of Merger, dated November 10, 2025,</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by and among the Registrant, Daylight Merger Sub I, Inc.,</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Daylight Merger Sub II, LLC and Damora Therapeutics,</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Inc.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27222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2722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26968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26968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26142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26142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1746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25" w:lineRule="exact"/>
        <w:rPr>
          <w:rFonts w:ascii="Times New Roman" w:cs="Times New Roman" w:eastAsia="Times New Roman" w:hAnsi="Times New Roman"/>
          <w:sz w:val="18"/>
          <w:szCs w:val="18"/>
          <w:u w:val="single" w:color="auto"/>
          <w:color w:val="0000FF"/>
        </w:rPr>
      </w:pPr>
    </w:p>
    <w:p>
      <w:pPr>
        <w:ind w:right="220"/>
        <w:spacing w:after="0" w:line="282" w:lineRule="auto"/>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Amended and Restated Certificate of Incorporation of the</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665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26650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4978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7"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Certificate of Amendment to Amended and Restated</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Certificate of Incorporation of the Registrant (Reverse Stock</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Split).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2433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27857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2825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1" w:lineRule="exact"/>
        <w:rPr>
          <w:rFonts w:ascii="Times New Roman" w:cs="Times New Roman" w:eastAsia="Times New Roman" w:hAnsi="Times New Roman"/>
          <w:sz w:val="18"/>
          <w:szCs w:val="18"/>
          <w:u w:val="single" w:color="auto"/>
          <w:color w:val="0000FF"/>
        </w:rPr>
      </w:pPr>
    </w:p>
    <w:p>
      <w:pPr>
        <w:ind w:right="220"/>
        <w:spacing w:after="0" w:line="266"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Certificate of Amendment to Amended and Restated</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Certificate of Incorporation of the Registrant (Authorized</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Share Increase).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2433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26555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2655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7359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21" w:lineRule="exact"/>
        <w:rPr>
          <w:rFonts w:ascii="Times New Roman" w:cs="Times New Roman" w:eastAsia="Times New Roman" w:hAnsi="Times New Roman"/>
          <w:sz w:val="18"/>
          <w:szCs w:val="18"/>
          <w:u w:val="single" w:color="auto"/>
          <w:color w:val="0000FF"/>
        </w:rPr>
      </w:pPr>
    </w:p>
    <w:p>
      <w:pPr>
        <w:jc w:val="both"/>
        <w:ind w:right="580"/>
        <w:spacing w:after="0" w:line="266" w:lineRule="auto"/>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Certificate of Amendment to Amended and Restated</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Certificate of Incorporation of the Registrant (Name</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Change).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2433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24142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24142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415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1" w:lineRule="exact"/>
        <w:rPr>
          <w:rFonts w:ascii="Times New Roman" w:cs="Times New Roman" w:eastAsia="Times New Roman" w:hAnsi="Times New Roman"/>
          <w:sz w:val="18"/>
          <w:szCs w:val="18"/>
          <w:u w:val="single" w:color="auto"/>
          <w:color w:val="0000FF"/>
        </w:rPr>
      </w:pPr>
    </w:p>
    <w:p>
      <w:pPr>
        <w:ind w:right="720"/>
        <w:spacing w:after="0" w:line="282" w:lineRule="auto"/>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Certificate of Designation of Series A Non-Voting</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3387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23387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3100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7" w:lineRule="exact"/>
        <w:rPr>
          <w:sz w:val="20"/>
          <w:szCs w:val="20"/>
          <w:color w:val="auto"/>
        </w:rPr>
      </w:pPr>
    </w:p>
    <w:p>
      <w:pPr>
        <w:ind w:right="740"/>
        <w:spacing w:after="0" w:line="282"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Certificate of Designation of Series B Non-Voting</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3323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2332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3100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7" w:lineRule="exact"/>
        <w:rPr>
          <w:sz w:val="20"/>
          <w:szCs w:val="20"/>
          <w:color w:val="auto"/>
        </w:rPr>
      </w:pPr>
    </w:p>
    <w:p>
      <w:pPr>
        <w:ind w:right="740"/>
        <w:spacing w:after="0" w:line="282" w:lineRule="auto"/>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Certificate of Designation of Series C Non-Voting</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3323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2332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3100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7"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Certificate of Correction to the Certificate of Designation of</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the Series C Non-Voting 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7762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4720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2472055" cy="889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94">
        <w:r>
          <w:rPr>
            <w:rFonts w:ascii="Times New Roman" w:cs="Times New Roman" w:eastAsia="Times New Roman" w:hAnsi="Times New Roman"/>
            <w:sz w:val="18"/>
            <w:szCs w:val="18"/>
            <w:u w:val="single" w:color="auto"/>
            <w:color w:val="0000FF"/>
          </w:rPr>
          <w:t>Amended and Restated By-laws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287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2287905" cy="8255"/>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Certificate of Amendment to Amended and Restated By-</w:t>
        </w:r>
      </w:hyperlink>
      <w:hyperlink r:id="rId296">
        <w:r>
          <w:rPr>
            <w:rFonts w:ascii="Times New Roman" w:cs="Times New Roman" w:eastAsia="Times New Roman" w:hAnsi="Times New Roman"/>
            <w:sz w:val="18"/>
            <w:szCs w:val="18"/>
            <w:u w:val="single" w:color="auto"/>
            <w:color w:val="0000FF"/>
          </w:rPr>
          <w:t>laws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6047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26047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02806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Damora Therapeutics, Inc. 2026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5222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2522220" cy="8255"/>
                    </a:xfrm>
                    <a:prstGeom prst="rect">
                      <a:avLst/>
                    </a:prstGeom>
                    <a:noFill/>
                  </pic:spPr>
                </pic:pic>
              </a:graphicData>
            </a:graphic>
          </wp:anchor>
        </w:drawing>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Option Award Agreement under the 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6682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26682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6851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7"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03">
        <w:r>
          <w:rPr>
            <w:rFonts w:ascii="Times New Roman" w:cs="Times New Roman" w:eastAsia="Times New Roman" w:hAnsi="Times New Roman"/>
            <w:sz w:val="18"/>
            <w:szCs w:val="18"/>
            <w:u w:val="single" w:color="auto"/>
            <w:color w:val="0000FF"/>
          </w:rPr>
          <w:t>Damora Therapeutics, Inc. 2026 Employee Stock Purchase</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27254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27254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31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2560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2560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23698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2369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2744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27444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1595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25285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23698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2369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2744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15957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1595755" cy="8890"/>
                    </a:xfrm>
                    <a:prstGeom prst="rect">
                      <a:avLst/>
                    </a:prstGeom>
                    <a:noFill/>
                  </pic:spPr>
                </pic:pic>
              </a:graphicData>
            </a:graphic>
          </wp:anchor>
        </w:drawing>
      </w:r>
    </w:p>
    <w:p>
      <w:pPr>
        <w:spacing w:after="0" w:line="2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2.1)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495"/>
        </w:trPr>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387"/>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5,</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495"/>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495"/>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March 10, 2026</w:t>
            </w:r>
          </w:p>
        </w:tc>
        <w:tc>
          <w:tcPr>
            <w:tcW w:w="0" w:type="dxa"/>
            <w:vAlign w:val="bottom"/>
          </w:tcPr>
          <w:p>
            <w:pPr>
              <w:spacing w:after="0"/>
              <w:rPr>
                <w:sz w:val="1"/>
                <w:szCs w:val="1"/>
                <w:color w:val="auto"/>
              </w:rPr>
            </w:pPr>
          </w:p>
        </w:tc>
      </w:tr>
      <w:tr>
        <w:trPr>
          <w:trHeight w:val="126"/>
        </w:trPr>
        <w:tc>
          <w:tcPr>
            <w:tcW w:w="18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7"/>
        </w:trPr>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October 7, 2024</w:t>
            </w:r>
          </w:p>
        </w:tc>
        <w:tc>
          <w:tcPr>
            <w:tcW w:w="0" w:type="dxa"/>
            <w:vAlign w:val="bottom"/>
          </w:tcPr>
          <w:p>
            <w:pPr>
              <w:spacing w:after="0"/>
              <w:rPr>
                <w:sz w:val="1"/>
                <w:szCs w:val="1"/>
                <w:color w:val="auto"/>
              </w:rPr>
            </w:pPr>
          </w:p>
        </w:tc>
      </w:tr>
      <w:tr>
        <w:trPr>
          <w:trHeight w:val="126"/>
        </w:trPr>
        <w:tc>
          <w:tcPr>
            <w:tcW w:w="18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9"/>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9"/>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Form 8-K/A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3.3)</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306"/>
        </w:trPr>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w:t>
            </w:r>
          </w:p>
        </w:tc>
        <w:tc>
          <w:tcPr>
            <w:tcW w:w="0" w:type="dxa"/>
            <w:vAlign w:val="bottom"/>
          </w:tcPr>
          <w:p>
            <w:pPr>
              <w:spacing w:after="0"/>
              <w:rPr>
                <w:sz w:val="1"/>
                <w:szCs w:val="1"/>
                <w:color w:val="auto"/>
              </w:rPr>
            </w:pPr>
          </w:p>
        </w:tc>
      </w:tr>
      <w:tr>
        <w:trPr>
          <w:trHeight w:val="234"/>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79"/>
        </w:trPr>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10-K</w:t>
            </w:r>
          </w:p>
        </w:tc>
        <w:tc>
          <w:tcPr>
            <w:tcW w:w="1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March 19, 2025</w:t>
            </w:r>
          </w:p>
        </w:tc>
        <w:tc>
          <w:tcPr>
            <w:tcW w:w="0" w:type="dxa"/>
            <w:vAlign w:val="bottom"/>
          </w:tcPr>
          <w:p>
            <w:pPr>
              <w:spacing w:after="0"/>
              <w:rPr>
                <w:sz w:val="1"/>
                <w:szCs w:val="1"/>
                <w:color w:val="auto"/>
              </w:rPr>
            </w:pPr>
          </w:p>
        </w:tc>
      </w:tr>
      <w:tr>
        <w:trPr>
          <w:trHeight w:val="126"/>
        </w:trPr>
        <w:tc>
          <w:tcPr>
            <w:tcW w:w="18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3.5)</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S-8 (Exhibit 99.1)</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March 20, 2026</w:t>
            </w:r>
          </w:p>
        </w:tc>
        <w:tc>
          <w:tcPr>
            <w:tcW w:w="0" w:type="dxa"/>
            <w:vAlign w:val="bottom"/>
          </w:tcPr>
          <w:p>
            <w:pPr>
              <w:spacing w:after="0"/>
              <w:rPr>
                <w:sz w:val="1"/>
                <w:szCs w:val="1"/>
                <w:color w:val="auto"/>
              </w:rPr>
            </w:pPr>
          </w:p>
        </w:tc>
      </w:tr>
      <w:tr>
        <w:trPr>
          <w:trHeight w:val="918"/>
        </w:trPr>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S-8 (Exhibit 99.2)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March 20,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001-39655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333-294492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333-294492</w:t>
      </w:r>
    </w:p>
    <w:p>
      <w:pPr>
        <w:sectPr>
          <w:pgSz w:w="11900" w:h="16838" w:orient="portrait"/>
          <w:cols w:equalWidth="0" w:num="4">
            <w:col w:w="1160" w:space="420"/>
            <w:col w:w="4360" w:space="180"/>
            <w:col w:w="3140" w:space="460"/>
            <w:col w:w="860"/>
          </w:cols>
          <w:pgMar w:left="320" w:top="981" w:right="999" w:bottom="1440" w:gutter="0" w:footer="0" w:header="0"/>
          <w:type w:val="continuous"/>
        </w:sectPr>
      </w:pPr>
    </w:p>
    <w:bookmarkStart w:id="73" w:name="page74"/>
    <w:bookmarkEnd w:id="73"/>
    <w:tbl>
      <w:tblPr>
        <w:tblLayout w:type="fixed"/>
        <w:tblInd w:w="5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32.1*†</w:t>
            </w:r>
          </w:p>
        </w:tc>
        <w:tc>
          <w:tcPr>
            <w:tcW w:w="41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438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4380" w:type="dxa"/>
            <w:vAlign w:val="bottom"/>
            <w:tcBorders>
              <w:bottom w:val="single" w:sz="8" w:color="0000FF"/>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3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0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Instance Document</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43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580" w:right="5320" w:hanging="809"/>
        <w:spacing w:after="0" w:line="184" w:lineRule="auto"/>
        <w:tabs>
          <w:tab w:leader="none" w:pos="1580" w:val="left"/>
        </w:tabs>
        <w:numPr>
          <w:ilvl w:val="1"/>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34"/>
          <w:szCs w:val="34"/>
          <w:color w:val="auto"/>
          <w:vertAlign w:val="subscript"/>
        </w:rPr>
      </w:pPr>
    </w:p>
    <w:p>
      <w:pPr>
        <w:spacing w:after="0" w:line="281" w:lineRule="exact"/>
        <w:rPr>
          <w:rFonts w:ascii="Times New Roman" w:cs="Times New Roman" w:eastAsia="Times New Roman" w:hAnsi="Times New Roman"/>
          <w:sz w:val="34"/>
          <w:szCs w:val="34"/>
          <w:color w:val="auto"/>
          <w:vertAlign w:val="subscript"/>
        </w:rPr>
      </w:pPr>
    </w:p>
    <w:p>
      <w:pPr>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any compensatory plan, contract or arrangement.</w:t>
      </w:r>
    </w:p>
    <w:p>
      <w:pPr>
        <w:spacing w:after="0" w:line="27" w:lineRule="exact"/>
        <w:rPr>
          <w:sz w:val="20"/>
          <w:szCs w:val="20"/>
          <w:color w:val="auto"/>
        </w:rPr>
      </w:pPr>
    </w:p>
    <w:p>
      <w:pPr>
        <w:ind w:firstLine="8"/>
        <w:spacing w:after="0" w:line="255" w:lineRule="auto"/>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2" w:right="719" w:bottom="1440" w:gutter="0" w:footer="0" w:header="0"/>
        </w:sectPr>
      </w:pPr>
    </w:p>
    <w:bookmarkStart w:id="74" w:name="page75"/>
    <w:bookmarkEnd w:id="7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40"/>
          </w:cols>
          <w:pgMar w:left="320" w:top="98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33947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2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33947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2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SVP, Finance</w:t>
      </w:r>
    </w:p>
    <w:p>
      <w:pPr>
        <w:spacing w:after="0" w:line="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4800" w:space="720"/>
            <w:col w:w="5520"/>
          </w:cols>
          <w:pgMar w:left="320" w:top="981" w:right="539" w:bottom="1440" w:gutter="0" w:footer="0" w:header="0"/>
          <w:type w:val="continuous"/>
        </w:sect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type w:val="continuous"/>
        </w:sectPr>
      </w:pPr>
    </w:p>
    <w:bookmarkStart w:id="75" w:name="page76"/>
    <w:bookmarkEnd w:id="75"/>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Employee Form</w:t>
      </w:r>
      <w:r>
        <w:rPr>
          <w:sz w:val="20"/>
          <w:szCs w:val="20"/>
          <w:color w:val="auto"/>
        </w:rPr>
        <w:tab/>
      </w:r>
      <w:r>
        <w:rPr>
          <w:rFonts w:ascii="Times New Roman" w:cs="Times New Roman" w:eastAsia="Times New Roman" w:hAnsi="Times New Roman"/>
          <w:sz w:val="21"/>
          <w:szCs w:val="21"/>
          <w:b w:val="1"/>
          <w:bCs w:val="1"/>
          <w:color w:val="auto"/>
        </w:rPr>
        <w:t>Exhibit 10.2</w:t>
      </w:r>
    </w:p>
    <w:p>
      <w:pPr>
        <w:spacing w:after="0" w:line="39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OPTIONS</w:t>
      </w:r>
    </w:p>
    <w:p>
      <w:pPr>
        <w:spacing w:after="0" w:line="2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GOOD AND VALUABLE CONSIDERATION, Damora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Participant named below an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any part or all of the number of Common Stock that are covered by this Option at the Exercise Price per share, each specified below, and upon the terms and subject to the conditions set forth in this Grant Notice, the Damora Therapeutics, Inc. 2026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This Option is granted pursuant to the Plan and is subject to and qualified in its entirety by the Standard Terms and Conditions. Capitalized terms not otherwise defined herein shall have the meanings set forth in the Plan.</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39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7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[Name]</w:t>
            </w:r>
          </w:p>
        </w:tc>
      </w:tr>
      <w:tr>
        <w:trPr>
          <w:trHeight w:val="93"/>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36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[Grant Date]</w:t>
            </w: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31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Shares of Common Stock</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[Quantity Granted]</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Covered by the Option:</w:t>
            </w:r>
          </w:p>
        </w:tc>
        <w:tc>
          <w:tcPr>
            <w:tcW w:w="7320" w:type="dxa"/>
            <w:vAlign w:val="bottom"/>
            <w:tcBorders>
              <w:right w:val="single" w:sz="8" w:color="auto"/>
            </w:tcBorders>
          </w:tcPr>
          <w:p>
            <w:pPr>
              <w:spacing w:after="0"/>
              <w:rPr>
                <w:sz w:val="24"/>
                <w:szCs w:val="24"/>
                <w:color w:val="auto"/>
              </w:rPr>
            </w:pP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356"/>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Exercise Price Per Share:</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[Grant Price]</w:t>
            </w: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35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Expiration Date:</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[Expiration Date]</w:t>
            </w: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40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Type of Stock Option:</w:t>
            </w:r>
          </w:p>
        </w:tc>
        <w:tc>
          <w:tcPr>
            <w:tcW w:w="7320" w:type="dxa"/>
            <w:vAlign w:val="bottom"/>
            <w:tcBorders>
              <w:right w:val="single" w:sz="8" w:color="auto"/>
            </w:tcBorders>
          </w:tcPr>
          <w:p>
            <w:pPr>
              <w:ind w:left="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Incentive Stock Option</w:t>
            </w:r>
          </w:p>
        </w:tc>
      </w:tr>
      <w:tr>
        <w:trPr>
          <w:trHeight w:val="365"/>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Nonqualified Stock Option</w:t>
            </w:r>
          </w:p>
        </w:tc>
      </w:tr>
      <w:tr>
        <w:trPr>
          <w:trHeight w:val="64"/>
        </w:trPr>
        <w:tc>
          <w:tcPr>
            <w:tcW w:w="3920" w:type="dxa"/>
            <w:vAlign w:val="bottom"/>
            <w:tcBorders>
              <w:left w:val="single" w:sz="8" w:color="auto"/>
              <w:bottom w:val="single" w:sz="8" w:color="auto"/>
              <w:right w:val="single" w:sz="8" w:color="auto"/>
            </w:tcBorders>
          </w:tcPr>
          <w:p>
            <w:pPr>
              <w:spacing w:after="0"/>
              <w:rPr>
                <w:sz w:val="5"/>
                <w:szCs w:val="5"/>
                <w:color w:val="auto"/>
              </w:rPr>
            </w:pPr>
          </w:p>
        </w:tc>
        <w:tc>
          <w:tcPr>
            <w:tcW w:w="7320" w:type="dxa"/>
            <w:vAlign w:val="bottom"/>
            <w:tcBorders>
              <w:bottom w:val="single" w:sz="8" w:color="auto"/>
              <w:right w:val="single" w:sz="8" w:color="auto"/>
            </w:tcBorders>
          </w:tcPr>
          <w:p>
            <w:pPr>
              <w:spacing w:after="0"/>
              <w:rPr>
                <w:sz w:val="5"/>
                <w:szCs w:val="5"/>
                <w:color w:val="auto"/>
              </w:rPr>
            </w:pPr>
          </w:p>
        </w:tc>
      </w:tr>
      <w:tr>
        <w:trPr>
          <w:trHeight w:val="35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Commencement Date:</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FF0000"/>
              </w:rPr>
              <w:t>[Vesting Commencement Date]</w:t>
            </w: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31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Option shall vest</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in accordance with the following schedule, so long as Participant remains</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continuously  employed  by  or  providing  services  to  the  Company  or  its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Subsidiaries from the Grant Date through such vesting date:</w:t>
            </w:r>
          </w:p>
        </w:tc>
      </w:tr>
      <w:tr>
        <w:trPr>
          <w:trHeight w:val="31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 25% of the Option shall vest and become exercisable on the first anniversary</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of the Vesting Commencement Date and (ii) thereafter, this Option shall vest</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with respect to an additional 1/48th of the Option on each monthly anniversary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Vesting Commencement Date.</w:t>
            </w: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r>
      <w:tr>
        <w:trPr>
          <w:trHeight w:val="1620"/>
        </w:trPr>
        <w:tc>
          <w:tcPr>
            <w:tcW w:w="39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6" w:name="page77"/>
    <w:bookmarkEnd w:id="76"/>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Option shall be subject to, the terms of this Grant Notice, the Plan, and the Standard Terms and Conditions.</w:t>
      </w:r>
    </w:p>
    <w:p>
      <w:pPr>
        <w:spacing w:after="0" w:line="3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450850</wp:posOffset>
            </wp:positionV>
            <wp:extent cx="19202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FF0000"/>
        </w:rPr>
        <w:t>[Name]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These Standard Terms and Conditions apply to the Options granted pursuant to the Damora Therapeutics, Inc. 2026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which are identified as either incentive stock options or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7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Damora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Incentive Stock Option or a Nonqualified Stock Option as specified in the Grant Notice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STATUS OF THE STOCK OPTION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Option is designated as an “Incentive Stock Option” in the Grant Notice, then this Option is intended to qualify as an “incentive stock option” under Section 422 of the Code. However, the Company does not represent or warrant that the Option qualifies as such. The Participant should consult with the Participant’s own tax advisors regarding the tax effects of the Option and the requirements necessary to obtain favorable income tax treatment under Section 422 of the Code, including the holding period requirements. If the Option is intended to qualify as an “incentive stock option” and the Participant disposes (whether by sale, gift, transfer or otherwise) any shares of Common Stock acquired upon exercise of the Option within the one-year period beginning on the exercise date or within the two-year period beginning on the Grant Date, the Participant shall notify the Company within 30 days after such disposition.</w:t>
      </w:r>
    </w:p>
    <w:p>
      <w:pPr>
        <w:spacing w:after="0" w:line="178" w:lineRule="exact"/>
        <w:rPr>
          <w:rFonts w:ascii="Times New Roman" w:cs="Times New Roman" w:eastAsia="Times New Roman" w:hAnsi="Times New Roman"/>
          <w:sz w:val="22"/>
          <w:szCs w:val="22"/>
          <w:color w:val="010000"/>
        </w:rPr>
      </w:pPr>
    </w:p>
    <w:p>
      <w:pPr>
        <w:jc w:val="both"/>
        <w:ind w:firstLine="757"/>
        <w:spacing w:after="0" w:line="236" w:lineRule="auto"/>
        <w:tabs>
          <w:tab w:leader="none" w:pos="1018"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the aggregate Fair Market Value (determined as of the Grant Date) of the shares of Common Stock with respect to which the Option (plus all other incentive stock options held by the Participant) are exercisable for the first time by the Participant during any calendar year (under all plans of the Company and its affiliates) exceeds $100,000, the Option or portions thereof that exceed such limit (according to the order in which they were granted) will be treated as Nonqualified Stock Options. In addition, to the extent any portion of this Option does not qualify as an “incentive stock option,” such portion shall be deemed to be a Nonqualified Stock Option.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8" w:name="page79"/>
    <w:bookmarkEnd w:id="78"/>
    <w:p>
      <w:pPr>
        <w:spacing w:after="0" w:line="181"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Option shall not be exercisable as of the Grant Date set forth in the Grant Notice. After the Grant Date, to the extent not previously exercised, and subject to termination or acceleration of vesting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the Participant remains employed with the Company and does not experience a Termination of Employment. The vesting period and/or exercisability of an Option may be adjusted by the Committee to reflect the decreased level of employment during any period in which the Participant is on an approved leave of absence or is employed on a less than full-time basis.</w:t>
      </w:r>
    </w:p>
    <w:p>
      <w:pPr>
        <w:spacing w:after="0" w:line="183" w:lineRule="exact"/>
        <w:rPr>
          <w:rFonts w:ascii="Times New Roman" w:cs="Times New Roman" w:eastAsia="Times New Roman" w:hAnsi="Times New Roman"/>
          <w:sz w:val="22"/>
          <w:szCs w:val="22"/>
          <w:color w:val="010000"/>
        </w:rPr>
      </w:pPr>
    </w:p>
    <w:p>
      <w:pPr>
        <w:jc w:val="both"/>
        <w:ind w:firstLine="757"/>
        <w:spacing w:after="0" w:line="239" w:lineRule="auto"/>
        <w:tabs>
          <w:tab w:leader="none" w:pos="1018"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exercise the Option (or any part thereof), the Participant shall deliver to the Company a “Notice of Exercise” in a form specified by the Committee, specifying the number of whole shares of Common Stock the Participant wishes to purchase and how the Participant’s Common Stock should be registered (in the Participant’s name only or in the Participant’s and the Participant’s spouse’s names as community property or as joint tenants with right of survivorship).</w:t>
      </w:r>
    </w:p>
    <w:p>
      <w:pPr>
        <w:spacing w:after="0" w:line="174" w:lineRule="exact"/>
        <w:rPr>
          <w:rFonts w:ascii="Times New Roman" w:cs="Times New Roman" w:eastAsia="Times New Roman" w:hAnsi="Times New Roman"/>
          <w:sz w:val="22"/>
          <w:szCs w:val="22"/>
          <w:color w:val="010000"/>
        </w:rPr>
      </w:pPr>
    </w:p>
    <w:p>
      <w:pPr>
        <w:jc w:val="both"/>
        <w:ind w:firstLine="757"/>
        <w:spacing w:after="0" w:line="236" w:lineRule="auto"/>
        <w:tabs>
          <w:tab w:leader="none" w:pos="1018"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exercise price (the “</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shares of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81" w:lineRule="exact"/>
        <w:rPr>
          <w:rFonts w:ascii="Times New Roman" w:cs="Times New Roman" w:eastAsia="Times New Roman" w:hAnsi="Times New Roman"/>
          <w:sz w:val="22"/>
          <w:szCs w:val="22"/>
          <w:color w:val="010000"/>
        </w:rPr>
      </w:pPr>
    </w:p>
    <w:p>
      <w:pPr>
        <w:jc w:val="both"/>
        <w:ind w:firstLine="757"/>
        <w:spacing w:after="0" w:line="239" w:lineRule="auto"/>
        <w:tabs>
          <w:tab w:leader="none" w:pos="1018"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Fractional shares may not be exercised. Common Stock will be issued as soon as practical after exercise. Notwithstanding the above, the Company shall not be obligated to deliver any Common Stock during any period when the Company determines that the exercisability of the Option or the delivery of Common Stock hereunder would violate Company policy or any federal, state or other applicable laws.</w:t>
      </w:r>
    </w:p>
    <w:p>
      <w:pPr>
        <w:spacing w:after="0" w:line="176"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 OF OPTION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Option shall expire and cease to be exercisable as of the earlier of (i) the Expiration Date set forth in the Grant Notice or (ii) the date specified below in connection with the Participant’s Termination of Employment (the date of such Termination of Employment,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7"/>
        <w:spacing w:after="0" w:line="239" w:lineRule="auto"/>
        <w:tabs>
          <w:tab w:leader="none" w:pos="101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the Participant’s death or Disability, (i) any portion of the Option which is unvested as of the Termination Date shall remain outstanding until the date that is three months following the Termination Date (provided that there shall be no further vesting during such period unless expressly determined otherwise by the Committee), and (ii) the Participant may exercise any portion of the Option that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is vested and exercisable as of the Termination Date (or that vest pursuant to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until the first anniversary of the Termination Date.</w:t>
      </w:r>
    </w:p>
    <w:p>
      <w:pPr>
        <w:spacing w:after="0" w:line="158" w:lineRule="exact"/>
        <w:rPr>
          <w:sz w:val="20"/>
          <w:szCs w:val="20"/>
          <w:color w:val="auto"/>
        </w:rPr>
      </w:pPr>
    </w:p>
    <w:p>
      <w:pPr>
        <w:ind w:right="20" w:firstLine="757"/>
        <w:spacing w:after="0" w:line="258" w:lineRule="auto"/>
        <w:tabs>
          <w:tab w:leader="none" w:pos="1018"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by the Company for Cause, the entire Option, whether or not then vested and exercisable, shall be immediately forfeited and canceled as of the Termination Date.</w:t>
      </w:r>
    </w:p>
    <w:p>
      <w:pPr>
        <w:spacing w:after="0" w:line="158" w:lineRule="exact"/>
        <w:rPr>
          <w:rFonts w:ascii="Times New Roman" w:cs="Times New Roman" w:eastAsia="Times New Roman" w:hAnsi="Times New Roman"/>
          <w:sz w:val="22"/>
          <w:szCs w:val="22"/>
          <w:color w:val="010000"/>
        </w:rPr>
      </w:pPr>
    </w:p>
    <w:p>
      <w:pPr>
        <w:jc w:val="both"/>
        <w:ind w:firstLine="757"/>
        <w:spacing w:after="0" w:line="255" w:lineRule="auto"/>
        <w:tabs>
          <w:tab w:leader="none" w:pos="1018" w:val="left"/>
        </w:tabs>
        <w:numPr>
          <w:ilvl w:val="1"/>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Participant’s Termination of Employment is a CIC Qualifying Termination (as defined below), (i) the Option shall be fully vested as of the Termination Date and (ii) the Participant may exercise the Option as of the Termination Date until the date that is three months following the Termination Date. As used herein, “</w:t>
      </w:r>
      <w:r>
        <w:rPr>
          <w:rFonts w:ascii="Times New Roman" w:cs="Times New Roman" w:eastAsia="Times New Roman" w:hAnsi="Times New Roman"/>
          <w:sz w:val="21"/>
          <w:szCs w:val="21"/>
          <w:b w:val="1"/>
          <w:bCs w:val="1"/>
          <w:i w:val="1"/>
          <w:iCs w:val="1"/>
          <w:color w:val="auto"/>
        </w:rPr>
        <w:t>CIC Qualifying Termination</w:t>
      </w:r>
      <w:r>
        <w:rPr>
          <w:rFonts w:ascii="Times New Roman" w:cs="Times New Roman" w:eastAsia="Times New Roman" w:hAnsi="Times New Roman"/>
          <w:sz w:val="21"/>
          <w:szCs w:val="21"/>
          <w:color w:val="auto"/>
        </w:rPr>
        <w:t>” means the Participant’s Termination of Employment by the Company without Cause on or within 12 months following a Change in Control.</w:t>
      </w:r>
    </w:p>
    <w:p>
      <w:pPr>
        <w:spacing w:after="0" w:line="161" w:lineRule="exact"/>
        <w:rPr>
          <w:rFonts w:ascii="Times New Roman" w:cs="Times New Roman" w:eastAsia="Times New Roman" w:hAnsi="Times New Roman"/>
          <w:sz w:val="21"/>
          <w:szCs w:val="21"/>
          <w:color w:val="010000"/>
        </w:rPr>
      </w:pPr>
    </w:p>
    <w:p>
      <w:pPr>
        <w:jc w:val="both"/>
        <w:ind w:firstLine="757"/>
        <w:spacing w:after="0" w:line="244" w:lineRule="auto"/>
        <w:tabs>
          <w:tab w:leader="none" w:pos="1018"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Participant’s Termination of Employment is for any reason other than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4(c)</w:t>
      </w:r>
      <w:r>
        <w:rPr>
          <w:rFonts w:ascii="Times New Roman" w:cs="Times New Roman" w:eastAsia="Times New Roman" w:hAnsi="Times New Roman"/>
          <w:sz w:val="22"/>
          <w:szCs w:val="22"/>
          <w:color w:val="auto"/>
        </w:rPr>
        <w:t>, the Participant may exercise any portion of the Option that is vested and exercisable as of the Termination Date until the date that is three months following the Termination Date.</w:t>
      </w:r>
    </w:p>
    <w:p>
      <w:pPr>
        <w:spacing w:after="0" w:line="173" w:lineRule="exact"/>
        <w:rPr>
          <w:rFonts w:ascii="Times New Roman" w:cs="Times New Roman" w:eastAsia="Times New Roman" w:hAnsi="Times New Roman"/>
          <w:sz w:val="22"/>
          <w:szCs w:val="22"/>
          <w:color w:val="010000"/>
        </w:rPr>
      </w:pPr>
    </w:p>
    <w:p>
      <w:pPr>
        <w:jc w:val="both"/>
        <w:ind w:firstLine="757"/>
        <w:spacing w:after="0" w:line="238" w:lineRule="auto"/>
        <w:tabs>
          <w:tab w:leader="none" w:pos="1018"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portion of the Option that is not vested and exercisable at the time of a Termination of Employment (after taking into account any accelerated vesting under Section 16 of the Plan and any other agreement between the Participant and the Company) shall be forfeited and canceled as of the Termination Date (except as provided under </w:t>
      </w:r>
      <w:r>
        <w:rPr>
          <w:rFonts w:ascii="Times New Roman" w:cs="Times New Roman" w:eastAsia="Times New Roman" w:hAnsi="Times New Roman"/>
          <w:sz w:val="22"/>
          <w:szCs w:val="22"/>
          <w:u w:val="single" w:color="auto"/>
          <w:color w:val="auto"/>
        </w:rPr>
        <w:t>Section 4(a)(ii)</w:t>
      </w:r>
      <w:r>
        <w:rPr>
          <w:rFonts w:ascii="Times New Roman" w:cs="Times New Roman" w:eastAsia="Times New Roman" w:hAnsi="Times New Roman"/>
          <w:sz w:val="22"/>
          <w:szCs w:val="22"/>
          <w:color w:val="auto"/>
        </w:rPr>
        <w:t xml:space="preserve"> above, which outstanding Option shall be forfeited and canceled as of the date that is three months following the Termination Date unless expressly determined otherwise by the Committee).</w:t>
      </w:r>
    </w:p>
    <w:p>
      <w:pPr>
        <w:spacing w:after="0" w:line="172"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 ACQUIRED PURSUANT TO OPTION EXERCISE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73"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shall not deliver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shares of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Option from any amounts payable by it to the Participant (including future cash wages).</w:t>
      </w:r>
    </w:p>
    <w:p>
      <w:pPr>
        <w:spacing w:after="0" w:line="202"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Notwithstanding the foregoing, upon the Participant’s death, the Option shall be transferred to the Participant’s designated beneficiary or, if none, to the Participant’s estate.</w:t>
      </w:r>
    </w:p>
    <w:p>
      <w:pPr>
        <w:spacing w:after="0" w:line="173"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Grant Notice, these Standard Terms and Conditions, and the Plan constitute the entire understanding between the Participant and the Company regarding the Option; provided, however, that any provisions regarding the acceleration of the Option (or other Awards) upon a Termination of Employment set forth in any written employment, offer, services or severance agreement or letter between the Participant and the Company or under the terms of any severance plan in which the Participant participates shall continue to apply to the Option. Any prior agreements, commitments or negotiations concerning the Option are superseded.</w:t>
      </w:r>
    </w:p>
    <w:p>
      <w:pPr>
        <w:spacing w:after="0" w:line="164"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Common Stock, 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or service at any time for any reason.</w:t>
      </w:r>
    </w:p>
    <w:p>
      <w:pPr>
        <w:spacing w:after="0" w:line="179"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OF COMPANY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any affiliate which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73"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018"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any provision of these Standard Terms and Conditions is declared to be illegal, invalid or otherwise unenforceable by a court of competent jurisdiction, such</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73" w:lineRule="exact"/>
        <w:rPr>
          <w:sz w:val="20"/>
          <w:szCs w:val="20"/>
          <w:color w:val="auto"/>
        </w:rPr>
      </w:pPr>
    </w:p>
    <w:p>
      <w:pPr>
        <w:jc w:val="both"/>
        <w:ind w:firstLine="757"/>
        <w:spacing w:after="0" w:line="233" w:lineRule="auto"/>
        <w:tabs>
          <w:tab w:leader="none" w:pos="10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rFonts w:ascii="Times New Roman" w:cs="Times New Roman" w:eastAsia="Times New Roman" w:hAnsi="Times New Roman"/>
          <w:sz w:val="22"/>
          <w:szCs w:val="22"/>
          <w:color w:val="010000"/>
        </w:rPr>
      </w:pPr>
    </w:p>
    <w:p>
      <w:pPr>
        <w:ind w:right="20" w:firstLine="757"/>
        <w:spacing w:after="0" w:line="258" w:lineRule="auto"/>
        <w:tabs>
          <w:tab w:leader="none" w:pos="10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be construed in accordance with and governed by the laws of the State of Delaware, without regard to principles of conflicts of law.</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Option and any Common Stock received upon exercise of the Option are subject to any recoupment policy that the Company may adopt from time to time, to the extent any such policy is applicable to the Participant and to such compensation, including the Damora Therapeutics, Inc. Incentive Compensation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Common Stock and other amounts acquired under the Option or the Plan to re-convey, transfer or otherwise return such Common Stock and/or other amounts to the Company and (y) the Company’s recovery of any covered compensation through any method of recovery that the Company deems appropriate,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Jarrett,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Damora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1020" w:right="18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50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Burkavage,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Damora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380" w:val="left"/>
          <w:tab w:leader="none" w:pos="79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Senior Vice President, Finance</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Damora Therapeutics, Inc. (the “Company”) on Form 10-Q for the period ended March 31, 2026 as filed with the Securities and Exchange Commission on the date hereof (the “Report”), each of the undersigned certifies,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38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tabs>
          <w:tab w:leader="none" w:pos="5380" w:val="left"/>
          <w:tab w:leader="none" w:pos="79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Senior Vice President, Finance</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lowerRoman"/>
      <w:start w:val="2"/>
    </w:lvl>
  </w:abstractNum>
  <w:abstractNum w:abstractNumId="32">
    <w:nsid w:val="1D4ED43B"/>
    <w:multiLevelType w:val="hybridMultilevel"/>
    <w:lvl w:ilvl="0">
      <w:lvlJc w:val="left"/>
      <w:lvlText w:val="*"/>
      <w:numFmt w:val="bullet"/>
      <w:start w:val="1"/>
    </w:lvl>
    <w:lvl w:ilvl="1">
      <w:lvlJc w:val="left"/>
      <w:lvlText w:val="%2"/>
      <w:numFmt w:val="decimal"/>
      <w:start w:val="104"/>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lvl w:ilvl="1">
      <w:lvlJc w:val="left"/>
      <w:lvlText w:val="(%2)"/>
      <w:numFmt w:val="lowerLetter"/>
      <w:start w:val="1"/>
    </w:lvl>
  </w:abstractNum>
  <w:abstractNum w:abstractNumId="36">
    <w:nsid w:val="7A6D8D3C"/>
    <w:multiLevelType w:val="hybridMultilevel"/>
    <w:lvl w:ilvl="0">
      <w:lvlJc w:val="left"/>
      <w:lvlText w:val="%1."/>
      <w:numFmt w:val="decimal"/>
      <w:start w:val="3"/>
    </w:lvl>
    <w:lvl w:ilvl="1">
      <w:lvlJc w:val="left"/>
      <w:lvlText w:val="(%2)"/>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decimal"/>
      <w:start w:val="1"/>
    </w:lvl>
    <w:lvl w:ilvl="1">
      <w:lvlJc w:val="left"/>
      <w:lvlText w:val="(%2)"/>
      <w:numFmt w:val="lowerLetter"/>
      <w:start w:val="2"/>
    </w:lvl>
  </w:abstractNum>
  <w:abstractNum w:abstractNumId="39">
    <w:nsid w:val="6DE91B18"/>
    <w:multiLevelType w:val="hybridMultilevel"/>
    <w:lvl w:ilvl="0">
      <w:lvlJc w:val="left"/>
      <w:lvlText w:val="%1."/>
      <w:numFmt w:val="decimal"/>
      <w:start w:val="5"/>
    </w:lvl>
    <w:lvl w:ilvl="1">
      <w:lvlJc w:val="left"/>
      <w:lvlText w:val="%2"/>
      <w:numFmt w:val="lowerLetter"/>
      <w:start w:val="1"/>
    </w:lvl>
  </w:abstractNum>
  <w:abstractNum w:abstractNumId="40">
    <w:nsid w:val="38437FDB"/>
    <w:multiLevelType w:val="hybridMultilevel"/>
    <w:lvl w:ilvl="0">
      <w:lvlJc w:val="left"/>
      <w:lvlText w:val="%1."/>
      <w:numFmt w:val="decimal"/>
      <w:start w:val="6"/>
    </w:lvl>
  </w:abstractNum>
  <w:abstractNum w:abstractNumId="41">
    <w:nsid w:val="7644A45C"/>
    <w:multiLevelType w:val="hybridMultilevel"/>
    <w:lvl w:ilvl="0">
      <w:lvlJc w:val="left"/>
      <w:lvlText w:val="%1."/>
      <w:numFmt w:val="decimal"/>
      <w:start w:val="7"/>
    </w:lvl>
  </w:abstractNum>
  <w:abstractNum w:abstractNumId="42">
    <w:nsid w:val="32FFF902"/>
    <w:multiLevelType w:val="hybridMultilevel"/>
    <w:lvl w:ilvl="0">
      <w:lvlJc w:val="left"/>
      <w:lvlText w:val="%1."/>
      <w:numFmt w:val="decimal"/>
      <w:start w:val="8"/>
    </w:lvl>
  </w:abstractNum>
  <w:abstractNum w:abstractNumId="43">
    <w:nsid w:val="684A481A"/>
    <w:multiLevelType w:val="hybridMultilevel"/>
    <w:lvl w:ilvl="0">
      <w:lvlJc w:val="left"/>
      <w:lvlText w:val="%1."/>
      <w:numFmt w:val="decimal"/>
      <w:start w:val="9"/>
    </w:lvl>
  </w:abstractNum>
  <w:abstractNum w:abstractNumId="44">
    <w:nsid w:val="579478FE"/>
    <w:multiLevelType w:val="hybridMultilevel"/>
    <w:lvl w:ilvl="0">
      <w:lvlJc w:val="left"/>
      <w:lvlText w:val="%1."/>
      <w:numFmt w:val="decimal"/>
      <w:start w:val="10"/>
    </w:lvl>
  </w:abstractNum>
  <w:abstractNum w:abstractNumId="45">
    <w:nsid w:val="749ABB43"/>
    <w:multiLevelType w:val="hybridMultilevel"/>
    <w:lvl w:ilvl="0">
      <w:lvlJc w:val="left"/>
      <w:lvlText w:val="%1."/>
      <w:numFmt w:val="decimal"/>
      <w:start w:val="11"/>
    </w:lvl>
    <w:lvl w:ilvl="1">
      <w:lvlJc w:val="left"/>
      <w:lvlText w:val="(%2)"/>
      <w:numFmt w:val="lowerLetter"/>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decimal"/>
      <w:start w:val="12"/>
    </w:lvl>
  </w:abstractNum>
  <w:abstractNum w:abstractNumId="48">
    <w:nsid w:val="79A1DEAA"/>
    <w:multiLevelType w:val="hybridMultilevel"/>
    <w:lvl w:ilvl="0">
      <w:lvlJc w:val="left"/>
      <w:lvlText w:val="%1."/>
      <w:numFmt w:val="decimal"/>
      <w:start w:val="13"/>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5"/>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5"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107" Type="http://schemas.openxmlformats.org/officeDocument/2006/relationships/hyperlink" Target="https://www.sec.gov/ix?doc=/Archives/edgar/data/0001800315/000119312526115922/dmra-20251231.htm" TargetMode="External"/><Relationship Id="rId262" Type="http://schemas.openxmlformats.org/officeDocument/2006/relationships/hyperlink" Target="https://www.sec.gov/Archives/edgar/data/1800315/000119312525273342/d53983dex21.htm" TargetMode="External"/><Relationship Id="rId267" Type="http://schemas.openxmlformats.org/officeDocument/2006/relationships/hyperlink" Target="https://www.sec.gov/Archives/edgar/data/1800315/000119312520285653/d53274dex31.htm" TargetMode="External"/><Relationship Id="rId270" Type="http://schemas.openxmlformats.org/officeDocument/2006/relationships/hyperlink" Target="https://www.sec.gov/ix?doc=/Archives/edgar/data/0001800315/000095017024103957/glto-20240829.htm" TargetMode="External"/><Relationship Id="rId274" Type="http://schemas.openxmlformats.org/officeDocument/2006/relationships/hyperlink" Target="https://www.sec.gov/Archives/edgar/data/1800315/000119312526043741/glto-ex3_1.htm" TargetMode="External"/><Relationship Id="rId278" Type="http://schemas.openxmlformats.org/officeDocument/2006/relationships/hyperlink" Target="https://www.sec.gov/Archives/edgar/data/1800315/000119312526099404/dmra-ex3_1.htm" TargetMode="External"/><Relationship Id="rId282" Type="http://schemas.openxmlformats.org/officeDocument/2006/relationships/hyperlink" Target="https://www.sec.gov/Archives/edgar/data/1800315/000095017024113091/glto-ex3_1.htm" TargetMode="External"/><Relationship Id="rId285" Type="http://schemas.openxmlformats.org/officeDocument/2006/relationships/hyperlink" Target="https://www.sec.gov/Archives/edgar/data/1800315/000119312525273342/d53983dex31.htm" TargetMode="External"/><Relationship Id="rId288" Type="http://schemas.openxmlformats.org/officeDocument/2006/relationships/hyperlink" Target="https://www.sec.gov/Archives/edgar/data/1800315/000119312525273342/d53983dex32.htm" TargetMode="External"/><Relationship Id="rId291" Type="http://schemas.openxmlformats.org/officeDocument/2006/relationships/hyperlink" Target="https://www.sec.gov/Archives/edgar/data/1800315/000119312525312912/glto-ex3_3.htm" TargetMode="External"/><Relationship Id="rId294" Type="http://schemas.openxmlformats.org/officeDocument/2006/relationships/hyperlink" Target="https://www.sec.gov/Archives/edgar/data/1800315/000119312520285653/d53274dex32.htm" TargetMode="External"/><Relationship Id="rId296" Type="http://schemas.openxmlformats.org/officeDocument/2006/relationships/hyperlink" Target="https://www.sec.gov/Archives/edgar/data/1800315/000095017025041981/glto-ex3_5.htm" TargetMode="External"/><Relationship Id="rId299" Type="http://schemas.openxmlformats.org/officeDocument/2006/relationships/hyperlink" Target="https://www.sec.gov/Archives/edgar/data/1800315/000119312526117594/dmra-ex99_1.htm" TargetMode="External"/><Relationship Id="rId303" Type="http://schemas.openxmlformats.org/officeDocument/2006/relationships/hyperlink" Target="https://www.sec.gov/Archives/edgar/data/1800315/000119312526117594/dmra-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2026-05-12T15:12:52Z</dcterms:created>
  <dcterms:modified xsi:type="dcterms:W3CDTF">2026-05-12T15:12:52Z</dcterms:modified>
</cp:coreProperties>
</file>