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4"/>
          <w:szCs w:val="4"/>
          <w:color w:val="auto"/>
        </w:rPr>
        <w:drawing>
          <wp:anchor simplePos="0" relativeHeight="251657728" behindDoc="1" locked="0" layoutInCell="0" allowOverlap="1">
            <wp:simplePos x="0" y="0"/>
            <wp:positionH relativeFrom="page">
              <wp:posOffset>211455</wp:posOffset>
            </wp:positionH>
            <wp:positionV relativeFrom="page">
              <wp:posOffset>840105</wp:posOffset>
            </wp:positionV>
            <wp:extent cx="71577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17145"/>
                    </a:xfrm>
                    <a:prstGeom prst="rect">
                      <a:avLst/>
                    </a:prstGeom>
                    <a:noFill/>
                  </pic:spPr>
                </pic:pic>
              </a:graphicData>
            </a:graphic>
          </wp:anchor>
        </w:drawing>
        <w:t>`</w:t>
      </w: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0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-228600</wp:posOffset>
            </wp:positionV>
            <wp:extent cx="14312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29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87630</wp:posOffset>
            </wp:positionV>
            <wp:extent cx="14312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3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3660" w:right="2080" w:hanging="3654"/>
        <w:spacing w:after="0" w:line="315" w:lineRule="auto"/>
        <w:tabs>
          <w:tab w:leader="none" w:pos="45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September 30, 2026</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7" w:lineRule="exact"/>
        <w:rPr>
          <w:sz w:val="24"/>
          <w:szCs w:val="24"/>
          <w:color w:val="auto"/>
        </w:rPr>
      </w:pPr>
    </w:p>
    <w:p>
      <w:pPr>
        <w:ind w:left="460" w:hanging="454"/>
        <w:spacing w:after="0"/>
        <w:tabs>
          <w:tab w:leader="none" w:pos="4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w:t>
      </w:r>
    </w:p>
    <w:p>
      <w:pPr>
        <w:spacing w:after="0" w:line="31" w:lineRule="exact"/>
        <w:rPr>
          <w:sz w:val="24"/>
          <w:szCs w:val="24"/>
          <w:color w:val="auto"/>
        </w:rPr>
      </w:pPr>
    </w:p>
    <w:p>
      <w:pPr>
        <w:ind w:left="460"/>
        <w:spacing w:after="0"/>
        <w:tabs>
          <w:tab w:leader="none" w:pos="3240" w:val="left"/>
        </w:tabs>
        <w:rPr>
          <w:sz w:val="20"/>
          <w:szCs w:val="20"/>
          <w:color w:val="auto"/>
        </w:rPr>
      </w:pPr>
      <w:r>
        <w:rPr>
          <w:rFonts w:ascii="Times New Roman" w:cs="Times New Roman" w:eastAsia="Times New Roman" w:hAnsi="Times New Roman"/>
          <w:sz w:val="17"/>
          <w:szCs w:val="17"/>
          <w:b w:val="1"/>
          <w:bCs w:val="1"/>
          <w:color w:val="auto"/>
        </w:rPr>
        <w:t>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001-39655</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DAMORA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-271145</wp:posOffset>
            </wp:positionV>
            <wp:extent cx="14312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ectPr>
          <w:pgSz w:w="11920" w:h="16838" w:orient="portrait"/>
          <w:cols w:equalWidth="0" w:num="1">
            <w:col w:w="11260"/>
          </w:cols>
          <w:pgMar w:left="340" w:top="1354" w:right="318" w:bottom="1440" w:gutter="0" w:footer="0" w:header="0"/>
        </w:sectPr>
      </w:pPr>
    </w:p>
    <w:p>
      <w:pPr>
        <w:spacing w:after="0" w:line="4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69215</wp:posOffset>
            </wp:positionV>
            <wp:extent cx="14312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8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16"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3"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37-1957007</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80" w:lineRule="exact"/>
        <w:rPr>
          <w:sz w:val="24"/>
          <w:szCs w:val="24"/>
          <w:color w:val="auto"/>
        </w:rPr>
      </w:pPr>
    </w:p>
    <w:p>
      <w:pPr>
        <w:sectPr>
          <w:pgSz w:w="11920" w:h="16838" w:orient="portrait"/>
          <w:cols w:equalWidth="0" w:num="2">
            <w:col w:w="7440" w:space="520"/>
            <w:col w:w="3300"/>
          </w:cols>
          <w:pgMar w:left="340" w:top="1354" w:right="318" w:bottom="1440" w:gutter="0" w:footer="0" w:header="0"/>
          <w:type w:val="continuous"/>
        </w:sectPr>
      </w:pPr>
    </w:p>
    <w:p>
      <w:pPr>
        <w:ind w:left="2220"/>
        <w:spacing w:after="0"/>
        <w:rPr>
          <w:sz w:val="20"/>
          <w:szCs w:val="20"/>
          <w:color w:val="auto"/>
        </w:rPr>
      </w:pPr>
      <w:r>
        <w:rPr>
          <w:rFonts w:ascii="Times New Roman" w:cs="Times New Roman" w:eastAsia="Times New Roman" w:hAnsi="Times New Roman"/>
          <w:sz w:val="16"/>
          <w:szCs w:val="16"/>
          <w:b w:val="1"/>
          <w:bCs w:val="1"/>
          <w:color w:val="auto"/>
        </w:rPr>
        <w:t>100 Fifth Avenue</w:t>
      </w:r>
    </w:p>
    <w:p>
      <w:pPr>
        <w:spacing w:after="0" w:line="28" w:lineRule="exact"/>
        <w:rPr>
          <w:sz w:val="24"/>
          <w:szCs w:val="24"/>
          <w:color w:val="auto"/>
        </w:rPr>
      </w:pPr>
    </w:p>
    <w:p>
      <w:pPr>
        <w:ind w:left="2500"/>
        <w:spacing w:after="0"/>
        <w:tabs>
          <w:tab w:leader="none" w:pos="8220" w:val="left"/>
        </w:tabs>
        <w:rPr>
          <w:sz w:val="20"/>
          <w:szCs w:val="20"/>
          <w:color w:val="auto"/>
        </w:rPr>
      </w:pPr>
      <w:r>
        <w:rPr>
          <w:rFonts w:ascii="Times New Roman" w:cs="Times New Roman" w:eastAsia="Times New Roman" w:hAnsi="Times New Roman"/>
          <w:sz w:val="16"/>
          <w:szCs w:val="16"/>
          <w:b w:val="1"/>
          <w:bCs w:val="1"/>
          <w:color w:val="auto"/>
        </w:rPr>
        <w:t>Suite 700</w:t>
      </w:r>
      <w:r>
        <w:rPr>
          <w:sz w:val="20"/>
          <w:szCs w:val="20"/>
          <w:color w:val="auto"/>
        </w:rPr>
        <w:tab/>
      </w:r>
      <w:r>
        <w:rPr>
          <w:rFonts w:ascii="Times New Roman" w:cs="Times New Roman" w:eastAsia="Times New Roman" w:hAnsi="Times New Roman"/>
          <w:sz w:val="16"/>
          <w:szCs w:val="16"/>
          <w:b w:val="1"/>
          <w:bCs w:val="1"/>
          <w:color w:val="auto"/>
        </w:rPr>
        <w:t>02451</w:t>
      </w:r>
    </w:p>
    <w:p>
      <w:pPr>
        <w:spacing w:after="0" w:line="19"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6"/>
          <w:szCs w:val="16"/>
          <w:b w:val="1"/>
          <w:bCs w:val="1"/>
          <w:color w:val="auto"/>
        </w:rPr>
        <w:t>Waltham, MA</w:t>
      </w:r>
    </w:p>
    <w:p>
      <w:pPr>
        <w:spacing w:after="0" w:line="19" w:lineRule="exact"/>
        <w:rPr>
          <w:sz w:val="24"/>
          <w:szCs w:val="24"/>
          <w:color w:val="auto"/>
        </w:rPr>
      </w:pPr>
    </w:p>
    <w:p>
      <w:pPr>
        <w:ind w:left="1760"/>
        <w:spacing w:after="0"/>
        <w:tabs>
          <w:tab w:leader="none" w:pos="814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(781) 281-9020</w:t>
      </w:r>
    </w:p>
    <w:p>
      <w:pPr>
        <w:spacing w:after="0" w:line="7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from last report:</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221 Crescent Street, Building 23, Suite 105, Waltham, MA 02453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244475</wp:posOffset>
            </wp:positionV>
            <wp:extent cx="14312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20" w:type="dxa"/>
            <w:vAlign w:val="bottom"/>
          </w:tcPr>
          <w:p>
            <w:pPr>
              <w:spacing w:after="0"/>
              <w:rPr>
                <w:sz w:val="16"/>
                <w:szCs w:val="16"/>
                <w:color w:val="auto"/>
              </w:rPr>
            </w:pPr>
          </w:p>
        </w:tc>
      </w:tr>
      <w:tr>
        <w:trPr>
          <w:trHeight w:val="226"/>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9"/>
                <w:szCs w:val="19"/>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9"/>
                <w:szCs w:val="19"/>
                <w:color w:val="auto"/>
              </w:rPr>
            </w:pPr>
          </w:p>
        </w:tc>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Ordinary Shares, par value $0.00001 per share</w:t>
            </w:r>
          </w:p>
        </w:tc>
        <w:tc>
          <w:tcPr>
            <w:tcW w:w="12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DMRA</w:t>
            </w:r>
          </w:p>
        </w:tc>
        <w:tc>
          <w:tcPr>
            <w:tcW w:w="120" w:type="dxa"/>
            <w:vAlign w:val="bottom"/>
          </w:tcPr>
          <w:p>
            <w:pPr>
              <w:spacing w:after="0"/>
              <w:rPr>
                <w:sz w:val="15"/>
                <w:szCs w:val="15"/>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Capital Market</w:t>
            </w:r>
          </w:p>
        </w:tc>
      </w:tr>
    </w:tbl>
    <w:p>
      <w:pPr>
        <w:spacing w:after="0" w:line="194" w:lineRule="exact"/>
        <w:rPr>
          <w:sz w:val="24"/>
          <w:szCs w:val="24"/>
          <w:color w:val="auto"/>
        </w:rPr>
      </w:pPr>
    </w:p>
    <w:p>
      <w:pPr>
        <w:ind w:right="2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68"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68" w:lineRule="exact"/>
        <w:rPr>
          <w:sz w:val="24"/>
          <w:szCs w:val="24"/>
          <w:color w:val="auto"/>
        </w:rPr>
      </w:pPr>
    </w:p>
    <w:p>
      <w:pPr>
        <w:ind w:right="5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720" w:type="dxa"/>
            <w:vAlign w:val="bottom"/>
          </w:tcPr>
          <w:p>
            <w:pPr>
              <w:ind w:left="44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ind w:left="3140"/>
              <w:spacing w:after="0"/>
              <w:rPr>
                <w:sz w:val="20"/>
                <w:szCs w:val="20"/>
                <w:color w:val="auto"/>
              </w:rPr>
            </w:pPr>
            <w:r>
              <w:rPr>
                <w:rFonts w:ascii="Times New Roman" w:cs="Times New Roman" w:eastAsia="Times New Roman" w:hAnsi="Times New Roman"/>
                <w:sz w:val="15"/>
                <w:szCs w:val="15"/>
                <w:color w:val="auto"/>
              </w:rPr>
              <w:t>Accelerated filer</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2"/>
        </w:trPr>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72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1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60"/>
        </w:trPr>
        <w:tc>
          <w:tcPr>
            <w:tcW w:w="18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5160" w:type="dxa"/>
            <w:vAlign w:val="bottom"/>
          </w:tcPr>
          <w:p>
            <w:pPr>
              <w:ind w:left="3140"/>
              <w:spacing w:after="0"/>
              <w:rPr>
                <w:sz w:val="20"/>
                <w:szCs w:val="20"/>
                <w:color w:val="auto"/>
              </w:rPr>
            </w:pPr>
            <w:r>
              <w:rPr>
                <w:rFonts w:ascii="Times New Roman" w:cs="Times New Roman" w:eastAsia="Times New Roman" w:hAnsi="Times New Roman"/>
                <w:sz w:val="15"/>
                <w:szCs w:val="15"/>
                <w:color w:val="auto"/>
              </w:rPr>
              <w:t>Emerging growth company</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218" w:lineRule="exact"/>
        <w:rPr>
          <w:sz w:val="24"/>
          <w:szCs w:val="24"/>
          <w:color w:val="auto"/>
        </w:rPr>
      </w:pPr>
    </w:p>
    <w:p>
      <w:pPr>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ordinary shares outstanding as of November 2, 2026 was 61,904,742.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911225</wp:posOffset>
            </wp:positionV>
            <wp:extent cx="71831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289560</wp:posOffset>
            </wp:positionV>
            <wp:extent cx="71577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17145"/>
                    </a:xfrm>
                    <a:prstGeom prst="rect">
                      <a:avLst/>
                    </a:prstGeom>
                    <a:noFill/>
                  </pic:spPr>
                </pic:pic>
              </a:graphicData>
            </a:graphic>
          </wp:anchor>
        </w:drawing>
      </w:r>
    </w:p>
    <w:p>
      <w:pPr>
        <w:sectPr>
          <w:pgSz w:w="11920" w:h="16838" w:orient="portrait"/>
          <w:cols w:equalWidth="0" w:num="1">
            <w:col w:w="11260"/>
          </w:cols>
          <w:pgMar w:left="340" w:top="1354" w:right="318"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18"/>
        </w:trPr>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r>
      <w:tr>
        <w:trPr>
          <w:trHeight w:val="20"/>
        </w:trPr>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39"/>
        </w:trPr>
        <w:tc>
          <w:tcPr>
            <w:tcW w:w="160" w:type="dxa"/>
            <w:vAlign w:val="bottom"/>
          </w:tcPr>
          <w:p>
            <w:pPr>
              <w:spacing w:after="0"/>
              <w:rPr>
                <w:sz w:val="24"/>
                <w:szCs w:val="24"/>
                <w:color w:val="auto"/>
              </w:rPr>
            </w:pPr>
          </w:p>
        </w:tc>
        <w:tc>
          <w:tcPr>
            <w:tcW w:w="10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44"/>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Shareholders’ Equity</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76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tcBorders>
              <w:right w:val="single" w:sz="8" w:color="0000EE"/>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76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76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80" w:type="dxa"/>
            <w:vAlign w:val="bottom"/>
            <w:tcBorders>
              <w:left w:val="single" w:sz="8" w:color="0000FF"/>
            </w:tcBorders>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39"/>
        </w:trPr>
        <w:tc>
          <w:tcPr>
            <w:tcW w:w="160" w:type="dxa"/>
            <w:vAlign w:val="bottom"/>
          </w:tcPr>
          <w:p>
            <w:pPr>
              <w:spacing w:after="0"/>
              <w:rPr>
                <w:sz w:val="24"/>
                <w:szCs w:val="24"/>
                <w:color w:val="auto"/>
              </w:rPr>
            </w:pPr>
          </w:p>
        </w:tc>
        <w:tc>
          <w:tcPr>
            <w:tcW w:w="10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44"/>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76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76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20"/>
        </w:trPr>
        <w:tc>
          <w:tcPr>
            <w:tcW w:w="76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20"/>
        </w:trPr>
        <w:tc>
          <w:tcPr>
            <w:tcW w:w="76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700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20"/>
        </w:trPr>
        <w:tc>
          <w:tcPr>
            <w:tcW w:w="76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56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20"/>
        </w:trPr>
        <w:tc>
          <w:tcPr>
            <w:tcW w:w="76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20" w:type="dxa"/>
            <w:vAlign w:val="bottom"/>
            <w:gridSpan w:val="1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r>
      <w:tr>
        <w:trPr>
          <w:trHeight w:val="210"/>
        </w:trPr>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00" w:type="dxa"/>
            <w:vAlign w:val="bottom"/>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79" w:right="318" w:bottom="1440" w:gutter="0" w:footer="0" w:header="0"/>
        </w:sectPr>
      </w:pPr>
    </w:p>
    <w:bookmarkStart w:id="2" w:name="page3"/>
    <w:bookmarkEnd w:id="2"/>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751"/>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this Quarterly Report on Form 10-Q. In some cases, you can identify forward-looking statements by terminology such as “may,” “could,” “will,” “would,” “should,” “expect,” “plan,” “anticipate,” “believe,” “estimate,” “intend,” “predict,” “seek,” “contemplate,” “project,” “continue,” “potential,” “ongoing,” “goal,” or the negative of these terms or other comparable terminology. These forward-looking statements include, but are not limited to, statements regarding:</w:t>
      </w:r>
    </w:p>
    <w:p>
      <w:pPr>
        <w:spacing w:after="0" w:line="79" w:lineRule="exact"/>
        <w:rPr>
          <w:sz w:val="20"/>
          <w:szCs w:val="20"/>
          <w:color w:val="auto"/>
        </w:rPr>
      </w:pPr>
    </w:p>
    <w:p>
      <w:pPr>
        <w:ind w:left="1500" w:hanging="380"/>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on our strategy for the discovery and development of DMR-001, DMR-002 and DMR-003;</w:t>
      </w:r>
    </w:p>
    <w:p>
      <w:pPr>
        <w:spacing w:after="0" w:line="117" w:lineRule="exact"/>
        <w:rPr>
          <w:rFonts w:ascii="Times New Roman" w:cs="Times New Roman" w:eastAsia="Times New Roman" w:hAnsi="Times New Roman"/>
          <w:sz w:val="18"/>
          <w:szCs w:val="18"/>
          <w:color w:val="auto"/>
        </w:rPr>
      </w:pPr>
    </w:p>
    <w:p>
      <w:pPr>
        <w:ind w:left="1500" w:right="220" w:hanging="380"/>
        <w:spacing w:after="0" w:line="266"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planned filing of investigational new drug applications or their equivalents, planned product development activities, and initiation of clinical trials of our current product candidates, including DMR-001, DMR-002, and DMR-003, and any future product candidates;</w:t>
      </w:r>
    </w:p>
    <w:p>
      <w:pPr>
        <w:spacing w:after="0" w:line="67" w:lineRule="exact"/>
        <w:rPr>
          <w:rFonts w:ascii="Times New Roman" w:cs="Times New Roman" w:eastAsia="Times New Roman" w:hAnsi="Times New Roman"/>
          <w:sz w:val="18"/>
          <w:szCs w:val="18"/>
          <w:color w:val="auto"/>
        </w:rPr>
      </w:pPr>
    </w:p>
    <w:p>
      <w:pPr>
        <w:ind w:left="1500" w:hanging="380"/>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directors, officers, key employees and consultants;</w:t>
      </w:r>
    </w:p>
    <w:p>
      <w:pPr>
        <w:spacing w:after="0" w:line="117" w:lineRule="exact"/>
        <w:rPr>
          <w:rFonts w:ascii="Times New Roman" w:cs="Times New Roman" w:eastAsia="Times New Roman" w:hAnsi="Times New Roman"/>
          <w:sz w:val="18"/>
          <w:szCs w:val="18"/>
          <w:color w:val="auto"/>
        </w:rPr>
      </w:pPr>
    </w:p>
    <w:p>
      <w:pPr>
        <w:ind w:left="1500" w:hanging="380"/>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grow and manage our growth effectively;</w:t>
      </w:r>
    </w:p>
    <w:p>
      <w:pPr>
        <w:spacing w:after="0" w:line="117" w:lineRule="exact"/>
        <w:rPr>
          <w:rFonts w:ascii="Times New Roman" w:cs="Times New Roman" w:eastAsia="Times New Roman" w:hAnsi="Times New Roman"/>
          <w:sz w:val="18"/>
          <w:szCs w:val="18"/>
          <w:color w:val="auto"/>
        </w:rPr>
      </w:pPr>
    </w:p>
    <w:p>
      <w:pPr>
        <w:ind w:left="1500" w:hanging="380"/>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current or future product candidates that we may identify or develop;</w:t>
      </w:r>
    </w:p>
    <w:p>
      <w:pPr>
        <w:spacing w:after="0" w:line="117" w:lineRule="exact"/>
        <w:rPr>
          <w:rFonts w:ascii="Times New Roman" w:cs="Times New Roman" w:eastAsia="Times New Roman" w:hAnsi="Times New Roman"/>
          <w:sz w:val="18"/>
          <w:szCs w:val="18"/>
          <w:color w:val="auto"/>
        </w:rPr>
      </w:pPr>
    </w:p>
    <w:p>
      <w:pPr>
        <w:ind w:left="1500" w:hanging="380"/>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ensure adequate supply of our current or future product candidates;</w:t>
      </w:r>
    </w:p>
    <w:p>
      <w:pPr>
        <w:spacing w:after="0" w:line="117" w:lineRule="exact"/>
        <w:rPr>
          <w:rFonts w:ascii="Times New Roman" w:cs="Times New Roman" w:eastAsia="Times New Roman" w:hAnsi="Times New Roman"/>
          <w:sz w:val="18"/>
          <w:szCs w:val="18"/>
          <w:color w:val="auto"/>
        </w:rPr>
      </w:pPr>
    </w:p>
    <w:p>
      <w:pPr>
        <w:ind w:left="1500" w:hanging="380"/>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third-party relationships necessary to conduct our business;</w:t>
      </w:r>
    </w:p>
    <w:p>
      <w:pPr>
        <w:spacing w:after="0" w:line="117" w:lineRule="exact"/>
        <w:rPr>
          <w:rFonts w:ascii="Times New Roman" w:cs="Times New Roman" w:eastAsia="Times New Roman" w:hAnsi="Times New Roman"/>
          <w:sz w:val="18"/>
          <w:szCs w:val="18"/>
          <w:color w:val="auto"/>
        </w:rPr>
      </w:pPr>
    </w:p>
    <w:p>
      <w:pPr>
        <w:ind w:left="1500" w:hanging="380"/>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 adequate safety or efficacy profile for our current or future product candidates that we may pursue;</w:t>
      </w:r>
    </w:p>
    <w:p>
      <w:pPr>
        <w:spacing w:after="0" w:line="117" w:lineRule="exact"/>
        <w:rPr>
          <w:rFonts w:ascii="Times New Roman" w:cs="Times New Roman" w:eastAsia="Times New Roman" w:hAnsi="Times New Roman"/>
          <w:sz w:val="18"/>
          <w:szCs w:val="18"/>
          <w:color w:val="auto"/>
        </w:rPr>
      </w:pPr>
    </w:p>
    <w:p>
      <w:pPr>
        <w:ind w:left="1500" w:right="60" w:hanging="380"/>
        <w:spacing w:after="0" w:line="282"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and execution of our strategic plans for our business, our current or future product candidates we may develop and our technology;</w:t>
      </w:r>
    </w:p>
    <w:p>
      <w:pPr>
        <w:spacing w:after="0" w:line="53" w:lineRule="exact"/>
        <w:rPr>
          <w:rFonts w:ascii="Times New Roman" w:cs="Times New Roman" w:eastAsia="Times New Roman" w:hAnsi="Times New Roman"/>
          <w:sz w:val="18"/>
          <w:szCs w:val="18"/>
          <w:color w:val="auto"/>
        </w:rPr>
      </w:pPr>
    </w:p>
    <w:p>
      <w:pPr>
        <w:ind w:left="1500" w:right="20" w:hanging="380"/>
        <w:spacing w:after="0" w:line="282"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scope of protection we are able to establish and maintain for intellectual property rights covering our product candidates and technology;</w:t>
      </w:r>
    </w:p>
    <w:p>
      <w:pPr>
        <w:spacing w:after="0" w:line="53" w:lineRule="exact"/>
        <w:rPr>
          <w:rFonts w:ascii="Times New Roman" w:cs="Times New Roman" w:eastAsia="Times New Roman" w:hAnsi="Times New Roman"/>
          <w:sz w:val="18"/>
          <w:szCs w:val="18"/>
          <w:color w:val="auto"/>
        </w:rPr>
      </w:pPr>
    </w:p>
    <w:p>
      <w:pPr>
        <w:ind w:left="1500" w:hanging="380"/>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for our current or future product candidates we may develop;</w:t>
      </w:r>
    </w:p>
    <w:p>
      <w:pPr>
        <w:spacing w:after="0" w:line="117" w:lineRule="exact"/>
        <w:rPr>
          <w:rFonts w:ascii="Times New Roman" w:cs="Times New Roman" w:eastAsia="Times New Roman" w:hAnsi="Times New Roman"/>
          <w:sz w:val="18"/>
          <w:szCs w:val="18"/>
          <w:color w:val="auto"/>
        </w:rPr>
      </w:pPr>
    </w:p>
    <w:p>
      <w:pPr>
        <w:ind w:left="1500" w:hanging="380"/>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about the size of our market opportunity;</w:t>
      </w:r>
    </w:p>
    <w:p>
      <w:pPr>
        <w:spacing w:after="0" w:line="117" w:lineRule="exact"/>
        <w:rPr>
          <w:rFonts w:ascii="Times New Roman" w:cs="Times New Roman" w:eastAsia="Times New Roman" w:hAnsi="Times New Roman"/>
          <w:sz w:val="18"/>
          <w:szCs w:val="18"/>
          <w:color w:val="auto"/>
        </w:rPr>
      </w:pPr>
    </w:p>
    <w:p>
      <w:pPr>
        <w:ind w:left="1500" w:hanging="380"/>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expenses, future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1500" w:hanging="380"/>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w:t>
      </w:r>
    </w:p>
    <w:p>
      <w:pPr>
        <w:spacing w:after="0" w:line="117" w:lineRule="exact"/>
        <w:rPr>
          <w:rFonts w:ascii="Times New Roman" w:cs="Times New Roman" w:eastAsia="Times New Roman" w:hAnsi="Times New Roman"/>
          <w:sz w:val="18"/>
          <w:szCs w:val="18"/>
          <w:color w:val="auto"/>
        </w:rPr>
      </w:pPr>
    </w:p>
    <w:p>
      <w:pPr>
        <w:ind w:left="1500" w:hanging="380"/>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liquidity;</w:t>
      </w:r>
    </w:p>
    <w:p>
      <w:pPr>
        <w:spacing w:after="0" w:line="117" w:lineRule="exact"/>
        <w:rPr>
          <w:rFonts w:ascii="Times New Roman" w:cs="Times New Roman" w:eastAsia="Times New Roman" w:hAnsi="Times New Roman"/>
          <w:sz w:val="18"/>
          <w:szCs w:val="18"/>
          <w:color w:val="auto"/>
        </w:rPr>
      </w:pPr>
    </w:p>
    <w:p>
      <w:pPr>
        <w:ind w:left="1500" w:hanging="380"/>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the impact of government regulation;</w:t>
      </w:r>
    </w:p>
    <w:p>
      <w:pPr>
        <w:spacing w:after="0" w:line="117" w:lineRule="exact"/>
        <w:rPr>
          <w:rFonts w:ascii="Times New Roman" w:cs="Times New Roman" w:eastAsia="Times New Roman" w:hAnsi="Times New Roman"/>
          <w:sz w:val="18"/>
          <w:szCs w:val="18"/>
          <w:color w:val="auto"/>
        </w:rPr>
      </w:pPr>
    </w:p>
    <w:p>
      <w:pPr>
        <w:ind w:left="1500" w:right="180" w:hanging="380"/>
        <w:spacing w:after="0" w:line="282"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professionals and consultants and to identify, hire and retain additional qualified professionals;</w:t>
      </w:r>
    </w:p>
    <w:p>
      <w:pPr>
        <w:spacing w:after="0" w:line="53" w:lineRule="exact"/>
        <w:rPr>
          <w:rFonts w:ascii="Times New Roman" w:cs="Times New Roman" w:eastAsia="Times New Roman" w:hAnsi="Times New Roman"/>
          <w:sz w:val="18"/>
          <w:szCs w:val="18"/>
          <w:color w:val="auto"/>
        </w:rPr>
      </w:pPr>
    </w:p>
    <w:p>
      <w:pPr>
        <w:ind w:left="1500" w:hanging="380"/>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internal controls over financial reporting;</w:t>
      </w:r>
    </w:p>
    <w:p>
      <w:pPr>
        <w:spacing w:after="0" w:line="117" w:lineRule="exact"/>
        <w:rPr>
          <w:rFonts w:ascii="Times New Roman" w:cs="Times New Roman" w:eastAsia="Times New Roman" w:hAnsi="Times New Roman"/>
          <w:sz w:val="18"/>
          <w:szCs w:val="18"/>
          <w:color w:val="auto"/>
        </w:rPr>
      </w:pPr>
    </w:p>
    <w:p>
      <w:pPr>
        <w:ind w:left="1500" w:right="440" w:hanging="380"/>
        <w:spacing w:after="0" w:line="282"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global economic uncertainty and financial market volatility caused by economic effects of volatility in inflation and interest rates, tariffs, geopolitical instability, changes in international trade relationships and conflicts; and</w:t>
      </w:r>
    </w:p>
    <w:p>
      <w:pPr>
        <w:spacing w:after="0" w:line="53" w:lineRule="exact"/>
        <w:rPr>
          <w:rFonts w:ascii="Times New Roman" w:cs="Times New Roman" w:eastAsia="Times New Roman" w:hAnsi="Times New Roman"/>
          <w:sz w:val="18"/>
          <w:szCs w:val="18"/>
          <w:color w:val="auto"/>
        </w:rPr>
      </w:pPr>
    </w:p>
    <w:p>
      <w:pPr>
        <w:ind w:left="1500" w:hanging="380"/>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section titled “Risk Factors.”</w:t>
      </w:r>
    </w:p>
    <w:p>
      <w:pPr>
        <w:spacing w:after="0" w:line="225" w:lineRule="exact"/>
        <w:rPr>
          <w:sz w:val="20"/>
          <w:szCs w:val="20"/>
          <w:color w:val="auto"/>
        </w:rPr>
      </w:pPr>
    </w:p>
    <w:p>
      <w:pPr>
        <w:jc w:val="both"/>
        <w:ind w:right="280" w:firstLine="751"/>
        <w:spacing w:after="0" w:line="266" w:lineRule="auto"/>
        <w:rPr>
          <w:sz w:val="20"/>
          <w:szCs w:val="20"/>
          <w:color w:val="auto"/>
        </w:rPr>
      </w:pPr>
      <w:r>
        <w:rPr>
          <w:rFonts w:ascii="Times New Roman" w:cs="Times New Roman" w:eastAsia="Times New Roman" w:hAnsi="Times New Roman"/>
          <w:sz w:val="18"/>
          <w:szCs w:val="18"/>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440" w:right="338" w:bottom="1440" w:gutter="0" w:footer="0" w:header="0"/>
        </w:sectPr>
      </w:pPr>
    </w:p>
    <w:bookmarkStart w:id="3" w:name="page4"/>
    <w:bookmarkEnd w:id="3"/>
    <w:p>
      <w:pPr>
        <w:ind w:right="80"/>
        <w:spacing w:after="0" w:line="256" w:lineRule="auto"/>
        <w:rPr>
          <w:sz w:val="20"/>
          <w:szCs w:val="20"/>
          <w:color w:val="auto"/>
        </w:rPr>
      </w:pPr>
      <w:r>
        <w:rPr>
          <w:rFonts w:ascii="Times New Roman" w:cs="Times New Roman" w:eastAsia="Times New Roman" w:hAnsi="Times New Roman"/>
          <w:sz w:val="18"/>
          <w:szCs w:val="18"/>
          <w:color w:val="auto"/>
        </w:rPr>
        <w:t>results to differ materially from current expectations include, among other things, the reasons described elsewhere in this Quarterly Report on Form 10-Q and those set forth in Part I, Item 1A - “Risk Factors” in our Annual Report on Form 10-K for the fiscal year ended December 31, 2025. Any forward-looking statement in this Quarterly Report on Form 10-Q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7" w:lineRule="exact"/>
        <w:rPr>
          <w:sz w:val="20"/>
          <w:szCs w:val="20"/>
          <w:color w:val="auto"/>
        </w:rPr>
      </w:pPr>
    </w:p>
    <w:p>
      <w:pPr>
        <w:ind w:firstLine="751"/>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the markets for certain drugs,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79" w:lineRule="exact"/>
        <w:rPr>
          <w:sz w:val="20"/>
          <w:szCs w:val="20"/>
          <w:color w:val="auto"/>
        </w:rPr>
      </w:pPr>
    </w:p>
    <w:p>
      <w:pPr>
        <w:ind w:right="140" w:firstLine="751"/>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in this Quarterly Report on Form 10-Q, “we,” “us,” “our,” “Damora,” and the “Company” refer to Damora Therapeutics, Inc. and, where appropriate, its consolidated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21" w:lineRule="exact"/>
        <w:rPr>
          <w:sz w:val="20"/>
          <w:szCs w:val="20"/>
          <w:color w:val="auto"/>
        </w:rPr>
      </w:pPr>
    </w:p>
    <w:p>
      <w:pPr>
        <w:ind w:right="200" w:firstLine="751"/>
        <w:spacing w:after="0" w:line="258" w:lineRule="auto"/>
        <w:rPr>
          <w:sz w:val="20"/>
          <w:szCs w:val="20"/>
          <w:color w:val="auto"/>
        </w:rPr>
      </w:pPr>
      <w:r>
        <w:rPr>
          <w:rFonts w:ascii="Times New Roman" w:cs="Times New Roman" w:eastAsia="Times New Roman" w:hAnsi="Times New Roman"/>
          <w:sz w:val="18"/>
          <w:szCs w:val="18"/>
          <w:color w:val="auto"/>
        </w:rPr>
        <w:t>We have applied for various trademarks that we use in connection with the operation of our business. This Quarterly Report on Form 10-Q includes trademarks, service marks, and trade names owned by us or other companies. All trademarks, service marks, and trade names included in this Quarterly Report on Form 10-Q are the property of their respective owners. Solely for convenience, the trademarks and trade names in this report may be referred to without the ® and ™ symbols, but such references should not be construed as any indicator that their respective owners will not assert, to the fullest extent under applicable law, their rights thereto.</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183" w:right="338"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DAMORA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center"/>
              <w:ind w:right="151"/>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349,656</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257,624</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260,423</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noncurrent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r>
      <w:tr>
        <w:trPr>
          <w:trHeight w:val="250"/>
        </w:trPr>
        <w:tc>
          <w:tcPr>
            <w:tcW w:w="77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532,627</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80" w:type="dxa"/>
            <w:vAlign w:val="bottom"/>
          </w:tcPr>
          <w:p>
            <w:pPr>
              <w:spacing w:after="0"/>
              <w:rPr>
                <w:sz w:val="19"/>
                <w:szCs w:val="19"/>
                <w:color w:val="auto"/>
              </w:rPr>
            </w:pP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Paramora warrant obligation</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Related party accounts payable and other current liabilities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17,221</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20,066</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r>
      <w:tr>
        <w:trPr>
          <w:trHeight w:val="23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20,147</w:t>
            </w:r>
          </w:p>
        </w:tc>
        <w:tc>
          <w:tcPr>
            <w:tcW w:w="100" w:type="dxa"/>
            <w:vAlign w:val="bottom"/>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Mezzanine equity</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shares, par value of $0.00001 per share; 10,000,000 shares authorized</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at September 30, 2026 and December 31, 2025; no shares and 159 shares issued and outstanding as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September 30, 2026 and December 31, 2025</w:t>
            </w:r>
          </w:p>
        </w:tc>
        <w:tc>
          <w:tcPr>
            <w:tcW w:w="2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FF0FC"/>
          </w:tcPr>
          <w:p>
            <w:pPr>
              <w:spacing w:after="0"/>
              <w:rPr>
                <w:sz w:val="20"/>
                <w:szCs w:val="20"/>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Series B non-voting convertible preferred shares, par value of $0.00001 per share;</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16,366 shares authorized, issued and outstanding at September 30, 2026 and December 31, 2025</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117,621</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117,621</w:t>
            </w:r>
          </w:p>
        </w:tc>
        <w:tc>
          <w:tcPr>
            <w:tcW w:w="100" w:type="dxa"/>
            <w:vAlign w:val="bottom"/>
            <w:shd w:val="clear" w:color="auto" w:fill="CFF0FC"/>
          </w:tcPr>
          <w:p>
            <w:pPr>
              <w:spacing w:after="0"/>
              <w:rPr>
                <w:sz w:val="20"/>
                <w:szCs w:val="20"/>
                <w:color w:val="auto"/>
              </w:rPr>
            </w:pPr>
          </w:p>
        </w:tc>
      </w:tr>
      <w:tr>
        <w:trPr>
          <w:trHeight w:val="211"/>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Series C non-voting convertible preferred shares, par value of $0.00001 per share;</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43,882 shares authorized at September 30, 2026 and December 31, 2025; 1,722 and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43,882 shares issued and outstanding as of September 30, 2026 and December 31, 2025,</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297,291</w:t>
            </w:r>
          </w:p>
        </w:tc>
        <w:tc>
          <w:tcPr>
            <w:tcW w:w="100" w:type="dxa"/>
            <w:vAlign w:val="bottom"/>
          </w:tcPr>
          <w:p>
            <w:pPr>
              <w:spacing w:after="0"/>
              <w:rPr>
                <w:sz w:val="20"/>
                <w:szCs w:val="20"/>
                <w:color w:val="auto"/>
              </w:rPr>
            </w:pPr>
          </w:p>
        </w:tc>
      </w:tr>
      <w:tr>
        <w:trPr>
          <w:trHeight w:val="211"/>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Ordinary shares, par value of $0.00001 per share; 500,000,000 shares authorized</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at September 30, 2026 and 300,000,000 shares authorized at December 31, 2025;</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61,904,742 and 1,597,321 shares issued and outstanding at September 30, 2026</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and December 31, 2025, respectively</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944,307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310,688</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(578,311)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(487,363)</w:t>
            </w:r>
          </w:p>
        </w:tc>
      </w:tr>
      <w:tr>
        <w:trPr>
          <w:trHeight w:val="23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r>
      <w:tr>
        <w:trPr>
          <w:trHeight w:val="210"/>
        </w:trPr>
        <w:tc>
          <w:tcPr>
            <w:tcW w:w="77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495,761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3"/>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532,627</w:t>
            </w:r>
          </w:p>
        </w:tc>
        <w:tc>
          <w:tcPr>
            <w:tcW w:w="180" w:type="dxa"/>
            <w:vAlign w:val="bottom"/>
          </w:tcPr>
          <w:p>
            <w:pPr>
              <w:spacing w:after="0"/>
              <w:rPr>
                <w:sz w:val="19"/>
                <w:szCs w:val="19"/>
                <w:color w:val="auto"/>
              </w:rPr>
            </w:pP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260,527</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5901690</wp:posOffset>
            </wp:positionH>
            <wp:positionV relativeFrom="paragraph">
              <wp:posOffset>-5262880</wp:posOffset>
            </wp:positionV>
            <wp:extent cx="6858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-5262880</wp:posOffset>
            </wp:positionV>
            <wp:extent cx="6858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-4671060</wp:posOffset>
            </wp:positionV>
            <wp:extent cx="125158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1585" cy="171450"/>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-3179445</wp:posOffset>
            </wp:positionV>
            <wp:extent cx="6858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-3179445</wp:posOffset>
            </wp:positionV>
            <wp:extent cx="685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-179070</wp:posOffset>
            </wp:positionV>
            <wp:extent cx="6858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-179070</wp:posOffset>
            </wp:positionV>
            <wp:extent cx="6858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622935</wp:posOffset>
            </wp:positionV>
            <wp:extent cx="71831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92" w:right="318" w:bottom="1440" w:gutter="0" w:footer="0" w:header="0"/>
        </w:sectPr>
      </w:pPr>
    </w:p>
    <w:bookmarkStart w:id="5" w:name="page6"/>
    <w:bookmarkEnd w:id="5"/>
    <w:p>
      <w:pPr>
        <w:ind w:left="4220"/>
        <w:spacing w:after="0"/>
        <w:rPr>
          <w:sz w:val="20"/>
          <w:szCs w:val="20"/>
          <w:color w:val="auto"/>
        </w:rPr>
      </w:pPr>
      <w:r>
        <w:rPr>
          <w:rFonts w:ascii="Times New Roman" w:cs="Times New Roman" w:eastAsia="Times New Roman" w:hAnsi="Times New Roman"/>
          <w:sz w:val="18"/>
          <w:szCs w:val="18"/>
          <w:b w:val="1"/>
          <w:bCs w:val="1"/>
          <w:color w:val="auto"/>
        </w:rPr>
        <w:t>DAMORA THERAPEUTICS, INC.</w:t>
      </w:r>
    </w:p>
    <w:p>
      <w:pPr>
        <w:spacing w:after="0" w:line="1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5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25,475</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74,792</w:t>
            </w:r>
          </w:p>
        </w:tc>
        <w:tc>
          <w:tcPr>
            <w:tcW w:w="140" w:type="dxa"/>
            <w:vAlign w:val="bottom"/>
          </w:tcPr>
          <w:p>
            <w:pPr>
              <w:spacing w:after="0"/>
              <w:rPr>
                <w:sz w:val="19"/>
                <w:szCs w:val="19"/>
                <w:color w:val="auto"/>
              </w:rPr>
            </w:pP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27,876</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36,863</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102,668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(36,863)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(102,668)</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Gain on sale of IP</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 net</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exchange transaction loss, net</w:t>
            </w: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other income, net</w:t>
            </w:r>
          </w:p>
        </w:tc>
        <w:tc>
          <w:tcPr>
            <w:tcW w:w="64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12,017</w:t>
            </w:r>
          </w:p>
        </w:tc>
        <w:tc>
          <w:tcPr>
            <w:tcW w:w="14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6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(90,651)</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63"/>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(31,991)</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(90,948)</w:t>
            </w:r>
          </w:p>
        </w:tc>
        <w:tc>
          <w:tcPr>
            <w:tcW w:w="1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 Series B Preferred Shares</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(400.40)</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(1,188.20)</w:t>
            </w:r>
          </w:p>
        </w:tc>
        <w:tc>
          <w:tcPr>
            <w:tcW w:w="36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2"/>
        </w:trPr>
        <w:tc>
          <w:tcPr>
            <w:tcW w:w="5180" w:type="dxa"/>
            <w:vAlign w:val="bottom"/>
            <w:tcBorders>
              <w:top w:val="single" w:sz="8" w:color="CFF0FC"/>
            </w:tcBorders>
          </w:tcPr>
          <w:p>
            <w:pPr>
              <w:spacing w:after="0" w:line="192" w:lineRule="exact"/>
              <w:rPr>
                <w:sz w:val="20"/>
                <w:szCs w:val="20"/>
                <w:color w:val="auto"/>
              </w:rPr>
            </w:pPr>
            <w:r>
              <w:rPr>
                <w:rFonts w:ascii="Times New Roman" w:cs="Times New Roman" w:eastAsia="Times New Roman" w:hAnsi="Times New Roman"/>
                <w:sz w:val="18"/>
                <w:szCs w:val="18"/>
                <w:color w:val="auto"/>
              </w:rPr>
              <w:t>Weighted-average Series B non-voting convertible preferred</w:t>
            </w:r>
          </w:p>
        </w:tc>
        <w:tc>
          <w:tcPr>
            <w:tcW w:w="64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240" w:type="dxa"/>
            <w:vAlign w:val="bottom"/>
            <w:tcBorders>
              <w:top w:val="single" w:sz="8" w:color="CFF0FC"/>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vMerge w:val="restart"/>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14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8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shares outstanding, basic and diluted</w:t>
            </w:r>
          </w:p>
        </w:tc>
        <w:tc>
          <w:tcPr>
            <w:tcW w:w="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spacing w:after="0"/>
              <w:rPr>
                <w:sz w:val="18"/>
                <w:szCs w:val="18"/>
                <w:color w:val="auto"/>
              </w:rPr>
            </w:pPr>
          </w:p>
        </w:tc>
        <w:tc>
          <w:tcPr>
            <w:tcW w:w="1260" w:type="dxa"/>
            <w:vAlign w:val="bottom"/>
            <w:gridSpan w:val="2"/>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spacing w:after="0"/>
              <w:rPr>
                <w:sz w:val="18"/>
                <w:szCs w:val="18"/>
                <w:color w:val="auto"/>
              </w:rPr>
            </w:pPr>
          </w:p>
        </w:tc>
        <w:tc>
          <w:tcPr>
            <w:tcW w:w="260" w:type="dxa"/>
            <w:vAlign w:val="bottom"/>
            <w:gridSpan w:val="2"/>
            <w:shd w:val="clear" w:color="auto" w:fill="CFF0FC"/>
          </w:tcPr>
          <w:p>
            <w:pPr>
              <w:spacing w:after="0"/>
              <w:rPr>
                <w:sz w:val="18"/>
                <w:szCs w:val="18"/>
                <w:color w:val="auto"/>
              </w:rPr>
            </w:pPr>
          </w:p>
        </w:tc>
        <w:tc>
          <w:tcPr>
            <w:tcW w:w="1160" w:type="dxa"/>
            <w:vAlign w:val="bottom"/>
            <w:gridSpan w:val="2"/>
            <w:shd w:val="clear" w:color="auto" w:fill="CFF0FC"/>
          </w:tcPr>
          <w:p>
            <w:pPr>
              <w:spacing w:after="0"/>
              <w:rPr>
                <w:sz w:val="18"/>
                <w:szCs w:val="18"/>
                <w:color w:val="auto"/>
              </w:rPr>
            </w:pPr>
          </w:p>
        </w:tc>
        <w:tc>
          <w:tcPr>
            <w:tcW w:w="360" w:type="dxa"/>
            <w:vAlign w:val="bottom"/>
            <w:gridSpan w:val="2"/>
            <w:shd w:val="clear" w:color="auto" w:fill="CFF0FC"/>
          </w:tcPr>
          <w:p>
            <w:pPr>
              <w:spacing w:after="0"/>
              <w:rPr>
                <w:sz w:val="18"/>
                <w:szCs w:val="18"/>
                <w:color w:val="auto"/>
              </w:rPr>
            </w:pPr>
          </w:p>
        </w:tc>
        <w:tc>
          <w:tcPr>
            <w:tcW w:w="1000" w:type="dxa"/>
            <w:vAlign w:val="bottom"/>
            <w:gridSpan w:val="2"/>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 Series C Preferred Shares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(400.40)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(1,188.20)</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8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Weighted-average Series C non-voting convertible preferred</w:t>
            </w: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80" w:type="dxa"/>
            <w:vAlign w:val="bottom"/>
            <w:tcBorders>
              <w:bottom w:val="single" w:sz="8" w:color="CFF0FC"/>
            </w:tcBorders>
            <w:shd w:val="clear" w:color="auto" w:fill="CFF0FC"/>
          </w:tcPr>
          <w:p>
            <w:pPr>
              <w:ind w:left="120"/>
              <w:spacing w:after="0" w:line="194" w:lineRule="exact"/>
              <w:rPr>
                <w:sz w:val="20"/>
                <w:szCs w:val="20"/>
                <w:color w:val="auto"/>
              </w:rPr>
            </w:pPr>
            <w:r>
              <w:rPr>
                <w:rFonts w:ascii="Times New Roman" w:cs="Times New Roman" w:eastAsia="Times New Roman" w:hAnsi="Times New Roman"/>
                <w:sz w:val="18"/>
                <w:szCs w:val="18"/>
                <w:color w:val="auto"/>
              </w:rPr>
              <w:t>shares outstanding, basic and diluted</w:t>
            </w:r>
          </w:p>
        </w:tc>
        <w:tc>
          <w:tcPr>
            <w:tcW w:w="6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 ordinary shares</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(0.40)</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c>
          <w:tcPr>
            <w:tcW w:w="36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192"/>
        </w:trPr>
        <w:tc>
          <w:tcPr>
            <w:tcW w:w="5180" w:type="dxa"/>
            <w:vAlign w:val="bottom"/>
            <w:tcBorders>
              <w:top w:val="single" w:sz="8" w:color="CFF0FC"/>
            </w:tcBorders>
          </w:tcPr>
          <w:p>
            <w:pPr>
              <w:spacing w:after="0" w:line="192" w:lineRule="exact"/>
              <w:rPr>
                <w:sz w:val="20"/>
                <w:szCs w:val="20"/>
                <w:color w:val="auto"/>
              </w:rPr>
            </w:pPr>
            <w:r>
              <w:rPr>
                <w:rFonts w:ascii="Times New Roman" w:cs="Times New Roman" w:eastAsia="Times New Roman" w:hAnsi="Times New Roman"/>
                <w:sz w:val="18"/>
                <w:szCs w:val="18"/>
                <w:color w:val="auto"/>
              </w:rPr>
              <w:t>Weighted-average number of shares used in computing net loss</w:t>
            </w:r>
          </w:p>
        </w:tc>
        <w:tc>
          <w:tcPr>
            <w:tcW w:w="64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61,810,033</w:t>
            </w:r>
          </w:p>
        </w:tc>
        <w:tc>
          <w:tcPr>
            <w:tcW w:w="240" w:type="dxa"/>
            <w:vAlign w:val="bottom"/>
            <w:tcBorders>
              <w:top w:val="single" w:sz="8" w:color="CFF0FC"/>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1,327,039</w:t>
            </w:r>
          </w:p>
        </w:tc>
        <w:tc>
          <w:tcPr>
            <w:tcW w:w="12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52,289,247</w:t>
            </w:r>
          </w:p>
        </w:tc>
        <w:tc>
          <w:tcPr>
            <w:tcW w:w="14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1,323,886</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8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per ordinary share, basic and diluted</w:t>
            </w:r>
          </w:p>
        </w:tc>
        <w:tc>
          <w:tcPr>
            <w:tcW w:w="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Currency translation gain (loss)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Unrealized loss on marketable securities, net of tax</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(965)</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6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(32,956)</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(91,983)</w:t>
            </w:r>
          </w:p>
        </w:tc>
        <w:tc>
          <w:tcPr>
            <w:tcW w:w="1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4418965</wp:posOffset>
            </wp:positionH>
            <wp:positionV relativeFrom="paragraph">
              <wp:posOffset>-4105275</wp:posOffset>
            </wp:positionV>
            <wp:extent cx="6858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-4105275</wp:posOffset>
            </wp:positionV>
            <wp:extent cx="685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6193155</wp:posOffset>
            </wp:positionH>
            <wp:positionV relativeFrom="paragraph">
              <wp:posOffset>-4105275</wp:posOffset>
            </wp:positionV>
            <wp:extent cx="6858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-4105275</wp:posOffset>
            </wp:positionV>
            <wp:extent cx="6858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4418965</wp:posOffset>
            </wp:positionH>
            <wp:positionV relativeFrom="paragraph">
              <wp:posOffset>-3796665</wp:posOffset>
            </wp:positionV>
            <wp:extent cx="6858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-3796665</wp:posOffset>
            </wp:positionV>
            <wp:extent cx="685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6193155</wp:posOffset>
            </wp:positionH>
            <wp:positionV relativeFrom="paragraph">
              <wp:posOffset>-3796665</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-3796665</wp:posOffset>
            </wp:positionV>
            <wp:extent cx="6858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4418965</wp:posOffset>
            </wp:positionH>
            <wp:positionV relativeFrom="paragraph">
              <wp:posOffset>-3213735</wp:posOffset>
            </wp:positionV>
            <wp:extent cx="6858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-3213735</wp:posOffset>
            </wp:positionV>
            <wp:extent cx="6858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6193155</wp:posOffset>
            </wp:positionH>
            <wp:positionV relativeFrom="paragraph">
              <wp:posOffset>-3213735</wp:posOffset>
            </wp:positionV>
            <wp:extent cx="6858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-3213735</wp:posOffset>
            </wp:positionV>
            <wp:extent cx="6858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4418965</wp:posOffset>
            </wp:positionH>
            <wp:positionV relativeFrom="paragraph">
              <wp:posOffset>-2905125</wp:posOffset>
            </wp:positionV>
            <wp:extent cx="6858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-2905125</wp:posOffset>
            </wp:positionV>
            <wp:extent cx="6858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4418965</wp:posOffset>
            </wp:positionH>
            <wp:positionV relativeFrom="paragraph">
              <wp:posOffset>-2596515</wp:posOffset>
            </wp:positionV>
            <wp:extent cx="273431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34310" cy="171450"/>
                    </a:xfrm>
                    <a:prstGeom prst="rect">
                      <a:avLst/>
                    </a:prstGeom>
                    <a:noFill/>
                  </pic:spPr>
                </pic:pic>
              </a:graphicData>
            </a:graphic>
          </wp:anchor>
        </w:drawing>
        <w:drawing>
          <wp:anchor simplePos="0" relativeHeight="251657728" behindDoc="1" locked="0" layoutInCell="0" allowOverlap="1">
            <wp:simplePos x="0" y="0"/>
            <wp:positionH relativeFrom="column">
              <wp:posOffset>4418965</wp:posOffset>
            </wp:positionH>
            <wp:positionV relativeFrom="paragraph">
              <wp:posOffset>-2279650</wp:posOffset>
            </wp:positionV>
            <wp:extent cx="2734310"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34310" cy="308610"/>
                    </a:xfrm>
                    <a:prstGeom prst="rect">
                      <a:avLst/>
                    </a:prstGeom>
                    <a:noFill/>
                  </pic:spPr>
                </pic:pic>
              </a:graphicData>
            </a:graphic>
          </wp:anchor>
        </w:drawing>
        <w:drawing>
          <wp:anchor simplePos="0" relativeHeight="251657728" behindDoc="1" locked="0" layoutInCell="0" allowOverlap="1">
            <wp:simplePos x="0" y="0"/>
            <wp:positionH relativeFrom="column">
              <wp:posOffset>4418965</wp:posOffset>
            </wp:positionH>
            <wp:positionV relativeFrom="paragraph">
              <wp:posOffset>-1396365</wp:posOffset>
            </wp:positionV>
            <wp:extent cx="273431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34310" cy="171450"/>
                    </a:xfrm>
                    <a:prstGeom prst="rect">
                      <a:avLst/>
                    </a:prstGeom>
                    <a:noFill/>
                  </pic:spPr>
                </pic:pic>
              </a:graphicData>
            </a:graphic>
          </wp:anchor>
        </w:drawing>
        <w:drawing>
          <wp:anchor simplePos="0" relativeHeight="251657728" behindDoc="1" locked="0" layoutInCell="0" allowOverlap="1">
            <wp:simplePos x="0" y="0"/>
            <wp:positionH relativeFrom="column">
              <wp:posOffset>4418965</wp:posOffset>
            </wp:positionH>
            <wp:positionV relativeFrom="paragraph">
              <wp:posOffset>-1079500</wp:posOffset>
            </wp:positionV>
            <wp:extent cx="2734310" cy="308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34310" cy="308610"/>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-333375</wp:posOffset>
            </wp:positionV>
            <wp:extent cx="6858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-333375</wp:posOffset>
            </wp:positionV>
            <wp:extent cx="6858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4418965</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4418965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6193155</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6193155</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79" w:right="318"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DAMORA THERAPEUTICS,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1684655</wp:posOffset>
            </wp:positionH>
            <wp:positionV relativeFrom="paragraph">
              <wp:posOffset>94615</wp:posOffset>
            </wp:positionV>
            <wp:extent cx="5469255" cy="5397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69255" cy="539750"/>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780" w:type="dxa"/>
            <w:vAlign w:val="bottom"/>
          </w:tcPr>
          <w:p>
            <w:pPr>
              <w:spacing w:after="0"/>
              <w:rPr>
                <w:sz w:val="11"/>
                <w:szCs w:val="11"/>
                <w:color w:val="auto"/>
              </w:rPr>
            </w:pPr>
          </w:p>
        </w:tc>
        <w:tc>
          <w:tcPr>
            <w:tcW w:w="9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Mezzanine Equity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Shareholders’ Equity</w:t>
            </w: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Series B</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Non-Voting</w:t>
            </w:r>
          </w:p>
        </w:tc>
        <w:tc>
          <w:tcPr>
            <w:tcW w:w="120" w:type="dxa"/>
            <w:vAlign w:val="bottom"/>
          </w:tcPr>
          <w:p>
            <w:pPr>
              <w:spacing w:after="0"/>
              <w:rPr>
                <w:sz w:val="10"/>
                <w:szCs w:val="10"/>
                <w:color w:val="auto"/>
              </w:rPr>
            </w:pPr>
          </w:p>
        </w:tc>
        <w:tc>
          <w:tcPr>
            <w:tcW w:w="140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Series C</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vMerge w:val="restart"/>
          </w:tcPr>
          <w:p>
            <w:pPr>
              <w:ind w:left="28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2025</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Convertible Preferred</w:t>
            </w:r>
          </w:p>
        </w:tc>
        <w:tc>
          <w:tcPr>
            <w:tcW w:w="120" w:type="dxa"/>
            <w:vAlign w:val="bottom"/>
          </w:tcPr>
          <w:p>
            <w:pPr>
              <w:spacing w:after="0"/>
              <w:rPr>
                <w:sz w:val="10"/>
                <w:szCs w:val="10"/>
                <w:color w:val="auto"/>
              </w:rPr>
            </w:pPr>
          </w:p>
        </w:tc>
        <w:tc>
          <w:tcPr>
            <w:tcW w:w="140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Non-Voting</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Comprehensiv</w:t>
            </w: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5"/>
        </w:trPr>
        <w:tc>
          <w:tcPr>
            <w:tcW w:w="2780" w:type="dxa"/>
            <w:vAlign w:val="bottom"/>
            <w:vMerge w:val="continue"/>
          </w:tcPr>
          <w:p>
            <w:pPr>
              <w:spacing w:after="0"/>
              <w:rPr>
                <w:sz w:val="11"/>
                <w:szCs w:val="11"/>
                <w:color w:val="auto"/>
              </w:rPr>
            </w:pPr>
          </w:p>
        </w:tc>
        <w:tc>
          <w:tcPr>
            <w:tcW w:w="98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Preferred 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120" w:type="dxa"/>
            <w:vAlign w:val="bottom"/>
          </w:tcPr>
          <w:p>
            <w:pPr>
              <w:spacing w:after="0"/>
              <w:rPr>
                <w:sz w:val="11"/>
                <w:szCs w:val="11"/>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Convertible Preferred Shares</w:t>
            </w:r>
          </w:p>
        </w:tc>
        <w:tc>
          <w:tcPr>
            <w:tcW w:w="100" w:type="dxa"/>
            <w:vAlign w:val="bottom"/>
          </w:tcPr>
          <w:p>
            <w:pPr>
              <w:spacing w:after="0"/>
              <w:rPr>
                <w:sz w:val="11"/>
                <w:szCs w:val="11"/>
                <w:color w:val="auto"/>
              </w:rPr>
            </w:pPr>
          </w:p>
        </w:tc>
        <w:tc>
          <w:tcPr>
            <w:tcW w:w="13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2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0"/>
              </w:rPr>
              <w:t>e</w:t>
            </w:r>
          </w:p>
        </w:tc>
        <w:tc>
          <w:tcPr>
            <w:tcW w:w="1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Shareholders’</w:t>
            </w: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5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1"/>
                <w:szCs w:val="11"/>
                <w:color w:val="auto"/>
              </w:rPr>
            </w:pPr>
          </w:p>
        </w:tc>
        <w:tc>
          <w:tcPr>
            <w:tcW w:w="5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7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1"/>
                <w:szCs w:val="11"/>
                <w:color w:val="auto"/>
              </w:rPr>
            </w:pPr>
          </w:p>
        </w:tc>
        <w:tc>
          <w:tcPr>
            <w:tcW w:w="8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120" w:type="dxa"/>
            <w:vAlign w:val="bottom"/>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20" w:type="dxa"/>
            <w:vAlign w:val="bottom"/>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33"/>
        </w:trPr>
        <w:tc>
          <w:tcPr>
            <w:tcW w:w="27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Balance at June 30, 2025</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5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1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1,324,560</w:t>
            </w:r>
          </w:p>
        </w:tc>
        <w:tc>
          <w:tcPr>
            <w:tcW w:w="100" w:type="dxa"/>
            <w:vAlign w:val="bottom"/>
            <w:shd w:val="clear" w:color="auto" w:fill="CFF0FC"/>
          </w:tcPr>
          <w:p>
            <w:pPr>
              <w:spacing w:after="0"/>
              <w:rPr>
                <w:sz w:val="11"/>
                <w:szCs w:val="11"/>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292,297</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$(283,494</w:t>
            </w: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$9,612</w:t>
            </w:r>
          </w:p>
        </w:tc>
        <w:tc>
          <w:tcPr>
            <w:tcW w:w="0" w:type="dxa"/>
            <w:vAlign w:val="bottom"/>
          </w:tcPr>
          <w:p>
            <w:pPr>
              <w:spacing w:after="0"/>
              <w:rPr>
                <w:sz w:val="1"/>
                <w:szCs w:val="1"/>
                <w:color w:val="auto"/>
              </w:rPr>
            </w:pPr>
          </w:p>
        </w:tc>
      </w:tr>
      <w:tr>
        <w:trPr>
          <w:trHeight w:val="171"/>
        </w:trPr>
        <w:tc>
          <w:tcPr>
            <w:tcW w:w="2780" w:type="dxa"/>
            <w:vAlign w:val="bottom"/>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520" w:type="dxa"/>
            <w:vAlign w:val="bottom"/>
            <w:gridSpan w:val="2"/>
            <w:vMerge w:val="continue"/>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4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2,652</w:t>
            </w:r>
          </w:p>
        </w:tc>
        <w:tc>
          <w:tcPr>
            <w:tcW w:w="100" w:type="dxa"/>
            <w:vAlign w:val="bottom"/>
            <w:shd w:val="clear" w:color="auto" w:fill="CFF0FC"/>
          </w:tcPr>
          <w:p>
            <w:pPr>
              <w:spacing w:after="0"/>
              <w:rPr>
                <w:sz w:val="12"/>
                <w:szCs w:val="12"/>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1"/>
        </w:trPr>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with vesting of restricted stock units</w:t>
            </w:r>
          </w:p>
        </w:tc>
        <w:tc>
          <w:tcPr>
            <w:tcW w:w="4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income, net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2"/>
        </w:trPr>
        <w:tc>
          <w:tcPr>
            <w:tcW w:w="27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right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(3,133)</w:t>
            </w: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(3,133)</w:t>
            </w:r>
          </w:p>
        </w:tc>
        <w:tc>
          <w:tcPr>
            <w:tcW w:w="0" w:type="dxa"/>
            <w:vAlign w:val="bottom"/>
          </w:tcPr>
          <w:p>
            <w:pPr>
              <w:spacing w:after="0"/>
              <w:rPr>
                <w:sz w:val="1"/>
                <w:szCs w:val="1"/>
                <w:color w:val="auto"/>
              </w:rPr>
            </w:pPr>
          </w:p>
        </w:tc>
      </w:tr>
      <w:tr>
        <w:trPr>
          <w:trHeight w:val="133"/>
        </w:trPr>
        <w:tc>
          <w:tcPr>
            <w:tcW w:w="278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Balance at September 30, 2025</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vMerge w:val="restart"/>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1,341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1,327,212</w:t>
            </w:r>
          </w:p>
        </w:tc>
        <w:tc>
          <w:tcPr>
            <w:tcW w:w="10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292,470</w:t>
            </w:r>
          </w:p>
        </w:tc>
        <w:tc>
          <w:tcPr>
            <w:tcW w:w="7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$(286,627</w:t>
            </w:r>
          </w:p>
        </w:tc>
        <w:tc>
          <w:tcPr>
            <w:tcW w:w="120" w:type="dxa"/>
            <w:vAlign w:val="bottom"/>
            <w:vMerge w:val="restart"/>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20" w:type="dxa"/>
            <w:vAlign w:val="bottom"/>
            <w:vMerge w:val="restart"/>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$6,666</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780" w:type="dxa"/>
            <w:vAlign w:val="bottom"/>
          </w:tcPr>
          <w:p>
            <w:pPr>
              <w:spacing w:after="0"/>
              <w:rPr>
                <w:sz w:val="24"/>
                <w:szCs w:val="24"/>
                <w:color w:val="auto"/>
              </w:rPr>
            </w:pPr>
          </w:p>
        </w:tc>
        <w:tc>
          <w:tcPr>
            <w:tcW w:w="9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Mezzanine Equity</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Shareholders’ Equity</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Series B</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Non-Voting</w:t>
            </w:r>
          </w:p>
        </w:tc>
        <w:tc>
          <w:tcPr>
            <w:tcW w:w="120" w:type="dxa"/>
            <w:vAlign w:val="bottom"/>
          </w:tcPr>
          <w:p>
            <w:pPr>
              <w:spacing w:after="0"/>
              <w:rPr>
                <w:sz w:val="10"/>
                <w:szCs w:val="10"/>
                <w:color w:val="auto"/>
              </w:rPr>
            </w:pPr>
          </w:p>
        </w:tc>
        <w:tc>
          <w:tcPr>
            <w:tcW w:w="140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Series C</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vMerge w:val="restart"/>
          </w:tcPr>
          <w:p>
            <w:pPr>
              <w:ind w:left="28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2026</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Convertible Preferred</w:t>
            </w:r>
          </w:p>
        </w:tc>
        <w:tc>
          <w:tcPr>
            <w:tcW w:w="120" w:type="dxa"/>
            <w:vAlign w:val="bottom"/>
          </w:tcPr>
          <w:p>
            <w:pPr>
              <w:spacing w:after="0"/>
              <w:rPr>
                <w:sz w:val="10"/>
                <w:szCs w:val="10"/>
                <w:color w:val="auto"/>
              </w:rPr>
            </w:pPr>
          </w:p>
        </w:tc>
        <w:tc>
          <w:tcPr>
            <w:tcW w:w="140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Non-Voting</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Comprehensiv</w:t>
            </w: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5"/>
        </w:trPr>
        <w:tc>
          <w:tcPr>
            <w:tcW w:w="2780" w:type="dxa"/>
            <w:vAlign w:val="bottom"/>
            <w:vMerge w:val="continue"/>
          </w:tcPr>
          <w:p>
            <w:pPr>
              <w:spacing w:after="0"/>
              <w:rPr>
                <w:sz w:val="11"/>
                <w:szCs w:val="11"/>
                <w:color w:val="auto"/>
              </w:rPr>
            </w:pPr>
          </w:p>
        </w:tc>
        <w:tc>
          <w:tcPr>
            <w:tcW w:w="98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Preferred 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120" w:type="dxa"/>
            <w:vAlign w:val="bottom"/>
          </w:tcPr>
          <w:p>
            <w:pPr>
              <w:spacing w:after="0"/>
              <w:rPr>
                <w:sz w:val="11"/>
                <w:szCs w:val="11"/>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Convertible Preferred Shares</w:t>
            </w:r>
          </w:p>
        </w:tc>
        <w:tc>
          <w:tcPr>
            <w:tcW w:w="100" w:type="dxa"/>
            <w:vAlign w:val="bottom"/>
          </w:tcPr>
          <w:p>
            <w:pPr>
              <w:spacing w:after="0"/>
              <w:rPr>
                <w:sz w:val="11"/>
                <w:szCs w:val="11"/>
                <w:color w:val="auto"/>
              </w:rPr>
            </w:pPr>
          </w:p>
        </w:tc>
        <w:tc>
          <w:tcPr>
            <w:tcW w:w="13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2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0"/>
              </w:rPr>
              <w:t>e</w:t>
            </w:r>
          </w:p>
        </w:tc>
        <w:tc>
          <w:tcPr>
            <w:tcW w:w="1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Shareholders’</w:t>
            </w: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2"/>
                <w:szCs w:val="12"/>
                <w:color w:val="auto"/>
              </w:rPr>
            </w:pPr>
          </w:p>
        </w:tc>
        <w:tc>
          <w:tcPr>
            <w:tcW w:w="5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2"/>
                <w:szCs w:val="12"/>
                <w:color w:val="auto"/>
              </w:rPr>
            </w:pPr>
          </w:p>
        </w:tc>
        <w:tc>
          <w:tcPr>
            <w:tcW w:w="7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120" w:type="dxa"/>
            <w:vAlign w:val="bottom"/>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12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33"/>
        </w:trPr>
        <w:tc>
          <w:tcPr>
            <w:tcW w:w="27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Balance at June 30, 2026</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1"/>
                <w:szCs w:val="11"/>
                <w:color w:val="auto"/>
              </w:rPr>
            </w:pPr>
          </w:p>
        </w:tc>
        <w:tc>
          <w:tcPr>
            <w:tcW w:w="6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16,366</w:t>
            </w:r>
          </w:p>
        </w:tc>
        <w:tc>
          <w:tcPr>
            <w:tcW w:w="6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$117,621</w:t>
            </w:r>
          </w:p>
        </w:tc>
        <w:tc>
          <w:tcPr>
            <w:tcW w:w="6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$12,376</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61,734,601</w:t>
            </w:r>
          </w:p>
        </w:tc>
        <w:tc>
          <w:tcPr>
            <w:tcW w:w="5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$931,649</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$(546,320</w:t>
            </w: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$516,059</w:t>
            </w:r>
          </w:p>
        </w:tc>
        <w:tc>
          <w:tcPr>
            <w:tcW w:w="0" w:type="dxa"/>
            <w:vAlign w:val="bottom"/>
          </w:tcPr>
          <w:p>
            <w:pPr>
              <w:spacing w:after="0"/>
              <w:rPr>
                <w:sz w:val="1"/>
                <w:szCs w:val="1"/>
                <w:color w:val="auto"/>
              </w:rPr>
            </w:pPr>
          </w:p>
        </w:tc>
      </w:tr>
      <w:tr>
        <w:trPr>
          <w:trHeight w:val="171"/>
        </w:trPr>
        <w:tc>
          <w:tcPr>
            <w:tcW w:w="2780" w:type="dxa"/>
            <w:vAlign w:val="bottom"/>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520" w:type="dxa"/>
            <w:vAlign w:val="bottom"/>
            <w:gridSpan w:val="2"/>
            <w:vMerge w:val="continue"/>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500" w:type="dxa"/>
            <w:vAlign w:val="bottom"/>
            <w:gridSpan w:val="2"/>
            <w:vMerge w:val="continue"/>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7,541</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7,541</w:t>
            </w: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40"/>
              <w:spacing w:after="0" w:line="139" w:lineRule="exact"/>
              <w:rPr>
                <w:sz w:val="20"/>
                <w:szCs w:val="20"/>
                <w:color w:val="auto"/>
              </w:rPr>
            </w:pPr>
            <w:r>
              <w:rPr>
                <w:rFonts w:ascii="Times New Roman" w:cs="Times New Roman" w:eastAsia="Times New Roman" w:hAnsi="Times New Roman"/>
                <w:sz w:val="14"/>
                <w:szCs w:val="14"/>
                <w:color w:val="auto"/>
              </w:rPr>
              <w:t>Issuance of ordinary shares in connection</w:t>
            </w: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with vesting of</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100" w:type="dxa"/>
            <w:vAlign w:val="bottom"/>
            <w:shd w:val="clear" w:color="auto" w:fill="CFF0FC"/>
          </w:tcPr>
          <w:p>
            <w:pPr>
              <w:spacing w:after="0"/>
              <w:rPr>
                <w:sz w:val="12"/>
                <w:szCs w:val="12"/>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restricted share units</w:t>
            </w:r>
          </w:p>
        </w:tc>
        <w:tc>
          <w:tcPr>
            <w:tcW w:w="4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Exercise of options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40"/>
              <w:spacing w:after="0" w:line="139" w:lineRule="exact"/>
              <w:rPr>
                <w:sz w:val="20"/>
                <w:szCs w:val="20"/>
                <w:color w:val="auto"/>
              </w:rPr>
            </w:pPr>
            <w:r>
              <w:rPr>
                <w:rFonts w:ascii="Times New Roman" w:cs="Times New Roman" w:eastAsia="Times New Roman" w:hAnsi="Times New Roman"/>
                <w:sz w:val="14"/>
                <w:szCs w:val="14"/>
                <w:color w:val="auto"/>
              </w:rPr>
              <w:t>Proceeds from At-the-Market facility, net of</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167,423</w:t>
            </w:r>
          </w:p>
        </w:tc>
        <w:tc>
          <w:tcPr>
            <w:tcW w:w="100" w:type="dxa"/>
            <w:vAlign w:val="bottom"/>
            <w:shd w:val="clear" w:color="auto" w:fill="CFF0FC"/>
          </w:tcPr>
          <w:p>
            <w:pPr>
              <w:spacing w:after="0"/>
              <w:rPr>
                <w:sz w:val="12"/>
                <w:szCs w:val="12"/>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5,063</w:t>
            </w: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5,063</w:t>
            </w:r>
          </w:p>
        </w:tc>
        <w:tc>
          <w:tcPr>
            <w:tcW w:w="0" w:type="dxa"/>
            <w:vAlign w:val="bottom"/>
          </w:tcPr>
          <w:p>
            <w:pPr>
              <w:spacing w:after="0"/>
              <w:rPr>
                <w:sz w:val="1"/>
                <w:szCs w:val="1"/>
                <w:color w:val="auto"/>
              </w:rPr>
            </w:pPr>
          </w:p>
        </w:tc>
      </w:tr>
      <w:tr>
        <w:trPr>
          <w:trHeight w:val="171"/>
        </w:trPr>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issuance costs of $226</w:t>
            </w:r>
          </w:p>
        </w:tc>
        <w:tc>
          <w:tcPr>
            <w:tcW w:w="4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loss, net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0" w:type="dxa"/>
            <w:vAlign w:val="bottom"/>
          </w:tcPr>
          <w:p>
            <w:pPr>
              <w:spacing w:after="0"/>
              <w:rPr>
                <w:sz w:val="1"/>
                <w:szCs w:val="1"/>
                <w:color w:val="auto"/>
              </w:rPr>
            </w:pPr>
          </w:p>
        </w:tc>
      </w:tr>
      <w:tr>
        <w:trPr>
          <w:trHeight w:val="162"/>
        </w:trPr>
        <w:tc>
          <w:tcPr>
            <w:tcW w:w="27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right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(31,991)</w:t>
            </w: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(31,991)</w:t>
            </w:r>
          </w:p>
        </w:tc>
        <w:tc>
          <w:tcPr>
            <w:tcW w:w="0" w:type="dxa"/>
            <w:vAlign w:val="bottom"/>
          </w:tcPr>
          <w:p>
            <w:pPr>
              <w:spacing w:after="0"/>
              <w:rPr>
                <w:sz w:val="1"/>
                <w:szCs w:val="1"/>
                <w:color w:val="auto"/>
              </w:rPr>
            </w:pPr>
          </w:p>
        </w:tc>
      </w:tr>
      <w:tr>
        <w:trPr>
          <w:trHeight w:val="133"/>
        </w:trPr>
        <w:tc>
          <w:tcPr>
            <w:tcW w:w="278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Balance at September 30, 2026</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16,366</w:t>
            </w:r>
          </w:p>
        </w:tc>
        <w:tc>
          <w:tcPr>
            <w:tcW w:w="100" w:type="dxa"/>
            <w:vAlign w:val="bottom"/>
            <w:vMerge w:val="restart"/>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117,621</w:t>
            </w:r>
          </w:p>
        </w:tc>
        <w:tc>
          <w:tcPr>
            <w:tcW w:w="120" w:type="dxa"/>
            <w:vAlign w:val="bottom"/>
            <w:vMerge w:val="restart"/>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12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$12,376</w:t>
            </w:r>
          </w:p>
        </w:tc>
        <w:tc>
          <w:tcPr>
            <w:tcW w:w="100" w:type="dxa"/>
            <w:vAlign w:val="bottom"/>
            <w:vMerge w:val="restart"/>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61,904,742</w:t>
            </w:r>
          </w:p>
        </w:tc>
        <w:tc>
          <w:tcPr>
            <w:tcW w:w="100" w:type="dxa"/>
            <w:vAlign w:val="bottom"/>
            <w:vMerge w:val="restart"/>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vMerge w:val="restart"/>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944,307</w:t>
            </w:r>
          </w:p>
        </w:tc>
        <w:tc>
          <w:tcPr>
            <w:tcW w:w="7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$(578,311</w:t>
            </w:r>
          </w:p>
        </w:tc>
        <w:tc>
          <w:tcPr>
            <w:tcW w:w="120" w:type="dxa"/>
            <w:vAlign w:val="bottom"/>
            <w:vMerge w:val="restart"/>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vMerge w:val="restart"/>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$495,761</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1761490</wp:posOffset>
            </wp:positionH>
            <wp:positionV relativeFrom="paragraph">
              <wp:posOffset>-3209290</wp:posOffset>
            </wp:positionV>
            <wp:extent cx="5391785" cy="9855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91785" cy="98552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-1255395</wp:posOffset>
            </wp:positionV>
            <wp:extent cx="908685" cy="3600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08685" cy="360045"/>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-1139190</wp:posOffset>
            </wp:positionV>
            <wp:extent cx="68580" cy="2317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231775"/>
                    </a:xfrm>
                    <a:prstGeom prst="rect">
                      <a:avLst/>
                    </a:prstGeom>
                    <a:noFill/>
                  </pic:spPr>
                </pic:pic>
              </a:graphicData>
            </a:graphic>
          </wp:anchor>
        </w:drawing>
        <w:drawing>
          <wp:anchor simplePos="0" relativeHeight="251657728" behindDoc="1" locked="0" layoutInCell="0" allowOverlap="1">
            <wp:simplePos x="0" y="0"/>
            <wp:positionH relativeFrom="column">
              <wp:posOffset>3724275</wp:posOffset>
            </wp:positionH>
            <wp:positionV relativeFrom="paragraph">
              <wp:posOffset>-1139190</wp:posOffset>
            </wp:positionV>
            <wp:extent cx="68580" cy="2317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231775"/>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-1139190</wp:posOffset>
            </wp:positionV>
            <wp:extent cx="68580" cy="2317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231775"/>
                    </a:xfrm>
                    <a:prstGeom prst="rect">
                      <a:avLst/>
                    </a:prstGeom>
                    <a:noFill/>
                  </pic:spPr>
                </pic:pic>
              </a:graphicData>
            </a:graphic>
          </wp:anchor>
        </w:drawing>
        <w:drawing>
          <wp:anchor simplePos="0" relativeHeight="251657728" behindDoc="1" locked="0" layoutInCell="0" allowOverlap="1">
            <wp:simplePos x="0" y="0"/>
            <wp:positionH relativeFrom="column">
              <wp:posOffset>4864735</wp:posOffset>
            </wp:positionH>
            <wp:positionV relativeFrom="paragraph">
              <wp:posOffset>-1139190</wp:posOffset>
            </wp:positionV>
            <wp:extent cx="68580" cy="2317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231775"/>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-1139190</wp:posOffset>
            </wp:positionV>
            <wp:extent cx="76835" cy="2317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231775"/>
                    </a:xfrm>
                    <a:prstGeom prst="rect">
                      <a:avLst/>
                    </a:prstGeom>
                    <a:noFill/>
                  </pic:spPr>
                </pic:pic>
              </a:graphicData>
            </a:graphic>
          </wp:anchor>
        </w:drawing>
        <w:drawing>
          <wp:anchor simplePos="0" relativeHeight="251657728" behindDoc="1" locked="0" layoutInCell="0" allowOverlap="1">
            <wp:simplePos x="0" y="0"/>
            <wp:positionH relativeFrom="column">
              <wp:posOffset>5627370</wp:posOffset>
            </wp:positionH>
            <wp:positionV relativeFrom="paragraph">
              <wp:posOffset>-1139190</wp:posOffset>
            </wp:positionV>
            <wp:extent cx="77470" cy="2317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231775"/>
                    </a:xfrm>
                    <a:prstGeom prst="rect">
                      <a:avLst/>
                    </a:prstGeom>
                    <a:noFill/>
                  </pic:spPr>
                </pic:pic>
              </a:graphicData>
            </a:graphic>
          </wp:anchor>
        </w:drawing>
        <w:drawing>
          <wp:anchor simplePos="0" relativeHeight="251657728" behindDoc="1" locked="0" layoutInCell="0" allowOverlap="1">
            <wp:simplePos x="0" y="0"/>
            <wp:positionH relativeFrom="column">
              <wp:posOffset>6107430</wp:posOffset>
            </wp:positionH>
            <wp:positionV relativeFrom="paragraph">
              <wp:posOffset>-1139190</wp:posOffset>
            </wp:positionV>
            <wp:extent cx="76835" cy="2317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231775"/>
                    </a:xfrm>
                    <a:prstGeom prst="rect">
                      <a:avLst/>
                    </a:prstGeom>
                    <a:noFill/>
                  </pic:spPr>
                </pic:pic>
              </a:graphicData>
            </a:graphic>
          </wp:anchor>
        </w:drawing>
        <w:drawing>
          <wp:anchor simplePos="0" relativeHeight="251657728" behindDoc="1" locked="0" layoutInCell="0" allowOverlap="1">
            <wp:simplePos x="0" y="0"/>
            <wp:positionH relativeFrom="column">
              <wp:posOffset>6630670</wp:posOffset>
            </wp:positionH>
            <wp:positionV relativeFrom="paragraph">
              <wp:posOffset>-1139190</wp:posOffset>
            </wp:positionV>
            <wp:extent cx="68580" cy="2317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231775"/>
                    </a:xfrm>
                    <a:prstGeom prst="rect">
                      <a:avLst/>
                    </a:prstGeom>
                    <a:noFill/>
                  </pic:spPr>
                </pic:pic>
              </a:graphicData>
            </a:graphic>
          </wp:anchor>
        </w:drawing>
      </w:r>
    </w:p>
    <w:p>
      <w:pPr>
        <w:sectPr>
          <w:pgSz w:w="11920" w:h="16838" w:orient="portrait"/>
          <w:cols w:equalWidth="0" w:num="1">
            <w:col w:w="11260"/>
          </w:cols>
          <w:pgMar w:left="340" w:top="1179" w:right="318" w:bottom="1440" w:gutter="0" w:footer="0" w:header="0"/>
        </w:sectPr>
      </w:pPr>
    </w:p>
    <w:bookmarkStart w:id="7" w:name="page8"/>
    <w:bookmarkEnd w:id="7"/>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1900555</wp:posOffset>
            </wp:positionH>
            <wp:positionV relativeFrom="page">
              <wp:posOffset>904875</wp:posOffset>
            </wp:positionV>
            <wp:extent cx="5469255" cy="5397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69255" cy="5397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7"/>
        </w:trPr>
        <w:tc>
          <w:tcPr>
            <w:tcW w:w="2780" w:type="dxa"/>
            <w:vAlign w:val="bottom"/>
          </w:tcPr>
          <w:p>
            <w:pPr>
              <w:spacing w:after="0"/>
              <w:rPr>
                <w:sz w:val="11"/>
                <w:szCs w:val="11"/>
                <w:color w:val="auto"/>
              </w:rPr>
            </w:pPr>
          </w:p>
        </w:tc>
        <w:tc>
          <w:tcPr>
            <w:tcW w:w="9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Mezzanine Equity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Shareholders’ Equity</w:t>
            </w: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Series B</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Non-Voting</w:t>
            </w:r>
          </w:p>
        </w:tc>
        <w:tc>
          <w:tcPr>
            <w:tcW w:w="120" w:type="dxa"/>
            <w:vAlign w:val="bottom"/>
          </w:tcPr>
          <w:p>
            <w:pPr>
              <w:spacing w:after="0"/>
              <w:rPr>
                <w:sz w:val="10"/>
                <w:szCs w:val="10"/>
                <w:color w:val="auto"/>
              </w:rPr>
            </w:pPr>
          </w:p>
        </w:tc>
        <w:tc>
          <w:tcPr>
            <w:tcW w:w="140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Series C</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Convertible Preferred</w:t>
            </w:r>
          </w:p>
        </w:tc>
        <w:tc>
          <w:tcPr>
            <w:tcW w:w="120" w:type="dxa"/>
            <w:vAlign w:val="bottom"/>
          </w:tcPr>
          <w:p>
            <w:pPr>
              <w:spacing w:after="0"/>
              <w:rPr>
                <w:sz w:val="10"/>
                <w:szCs w:val="10"/>
                <w:color w:val="auto"/>
              </w:rPr>
            </w:pPr>
          </w:p>
        </w:tc>
        <w:tc>
          <w:tcPr>
            <w:tcW w:w="140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Non-Voting</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Comprehensiv</w:t>
            </w: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5"/>
        </w:trPr>
        <w:tc>
          <w:tcPr>
            <w:tcW w:w="278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Nine Months Ended September 30, 2025</w:t>
            </w:r>
          </w:p>
        </w:tc>
        <w:tc>
          <w:tcPr>
            <w:tcW w:w="9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Preferred 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120" w:type="dxa"/>
            <w:vAlign w:val="bottom"/>
          </w:tcPr>
          <w:p>
            <w:pPr>
              <w:spacing w:after="0"/>
              <w:rPr>
                <w:sz w:val="11"/>
                <w:szCs w:val="11"/>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Convertible Preferred Shares</w:t>
            </w:r>
          </w:p>
        </w:tc>
        <w:tc>
          <w:tcPr>
            <w:tcW w:w="100" w:type="dxa"/>
            <w:vAlign w:val="bottom"/>
          </w:tcPr>
          <w:p>
            <w:pPr>
              <w:spacing w:after="0"/>
              <w:rPr>
                <w:sz w:val="11"/>
                <w:szCs w:val="11"/>
                <w:color w:val="auto"/>
              </w:rPr>
            </w:pPr>
          </w:p>
        </w:tc>
        <w:tc>
          <w:tcPr>
            <w:tcW w:w="13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2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0"/>
              </w:rPr>
              <w:t>e</w:t>
            </w:r>
          </w:p>
        </w:tc>
        <w:tc>
          <w:tcPr>
            <w:tcW w:w="1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Shareholders’</w:t>
            </w: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1"/>
                <w:szCs w:val="11"/>
                <w:color w:val="auto"/>
              </w:rPr>
            </w:pPr>
          </w:p>
        </w:tc>
        <w:tc>
          <w:tcPr>
            <w:tcW w:w="5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1"/>
                <w:szCs w:val="11"/>
                <w:color w:val="auto"/>
              </w:rPr>
            </w:pPr>
          </w:p>
        </w:tc>
        <w:tc>
          <w:tcPr>
            <w:tcW w:w="8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120" w:type="dxa"/>
            <w:vAlign w:val="bottom"/>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20" w:type="dxa"/>
            <w:vAlign w:val="bottom"/>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33"/>
        </w:trPr>
        <w:tc>
          <w:tcPr>
            <w:tcW w:w="27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Balance at December 31, 2024</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5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1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1,316,989</w:t>
            </w:r>
          </w:p>
        </w:tc>
        <w:tc>
          <w:tcPr>
            <w:tcW w:w="100" w:type="dxa"/>
            <w:vAlign w:val="bottom"/>
            <w:shd w:val="clear" w:color="auto" w:fill="CFF0FC"/>
          </w:tcPr>
          <w:p>
            <w:pPr>
              <w:spacing w:after="0"/>
              <w:rPr>
                <w:sz w:val="11"/>
                <w:szCs w:val="11"/>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$291,898</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$(277,524</w:t>
            </w: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$14,471</w:t>
            </w:r>
          </w:p>
        </w:tc>
        <w:tc>
          <w:tcPr>
            <w:tcW w:w="0" w:type="dxa"/>
            <w:vAlign w:val="bottom"/>
          </w:tcPr>
          <w:p>
            <w:pPr>
              <w:spacing w:after="0"/>
              <w:rPr>
                <w:sz w:val="1"/>
                <w:szCs w:val="1"/>
                <w:color w:val="auto"/>
              </w:rPr>
            </w:pPr>
          </w:p>
        </w:tc>
      </w:tr>
      <w:tr>
        <w:trPr>
          <w:trHeight w:val="171"/>
        </w:trPr>
        <w:tc>
          <w:tcPr>
            <w:tcW w:w="2780" w:type="dxa"/>
            <w:vAlign w:val="bottom"/>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520" w:type="dxa"/>
            <w:vAlign w:val="bottom"/>
            <w:gridSpan w:val="2"/>
            <w:vMerge w:val="continue"/>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Conversion of Series A Preferred Stock</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39"/>
        </w:trPr>
        <w:tc>
          <w:tcPr>
            <w:tcW w:w="278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8,022</w:t>
            </w:r>
          </w:p>
        </w:tc>
        <w:tc>
          <w:tcPr>
            <w:tcW w:w="10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1"/>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 vesting of restricted stock units</w:t>
            </w: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Other comprehensive income, net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0" w:type="dxa"/>
            <w:vAlign w:val="bottom"/>
          </w:tcPr>
          <w:p>
            <w:pPr>
              <w:spacing w:after="0"/>
              <w:rPr>
                <w:sz w:val="1"/>
                <w:szCs w:val="1"/>
                <w:color w:val="auto"/>
              </w:rPr>
            </w:pPr>
          </w:p>
        </w:tc>
      </w:tr>
      <w:tr>
        <w:trPr>
          <w:trHeight w:val="162"/>
        </w:trPr>
        <w:tc>
          <w:tcPr>
            <w:tcW w:w="2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(9,103)</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(9,103)</w:t>
            </w:r>
          </w:p>
        </w:tc>
        <w:tc>
          <w:tcPr>
            <w:tcW w:w="0" w:type="dxa"/>
            <w:vAlign w:val="bottom"/>
          </w:tcPr>
          <w:p>
            <w:pPr>
              <w:spacing w:after="0"/>
              <w:rPr>
                <w:sz w:val="1"/>
                <w:szCs w:val="1"/>
                <w:color w:val="auto"/>
              </w:rPr>
            </w:pPr>
          </w:p>
        </w:tc>
      </w:tr>
      <w:tr>
        <w:trPr>
          <w:trHeight w:val="133"/>
        </w:trPr>
        <w:tc>
          <w:tcPr>
            <w:tcW w:w="27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Balance at September 30, 2025</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vMerge w:val="restart"/>
            <w:shd w:val="clear" w:color="auto" w:fill="CFF0FC"/>
          </w:tcPr>
          <w:p>
            <w:pPr>
              <w:spacing w:after="0"/>
              <w:rPr>
                <w:sz w:val="11"/>
                <w:szCs w:val="11"/>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1,341</w:t>
            </w: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1,327,212</w:t>
            </w:r>
          </w:p>
        </w:tc>
        <w:tc>
          <w:tcPr>
            <w:tcW w:w="100" w:type="dxa"/>
            <w:vAlign w:val="bottom"/>
            <w:shd w:val="clear" w:color="auto" w:fill="CFF0FC"/>
          </w:tcPr>
          <w:p>
            <w:pPr>
              <w:spacing w:after="0"/>
              <w:rPr>
                <w:sz w:val="11"/>
                <w:szCs w:val="11"/>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292,470</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$(286,627</w:t>
            </w:r>
          </w:p>
        </w:tc>
        <w:tc>
          <w:tcPr>
            <w:tcW w:w="120" w:type="dxa"/>
            <w:vAlign w:val="bottom"/>
            <w:vMerge w:val="restart"/>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20" w:type="dxa"/>
            <w:vAlign w:val="bottom"/>
            <w:vMerge w:val="restart"/>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$6,666</w:t>
            </w:r>
          </w:p>
        </w:tc>
        <w:tc>
          <w:tcPr>
            <w:tcW w:w="0" w:type="dxa"/>
            <w:vAlign w:val="bottom"/>
          </w:tcPr>
          <w:p>
            <w:pPr>
              <w:spacing w:after="0"/>
              <w:rPr>
                <w:sz w:val="1"/>
                <w:szCs w:val="1"/>
                <w:color w:val="auto"/>
              </w:rPr>
            </w:pPr>
          </w:p>
        </w:tc>
      </w:tr>
      <w:tr>
        <w:trPr>
          <w:trHeight w:val="211"/>
        </w:trPr>
        <w:tc>
          <w:tcPr>
            <w:tcW w:w="27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vMerge w:val="continue"/>
            <w:shd w:val="clear" w:color="auto" w:fill="CFF0FC"/>
          </w:tcPr>
          <w:p>
            <w:pPr>
              <w:spacing w:after="0"/>
              <w:rPr>
                <w:sz w:val="18"/>
                <w:szCs w:val="18"/>
                <w:color w:val="auto"/>
              </w:rPr>
            </w:pPr>
          </w:p>
        </w:tc>
        <w:tc>
          <w:tcPr>
            <w:tcW w:w="42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vMerge w:val="continue"/>
            <w:shd w:val="clear" w:color="auto" w:fill="CFF0FC"/>
          </w:tcPr>
          <w:p>
            <w:pPr>
              <w:spacing w:after="0"/>
              <w:rPr>
                <w:sz w:val="18"/>
                <w:szCs w:val="18"/>
                <w:color w:val="auto"/>
              </w:rPr>
            </w:pPr>
          </w:p>
        </w:tc>
        <w:tc>
          <w:tcPr>
            <w:tcW w:w="80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vMerge w:val="continue"/>
            <w:shd w:val="clear" w:color="auto" w:fill="CFF0FC"/>
          </w:tcPr>
          <w:p>
            <w:pPr>
              <w:spacing w:after="0"/>
              <w:rPr>
                <w:sz w:val="18"/>
                <w:szCs w:val="18"/>
                <w:color w:val="auto"/>
              </w:rPr>
            </w:pPr>
          </w:p>
        </w:tc>
        <w:tc>
          <w:tcPr>
            <w:tcW w:w="58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vMerge w:val="continue"/>
            <w:shd w:val="clear" w:color="auto" w:fill="CFF0FC"/>
          </w:tcPr>
          <w:p>
            <w:pPr>
              <w:spacing w:after="0"/>
              <w:rPr>
                <w:sz w:val="18"/>
                <w:szCs w:val="18"/>
                <w:color w:val="auto"/>
              </w:rPr>
            </w:pPr>
          </w:p>
        </w:tc>
        <w:tc>
          <w:tcPr>
            <w:tcW w:w="70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vMerge w:val="continue"/>
            <w:shd w:val="clear" w:color="auto" w:fill="CFF0FC"/>
          </w:tcPr>
          <w:p>
            <w:pPr>
              <w:spacing w:after="0"/>
              <w:rPr>
                <w:sz w:val="18"/>
                <w:szCs w:val="18"/>
                <w:color w:val="auto"/>
              </w:rPr>
            </w:pPr>
          </w:p>
        </w:tc>
        <w:tc>
          <w:tcPr>
            <w:tcW w:w="70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780" w:type="dxa"/>
            <w:vAlign w:val="bottom"/>
          </w:tcPr>
          <w:p>
            <w:pPr>
              <w:spacing w:after="0"/>
              <w:rPr>
                <w:sz w:val="22"/>
                <w:szCs w:val="22"/>
                <w:color w:val="auto"/>
              </w:rPr>
            </w:pPr>
          </w:p>
        </w:tc>
        <w:tc>
          <w:tcPr>
            <w:tcW w:w="9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Mezzanine Equity</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Shareholders’ Equity</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2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Series B</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Non-Voting</w:t>
            </w:r>
          </w:p>
        </w:tc>
        <w:tc>
          <w:tcPr>
            <w:tcW w:w="120" w:type="dxa"/>
            <w:vAlign w:val="bottom"/>
          </w:tcPr>
          <w:p>
            <w:pPr>
              <w:spacing w:after="0"/>
              <w:rPr>
                <w:sz w:val="10"/>
                <w:szCs w:val="10"/>
                <w:color w:val="auto"/>
              </w:rPr>
            </w:pPr>
          </w:p>
        </w:tc>
        <w:tc>
          <w:tcPr>
            <w:tcW w:w="140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Series C</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Convertible Preferred</w:t>
            </w:r>
          </w:p>
        </w:tc>
        <w:tc>
          <w:tcPr>
            <w:tcW w:w="120" w:type="dxa"/>
            <w:vAlign w:val="bottom"/>
          </w:tcPr>
          <w:p>
            <w:pPr>
              <w:spacing w:after="0"/>
              <w:rPr>
                <w:sz w:val="10"/>
                <w:szCs w:val="10"/>
                <w:color w:val="auto"/>
              </w:rPr>
            </w:pPr>
          </w:p>
        </w:tc>
        <w:tc>
          <w:tcPr>
            <w:tcW w:w="140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Non-Voting</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Comprehensiv</w:t>
            </w: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5"/>
        </w:trPr>
        <w:tc>
          <w:tcPr>
            <w:tcW w:w="278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Nine Months Ended September 30, 2026</w:t>
            </w:r>
          </w:p>
        </w:tc>
        <w:tc>
          <w:tcPr>
            <w:tcW w:w="9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Preferred 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120" w:type="dxa"/>
            <w:vAlign w:val="bottom"/>
          </w:tcPr>
          <w:p>
            <w:pPr>
              <w:spacing w:after="0"/>
              <w:rPr>
                <w:sz w:val="11"/>
                <w:szCs w:val="11"/>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Convertible Preferred Shares</w:t>
            </w:r>
          </w:p>
        </w:tc>
        <w:tc>
          <w:tcPr>
            <w:tcW w:w="100" w:type="dxa"/>
            <w:vAlign w:val="bottom"/>
          </w:tcPr>
          <w:p>
            <w:pPr>
              <w:spacing w:after="0"/>
              <w:rPr>
                <w:sz w:val="11"/>
                <w:szCs w:val="11"/>
                <w:color w:val="auto"/>
              </w:rPr>
            </w:pPr>
          </w:p>
        </w:tc>
        <w:tc>
          <w:tcPr>
            <w:tcW w:w="13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2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0"/>
              </w:rPr>
              <w:t>e</w:t>
            </w:r>
          </w:p>
        </w:tc>
        <w:tc>
          <w:tcPr>
            <w:tcW w:w="1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Shareholders’</w:t>
            </w:r>
          </w:p>
        </w:tc>
        <w:tc>
          <w:tcPr>
            <w:tcW w:w="0" w:type="dxa"/>
            <w:vAlign w:val="bottom"/>
          </w:tcPr>
          <w:p>
            <w:pPr>
              <w:spacing w:after="0"/>
              <w:rPr>
                <w:sz w:val="1"/>
                <w:szCs w:val="1"/>
                <w:color w:val="auto"/>
              </w:rPr>
            </w:pPr>
          </w:p>
        </w:tc>
      </w:tr>
      <w:tr>
        <w:trPr>
          <w:trHeight w:val="128"/>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1"/>
                <w:szCs w:val="11"/>
                <w:color w:val="auto"/>
              </w:rPr>
            </w:pPr>
          </w:p>
        </w:tc>
        <w:tc>
          <w:tcPr>
            <w:tcW w:w="5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1"/>
                <w:szCs w:val="11"/>
                <w:color w:val="auto"/>
              </w:rPr>
            </w:pPr>
          </w:p>
        </w:tc>
        <w:tc>
          <w:tcPr>
            <w:tcW w:w="8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120" w:type="dxa"/>
            <w:vAlign w:val="bottom"/>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120" w:type="dxa"/>
            <w:vAlign w:val="bottom"/>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33"/>
        </w:trPr>
        <w:tc>
          <w:tcPr>
            <w:tcW w:w="2780" w:type="dxa"/>
            <w:vAlign w:val="bottom"/>
            <w:vMerge w:val="continue"/>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120" w:type="dxa"/>
            <w:vAlign w:val="bottom"/>
            <w:tcBorders>
              <w:right w:val="single" w:sz="8" w:color="auto"/>
            </w:tcBorders>
          </w:tcPr>
          <w:p>
            <w:pPr>
              <w:spacing w:after="0"/>
              <w:rPr>
                <w:sz w:val="11"/>
                <w:szCs w:val="11"/>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16,366</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$117,621</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43,882</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$297,291</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1,597,321</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$310,688</w:t>
            </w:r>
          </w:p>
        </w:tc>
        <w:tc>
          <w:tcPr>
            <w:tcW w:w="12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$(487,363</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$239,039</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16,819</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16,819</w:t>
            </w:r>
          </w:p>
        </w:tc>
        <w:tc>
          <w:tcPr>
            <w:tcW w:w="0" w:type="dxa"/>
            <w:vAlign w:val="bottom"/>
          </w:tcPr>
          <w:p>
            <w:pPr>
              <w:spacing w:after="0"/>
              <w:rPr>
                <w:sz w:val="1"/>
                <w:szCs w:val="1"/>
                <w:color w:val="auto"/>
              </w:rPr>
            </w:pPr>
          </w:p>
        </w:tc>
      </w:tr>
      <w:tr>
        <w:trPr>
          <w:trHeight w:val="139"/>
        </w:trPr>
        <w:tc>
          <w:tcPr>
            <w:tcW w:w="278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color w:val="auto"/>
              </w:rPr>
              <w:t>Conversion of Series A preferred shares to</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5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(1,341</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158,361</w:t>
            </w:r>
          </w:p>
        </w:tc>
        <w:tc>
          <w:tcPr>
            <w:tcW w:w="10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0" w:type="dxa"/>
            <w:vAlign w:val="bottom"/>
          </w:tcPr>
          <w:p>
            <w:pPr>
              <w:spacing w:after="0"/>
              <w:rPr>
                <w:sz w:val="1"/>
                <w:szCs w:val="1"/>
                <w:color w:val="auto"/>
              </w:rPr>
            </w:pPr>
          </w:p>
        </w:tc>
      </w:tr>
      <w:tr>
        <w:trPr>
          <w:trHeight w:val="171"/>
        </w:trPr>
        <w:tc>
          <w:tcPr>
            <w:tcW w:w="2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Ordinary Shares</w:t>
            </w:r>
          </w:p>
        </w:tc>
        <w:tc>
          <w:tcPr>
            <w:tcW w:w="460" w:type="dxa"/>
            <w:vAlign w:val="bottom"/>
            <w:vMerge w:val="continue"/>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40"/>
              <w:spacing w:after="0" w:line="139" w:lineRule="exact"/>
              <w:rPr>
                <w:sz w:val="20"/>
                <w:szCs w:val="20"/>
                <w:color w:val="auto"/>
              </w:rPr>
            </w:pPr>
            <w:r>
              <w:rPr>
                <w:rFonts w:ascii="Times New Roman" w:cs="Times New Roman" w:eastAsia="Times New Roman" w:hAnsi="Times New Roman"/>
                <w:sz w:val="14"/>
                <w:szCs w:val="14"/>
                <w:color w:val="auto"/>
              </w:rPr>
              <w:t>Conversion of Series C Preferred Shares</w:t>
            </w: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issued in connection with the asset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(16,990)</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2,364,000</w:t>
            </w:r>
          </w:p>
        </w:tc>
        <w:tc>
          <w:tcPr>
            <w:tcW w:w="100" w:type="dxa"/>
            <w:vAlign w:val="bottom"/>
            <w:shd w:val="clear" w:color="auto" w:fill="CFF0FC"/>
          </w:tcPr>
          <w:p>
            <w:pPr>
              <w:spacing w:after="0"/>
              <w:rPr>
                <w:sz w:val="12"/>
                <w:szCs w:val="12"/>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16,990</w:t>
            </w: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acquisition of Damora Therapeutics, Inc.</w:t>
            </w:r>
          </w:p>
        </w:tc>
        <w:tc>
          <w:tcPr>
            <w:tcW w:w="4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color w:val="auto"/>
              </w:rPr>
              <w:t>Shareholder approval of the issuance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ordinary shares upon conversion of Series C</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(39,641)</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(266,811)</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39,641,000</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266,810</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Preferred Shares</w:t>
            </w: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40"/>
              <w:spacing w:after="0" w:line="139" w:lineRule="exact"/>
              <w:rPr>
                <w:sz w:val="20"/>
                <w:szCs w:val="20"/>
                <w:color w:val="auto"/>
              </w:rPr>
            </w:pPr>
            <w:r>
              <w:rPr>
                <w:rFonts w:ascii="Times New Roman" w:cs="Times New Roman" w:eastAsia="Times New Roman" w:hAnsi="Times New Roman"/>
                <w:sz w:val="14"/>
                <w:szCs w:val="14"/>
                <w:color w:val="auto"/>
              </w:rPr>
              <w:t>Issuance of ordinary shares in connection</w:t>
            </w: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with offering, net of issuance</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16,644,737</w:t>
            </w:r>
          </w:p>
        </w:tc>
        <w:tc>
          <w:tcPr>
            <w:tcW w:w="100" w:type="dxa"/>
            <w:vAlign w:val="bottom"/>
            <w:shd w:val="clear" w:color="auto" w:fill="CFF0FC"/>
          </w:tcPr>
          <w:p>
            <w:pPr>
              <w:spacing w:after="0"/>
              <w:rPr>
                <w:sz w:val="12"/>
                <w:szCs w:val="12"/>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295,497</w:t>
            </w: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295,497</w:t>
            </w:r>
          </w:p>
        </w:tc>
        <w:tc>
          <w:tcPr>
            <w:tcW w:w="0" w:type="dxa"/>
            <w:vAlign w:val="bottom"/>
          </w:tcPr>
          <w:p>
            <w:pPr>
              <w:spacing w:after="0"/>
              <w:rPr>
                <w:sz w:val="1"/>
                <w:szCs w:val="1"/>
                <w:color w:val="auto"/>
              </w:rPr>
            </w:pPr>
          </w:p>
        </w:tc>
      </w:tr>
      <w:tr>
        <w:trPr>
          <w:trHeight w:val="171"/>
        </w:trPr>
        <w:tc>
          <w:tcPr>
            <w:tcW w:w="2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costs of $20,753</w:t>
            </w:r>
          </w:p>
        </w:tc>
        <w:tc>
          <w:tcPr>
            <w:tcW w:w="4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Forfeiture of shares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(9,638)</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40"/>
              <w:spacing w:after="0" w:line="139" w:lineRule="exact"/>
              <w:rPr>
                <w:sz w:val="20"/>
                <w:szCs w:val="20"/>
                <w:color w:val="auto"/>
              </w:rPr>
            </w:pPr>
            <w:r>
              <w:rPr>
                <w:rFonts w:ascii="Times New Roman" w:cs="Times New Roman" w:eastAsia="Times New Roman" w:hAnsi="Times New Roman"/>
                <w:sz w:val="14"/>
                <w:szCs w:val="14"/>
                <w:color w:val="auto"/>
              </w:rPr>
              <w:t>Issuance of ordinary shares in connection</w:t>
            </w: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6,936</w:t>
            </w:r>
          </w:p>
        </w:tc>
        <w:tc>
          <w:tcPr>
            <w:tcW w:w="100" w:type="dxa"/>
            <w:vAlign w:val="bottom"/>
            <w:shd w:val="clear" w:color="auto" w:fill="CFF0FC"/>
          </w:tcPr>
          <w:p>
            <w:pPr>
              <w:spacing w:after="0"/>
              <w:rPr>
                <w:sz w:val="12"/>
                <w:szCs w:val="12"/>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with vesting of restricted share units</w:t>
            </w: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Exercise of options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94,202</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Other comprehensive loss, net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0" w:type="dxa"/>
            <w:vAlign w:val="bottom"/>
          </w:tcPr>
          <w:p>
            <w:pPr>
              <w:spacing w:after="0"/>
              <w:rPr>
                <w:sz w:val="1"/>
                <w:szCs w:val="1"/>
                <w:color w:val="auto"/>
              </w:rPr>
            </w:pPr>
          </w:p>
        </w:tc>
      </w:tr>
      <w:tr>
        <w:trPr>
          <w:trHeight w:val="139"/>
        </w:trPr>
        <w:tc>
          <w:tcPr>
            <w:tcW w:w="278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color w:val="auto"/>
              </w:rPr>
              <w:t>Proceeds from At-the-Market facility, net of</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1,407,823</w:t>
            </w:r>
          </w:p>
        </w:tc>
        <w:tc>
          <w:tcPr>
            <w:tcW w:w="10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34,345</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34,345</w:t>
            </w:r>
          </w:p>
        </w:tc>
        <w:tc>
          <w:tcPr>
            <w:tcW w:w="0" w:type="dxa"/>
            <w:vAlign w:val="bottom"/>
          </w:tcPr>
          <w:p>
            <w:pPr>
              <w:spacing w:after="0"/>
              <w:rPr>
                <w:sz w:val="1"/>
                <w:szCs w:val="1"/>
                <w:color w:val="auto"/>
              </w:rPr>
            </w:pPr>
          </w:p>
        </w:tc>
      </w:tr>
      <w:tr>
        <w:trPr>
          <w:trHeight w:val="171"/>
        </w:trPr>
        <w:tc>
          <w:tcPr>
            <w:tcW w:w="2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costs of $914</w:t>
            </w: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right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(90,948)</w:t>
            </w: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(90,948)</w:t>
            </w:r>
          </w:p>
        </w:tc>
        <w:tc>
          <w:tcPr>
            <w:tcW w:w="0" w:type="dxa"/>
            <w:vAlign w:val="bottom"/>
          </w:tcPr>
          <w:p>
            <w:pPr>
              <w:spacing w:after="0"/>
              <w:rPr>
                <w:sz w:val="1"/>
                <w:szCs w:val="1"/>
                <w:color w:val="auto"/>
              </w:rPr>
            </w:pPr>
          </w:p>
        </w:tc>
      </w:tr>
      <w:tr>
        <w:trPr>
          <w:trHeight w:val="133"/>
        </w:trPr>
        <w:tc>
          <w:tcPr>
            <w:tcW w:w="278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Balance at September 30, 2026</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16,366</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117,621</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$12,376</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61,904,742</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944,307</w:t>
            </w:r>
          </w:p>
        </w:tc>
        <w:tc>
          <w:tcPr>
            <w:tcW w:w="7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$(578,311</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$495,761</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1761490</wp:posOffset>
            </wp:positionH>
            <wp:positionV relativeFrom="paragraph">
              <wp:posOffset>-3363595</wp:posOffset>
            </wp:positionV>
            <wp:extent cx="5391785" cy="1152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91785" cy="1152525"/>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-346075</wp:posOffset>
            </wp:positionV>
            <wp:extent cx="908685" cy="3594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08685" cy="359410"/>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-230505</wp:posOffset>
            </wp:positionV>
            <wp:extent cx="68580" cy="2311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231140"/>
                    </a:xfrm>
                    <a:prstGeom prst="rect">
                      <a:avLst/>
                    </a:prstGeom>
                    <a:noFill/>
                  </pic:spPr>
                </pic:pic>
              </a:graphicData>
            </a:graphic>
          </wp:anchor>
        </w:drawing>
        <w:drawing>
          <wp:anchor simplePos="0" relativeHeight="251657728" behindDoc="1" locked="0" layoutInCell="0" allowOverlap="1">
            <wp:simplePos x="0" y="0"/>
            <wp:positionH relativeFrom="column">
              <wp:posOffset>3724275</wp:posOffset>
            </wp:positionH>
            <wp:positionV relativeFrom="paragraph">
              <wp:posOffset>-230505</wp:posOffset>
            </wp:positionV>
            <wp:extent cx="68580" cy="2311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231140"/>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-230505</wp:posOffset>
            </wp:positionV>
            <wp:extent cx="68580" cy="2311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231140"/>
                    </a:xfrm>
                    <a:prstGeom prst="rect">
                      <a:avLst/>
                    </a:prstGeom>
                    <a:noFill/>
                  </pic:spPr>
                </pic:pic>
              </a:graphicData>
            </a:graphic>
          </wp:anchor>
        </w:drawing>
        <w:drawing>
          <wp:anchor simplePos="0" relativeHeight="251657728" behindDoc="1" locked="0" layoutInCell="0" allowOverlap="1">
            <wp:simplePos x="0" y="0"/>
            <wp:positionH relativeFrom="column">
              <wp:posOffset>4864735</wp:posOffset>
            </wp:positionH>
            <wp:positionV relativeFrom="paragraph">
              <wp:posOffset>-230505</wp:posOffset>
            </wp:positionV>
            <wp:extent cx="68580" cy="2311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231140"/>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-230505</wp:posOffset>
            </wp:positionV>
            <wp:extent cx="76835" cy="2311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231140"/>
                    </a:xfrm>
                    <a:prstGeom prst="rect">
                      <a:avLst/>
                    </a:prstGeom>
                    <a:noFill/>
                  </pic:spPr>
                </pic:pic>
              </a:graphicData>
            </a:graphic>
          </wp:anchor>
        </w:drawing>
        <w:drawing>
          <wp:anchor simplePos="0" relativeHeight="251657728" behindDoc="1" locked="0" layoutInCell="0" allowOverlap="1">
            <wp:simplePos x="0" y="0"/>
            <wp:positionH relativeFrom="column">
              <wp:posOffset>5627370</wp:posOffset>
            </wp:positionH>
            <wp:positionV relativeFrom="paragraph">
              <wp:posOffset>-230505</wp:posOffset>
            </wp:positionV>
            <wp:extent cx="77470" cy="2311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231140"/>
                    </a:xfrm>
                    <a:prstGeom prst="rect">
                      <a:avLst/>
                    </a:prstGeom>
                    <a:noFill/>
                  </pic:spPr>
                </pic:pic>
              </a:graphicData>
            </a:graphic>
          </wp:anchor>
        </w:drawing>
        <w:drawing>
          <wp:anchor simplePos="0" relativeHeight="251657728" behindDoc="1" locked="0" layoutInCell="0" allowOverlap="1">
            <wp:simplePos x="0" y="0"/>
            <wp:positionH relativeFrom="column">
              <wp:posOffset>6107430</wp:posOffset>
            </wp:positionH>
            <wp:positionV relativeFrom="paragraph">
              <wp:posOffset>-230505</wp:posOffset>
            </wp:positionV>
            <wp:extent cx="76835" cy="2311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231140"/>
                    </a:xfrm>
                    <a:prstGeom prst="rect">
                      <a:avLst/>
                    </a:prstGeom>
                    <a:noFill/>
                  </pic:spPr>
                </pic:pic>
              </a:graphicData>
            </a:graphic>
          </wp:anchor>
        </w:drawing>
        <w:drawing>
          <wp:anchor simplePos="0" relativeHeight="251657728" behindDoc="1" locked="0" layoutInCell="0" allowOverlap="1">
            <wp:simplePos x="0" y="0"/>
            <wp:positionH relativeFrom="column">
              <wp:posOffset>6630670</wp:posOffset>
            </wp:positionH>
            <wp:positionV relativeFrom="paragraph">
              <wp:posOffset>-230505</wp:posOffset>
            </wp:positionV>
            <wp:extent cx="68580" cy="2311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23114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interim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DAMORA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25" w:lineRule="exact"/>
        <w:rPr>
          <w:sz w:val="20"/>
          <w:szCs w:val="20"/>
          <w:color w:val="auto"/>
        </w:rPr>
      </w:pPr>
    </w:p>
    <w:p>
      <w:pPr>
        <w:jc w:val="right"/>
        <w:ind w:right="51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p>
      <w:pPr>
        <w:jc w:val="right"/>
        <w:ind w:righ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0"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55"/>
        </w:trPr>
        <w:tc>
          <w:tcPr>
            <w:tcW w:w="764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91"/>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r>
      <w:tr>
        <w:trPr>
          <w:trHeight w:val="22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(90,948)</w:t>
            </w:r>
          </w:p>
        </w:tc>
        <w:tc>
          <w:tcPr>
            <w:tcW w:w="5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(9,103)</w:t>
            </w:r>
          </w:p>
        </w:tc>
      </w:tr>
      <w:tr>
        <w:trPr>
          <w:trHeight w:val="230"/>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 to reconcile net loss to net cash used in operating activities: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of equipment</w:t>
            </w: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Share-based compensation</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sale of IP</w:t>
            </w:r>
          </w:p>
        </w:tc>
        <w:tc>
          <w:tcPr>
            <w:tcW w:w="9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premium and discount on marketable securities, net</w:t>
            </w: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of ordinary shares in connection with vesting of restricted share units</w:t>
            </w: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r>
      <w:tr>
        <w:trPr>
          <w:trHeight w:val="216"/>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right-of-use lease asset</w:t>
            </w:r>
          </w:p>
        </w:tc>
        <w:tc>
          <w:tcPr>
            <w:tcW w:w="9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r>
      <w:tr>
        <w:trPr>
          <w:trHeight w:val="229"/>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Accretion of lease liability</w:t>
            </w: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Other assets, noncurrent</w:t>
            </w: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(671)</w:t>
            </w:r>
          </w:p>
        </w:tc>
      </w:tr>
      <w:tr>
        <w:trPr>
          <w:trHeight w:val="230"/>
        </w:trPr>
        <w:tc>
          <w:tcPr>
            <w:tcW w:w="7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9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76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Paramora warrant obligation</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Related party accounts payable and other current liabilities</w:t>
            </w:r>
          </w:p>
        </w:tc>
        <w:tc>
          <w:tcPr>
            <w:tcW w:w="9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(12,258)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64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9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7"/>
        </w:trPr>
        <w:tc>
          <w:tcPr>
            <w:tcW w:w="7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(7,292)</w:t>
            </w:r>
          </w:p>
        </w:tc>
      </w:tr>
      <w:tr>
        <w:trPr>
          <w:trHeight w:val="22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9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(179,503)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sale of IP</w:t>
            </w:r>
          </w:p>
        </w:tc>
        <w:tc>
          <w:tcPr>
            <w:tcW w:w="9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(178,753)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ordinary shares in connection with offerings</w:t>
            </w: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 costs in connection with offerings</w:t>
            </w: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(21,667)</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4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330,545</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(7,292)</w:t>
            </w: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FF0FC"/>
          </w:tcPr>
          <w:p>
            <w:pPr>
              <w:spacing w:after="0"/>
              <w:rPr>
                <w:sz w:val="18"/>
                <w:szCs w:val="18"/>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100" w:type="dxa"/>
            <w:vAlign w:val="bottom"/>
          </w:tcPr>
          <w:p>
            <w:pPr>
              <w:spacing w:after="0"/>
              <w:rPr>
                <w:sz w:val="19"/>
                <w:szCs w:val="19"/>
                <w:color w:val="auto"/>
              </w:rPr>
            </w:pPr>
          </w:p>
        </w:tc>
      </w:tr>
      <w:tr>
        <w:trPr>
          <w:trHeight w:val="223"/>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40" w:type="dxa"/>
            <w:vAlign w:val="bottom"/>
            <w:tcBorders>
              <w:bottom w:val="single" w:sz="8" w:color="auto"/>
            </w:tcBorders>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349,656</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paid for taxes</w:t>
            </w:r>
          </w:p>
        </w:tc>
        <w:tc>
          <w:tcPr>
            <w:tcW w:w="940" w:type="dxa"/>
            <w:vAlign w:val="bottom"/>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r>
      <w:tr>
        <w:trPr>
          <w:trHeight w:val="223"/>
        </w:trPr>
        <w:tc>
          <w:tcPr>
            <w:tcW w:w="7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activities:</w:t>
            </w:r>
          </w:p>
        </w:tc>
        <w:tc>
          <w:tcPr>
            <w:tcW w:w="9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0"/>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liability arising from obtaining right-of-use assets</w:t>
            </w:r>
          </w:p>
        </w:tc>
        <w:tc>
          <w:tcPr>
            <w:tcW w:w="940" w:type="dxa"/>
            <w:vAlign w:val="bottom"/>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(974)</w:t>
            </w:r>
          </w:p>
        </w:tc>
        <w:tc>
          <w:tcPr>
            <w:tcW w:w="5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5863590</wp:posOffset>
            </wp:positionH>
            <wp:positionV relativeFrom="paragraph">
              <wp:posOffset>-2875280</wp:posOffset>
            </wp:positionV>
            <wp:extent cx="93980" cy="1879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-2262505</wp:posOffset>
            </wp:positionV>
            <wp:extent cx="68580"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5876290</wp:posOffset>
            </wp:positionH>
            <wp:positionV relativeFrom="paragraph">
              <wp:posOffset>-1362075</wp:posOffset>
            </wp:positionV>
            <wp:extent cx="68580"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5876290</wp:posOffset>
            </wp:positionH>
            <wp:positionV relativeFrom="paragraph">
              <wp:posOffset>-762635</wp:posOffset>
            </wp:positionV>
            <wp:extent cx="6858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-762635</wp:posOffset>
            </wp:positionV>
            <wp:extent cx="6858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5876290</wp:posOffset>
            </wp:positionH>
            <wp:positionV relativeFrom="paragraph">
              <wp:posOffset>-462280</wp:posOffset>
            </wp:positionV>
            <wp:extent cx="6858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-462280</wp:posOffset>
            </wp:positionV>
            <wp:extent cx="6858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-161925</wp:posOffset>
            </wp:positionV>
            <wp:extent cx="68580" cy="162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interim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79" w:right="318" w:bottom="1440" w:gutter="0" w:footer="0" w:header="0"/>
        </w:sectPr>
      </w:pPr>
    </w:p>
    <w:bookmarkStart w:id="9" w:name="page10"/>
    <w:bookmarkEnd w:id="9"/>
    <w:p>
      <w:pPr>
        <w:jc w:val="center"/>
        <w:ind w:right="33"/>
        <w:spacing w:after="0"/>
        <w:rPr>
          <w:sz w:val="20"/>
          <w:szCs w:val="20"/>
          <w:color w:val="auto"/>
        </w:rPr>
      </w:pPr>
      <w:r>
        <w:rPr>
          <w:rFonts w:ascii="Times New Roman" w:cs="Times New Roman" w:eastAsia="Times New Roman" w:hAnsi="Times New Roman"/>
          <w:sz w:val="18"/>
          <w:szCs w:val="18"/>
          <w:b w:val="1"/>
          <w:bCs w:val="1"/>
          <w:color w:val="auto"/>
        </w:rPr>
        <w:t>DAMORA THERAPEUTICS, INC.</w:t>
      </w:r>
    </w:p>
    <w:p>
      <w:pPr>
        <w:spacing w:after="0" w:line="225" w:lineRule="exact"/>
        <w:rPr>
          <w:sz w:val="20"/>
          <w:szCs w:val="20"/>
          <w:color w:val="auto"/>
        </w:rPr>
      </w:pPr>
    </w:p>
    <w:p>
      <w:pPr>
        <w:ind w:left="3347"/>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1. DESCRIPTION OF BUSINESS, ORGANIZATION AND LIQUIDITY</w:t>
      </w:r>
    </w:p>
    <w:p>
      <w:pPr>
        <w:spacing w:after="0" w:line="2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left="7" w:right="420"/>
        <w:spacing w:after="0" w:line="266" w:lineRule="auto"/>
        <w:rPr>
          <w:sz w:val="20"/>
          <w:szCs w:val="20"/>
          <w:color w:val="auto"/>
        </w:rPr>
      </w:pPr>
      <w:r>
        <w:rPr>
          <w:rFonts w:ascii="Times New Roman" w:cs="Times New Roman" w:eastAsia="Times New Roman" w:hAnsi="Times New Roman"/>
          <w:sz w:val="18"/>
          <w:szCs w:val="18"/>
          <w:color w:val="auto"/>
        </w:rPr>
        <w:t>Damora Therapeutics, Inc. (formerly known as Galecto, Inc.) is a biotechnology company developing therapies for the treatment of hematological malignancies. As used in these financial statements, unless the context otherwise requires, references to the “Company,” “we,” “us,” and “our” refer to Damora Therapeutics, Inc. and its subsidiaries.</w:t>
      </w:r>
    </w:p>
    <w:p>
      <w:pPr>
        <w:spacing w:after="0" w:line="108" w:lineRule="exact"/>
        <w:rPr>
          <w:sz w:val="20"/>
          <w:szCs w:val="20"/>
          <w:color w:val="auto"/>
        </w:rPr>
      </w:pPr>
    </w:p>
    <w:p>
      <w:pPr>
        <w:ind w:left="7"/>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Company’s wholly owned subsidiaries were PharmAkea, Inc., a Delaware corporation (“PharmAkea”), Damora Securities Corporation, a Massachusetts corporation, Damora Therapeutics, LLC, a Delaware limited liability company, and Galecto Biotech AB, a Swedish company. Galecto Biotech ApS, a Danish operating company, is a wholly-owned subsidiary of Galecto Biotech AB.</w:t>
      </w:r>
    </w:p>
    <w:p>
      <w:pPr>
        <w:spacing w:after="0" w:line="17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In March 2026, the Company decided to focus on developing antibody therapies for patients with mutant calreticulin (“mutCALR”)-driven blood disorders</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and deprioritized continued development of GB3226, a preclinical asset previously being developed for the treatment of acute myeloid leukemia. In the</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third quarter of 2026, the Company sold GB3226 and certain of its other legacy assets to a single purchaser in exchange for an upfront payment of</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$750,000, which was recognized as gain on sale of IP in the statements of operations and comprehensive loss, and potential additional consideration in the</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form of milestone payments and royalties.</w:t>
      </w:r>
    </w:p>
    <w:p>
      <w:pPr>
        <w:spacing w:after="0" w:line="207" w:lineRule="exact"/>
        <w:rPr>
          <w:sz w:val="20"/>
          <w:szCs w:val="20"/>
          <w:color w:val="auto"/>
        </w:rPr>
      </w:pPr>
    </w:p>
    <w:p>
      <w:pPr>
        <w:ind w:left="7" w:right="60"/>
        <w:spacing w:after="0" w:line="276" w:lineRule="auto"/>
        <w:rPr>
          <w:sz w:val="20"/>
          <w:szCs w:val="20"/>
          <w:color w:val="auto"/>
        </w:rPr>
      </w:pPr>
      <w:r>
        <w:rPr>
          <w:rFonts w:ascii="Times New Roman" w:cs="Times New Roman" w:eastAsia="Times New Roman" w:hAnsi="Times New Roman"/>
          <w:sz w:val="17"/>
          <w:szCs w:val="17"/>
          <w:color w:val="auto"/>
        </w:rPr>
        <w:t>On July 16, 2026, the Company changed its jurisdiction of incorporation from the State of Delaware to the Cayman Islands (the “Redomestication”) pursuant to a plan of conversion (the “Plan of Conversion”). The Redomestication became effective on July 16, 2026 and was accomplished by the filing of</w:t>
      </w:r>
    </w:p>
    <w:p>
      <w:pPr>
        <w:spacing w:after="0" w:line="1" w:lineRule="exact"/>
        <w:rPr>
          <w:sz w:val="20"/>
          <w:szCs w:val="20"/>
          <w:color w:val="auto"/>
        </w:rPr>
      </w:pPr>
    </w:p>
    <w:p>
      <w:pPr>
        <w:ind w:left="7" w:right="80" w:hanging="7"/>
        <w:spacing w:after="0" w:line="253" w:lineRule="auto"/>
        <w:tabs>
          <w:tab w:leader="none" w:pos="22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Conversion with the Secretary of State of the State of Delaware and (ii) the requisite documents required under section 201 of the Companies Act (as amended) of the Cayman Islands (the “Companies Act”), as well as the Cayman Islands memorandum and articles of association of the Company (the “Articles”), with the Cayman Islands Registrar of Companies. For purposes of these condensed consolidated financial statements, references to “Damora Delaware” mean the Company prior to the Redomestication.</w:t>
      </w:r>
    </w:p>
    <w:p>
      <w:pPr>
        <w:spacing w:after="0" w:line="189" w:lineRule="exact"/>
        <w:rPr>
          <w:sz w:val="20"/>
          <w:szCs w:val="20"/>
          <w:color w:val="auto"/>
        </w:rPr>
      </w:pPr>
    </w:p>
    <w:p>
      <w:pPr>
        <w:ind w:left="7" w:right="20"/>
        <w:spacing w:after="0" w:line="254" w:lineRule="auto"/>
        <w:rPr>
          <w:sz w:val="20"/>
          <w:szCs w:val="20"/>
          <w:color w:val="auto"/>
        </w:rPr>
      </w:pPr>
      <w:r>
        <w:rPr>
          <w:rFonts w:ascii="Times New Roman" w:cs="Times New Roman" w:eastAsia="Times New Roman" w:hAnsi="Times New Roman"/>
          <w:sz w:val="18"/>
          <w:szCs w:val="18"/>
          <w:color w:val="auto"/>
        </w:rPr>
        <w:t>Upon the Redomestication, among other things: (i) each outstanding share of common stock, par value $0.00001 per share (“Common Stock”), of Damora Delaware automatically converted into one ordinary share, par value $0.00001 per share ("Ordinary Shares") of the Company; (ii) each outstanding share of Series B Preferred Stock, par value $0.00001 per share, of Damora Delaware automatically converted into one Series B Preferred Share, par value $0.00001 per share, of the Company (the "Series B Preferred Shares"); (iii) each outstanding share of Series C Preferred Stock, par value $0.00001 per share, of Damora Delaware automatically converted into one Series C Preferred Share, par value $0.00001 per share, of the Company (the "Series C Preferred Shares"); (iv) each outstanding option to purchase shares of Common Stock of Damora Delaware automatically converted into an option to purchase Ordinary Shares of the Company; and (v) each outstanding restricted stock unit of Damora Delaware automatically converted into a restricted share unit of the Company.</w:t>
      </w:r>
    </w:p>
    <w:p>
      <w:pPr>
        <w:spacing w:after="0" w:line="192" w:lineRule="exact"/>
        <w:rPr>
          <w:sz w:val="20"/>
          <w:szCs w:val="20"/>
          <w:color w:val="auto"/>
        </w:rPr>
      </w:pPr>
    </w:p>
    <w:p>
      <w:pPr>
        <w:jc w:val="both"/>
        <w:ind w:left="7" w:right="360"/>
        <w:spacing w:after="0" w:line="266" w:lineRule="auto"/>
        <w:rPr>
          <w:sz w:val="20"/>
          <w:szCs w:val="20"/>
          <w:color w:val="auto"/>
        </w:rPr>
      </w:pPr>
      <w:r>
        <w:rPr>
          <w:rFonts w:ascii="Times New Roman" w:cs="Times New Roman" w:eastAsia="Times New Roman" w:hAnsi="Times New Roman"/>
          <w:sz w:val="18"/>
          <w:szCs w:val="18"/>
          <w:color w:val="auto"/>
        </w:rPr>
        <w:t>Unless otherwise indicated, references in these condensed consolidated financial statements to Ordinary Shares, Series B Preferred Shares and Series C Preferred Shares include, for periods prior to July 16, 2026, the corresponding common stock, Series B Preferred Stock and Series C Preferred Stock of Damora Delaware, each of which converted on a one-for-one basis in the Redomestication.</w:t>
      </w:r>
    </w:p>
    <w:p>
      <w:pPr>
        <w:spacing w:after="0" w:line="176" w:lineRule="exact"/>
        <w:rPr>
          <w:sz w:val="20"/>
          <w:szCs w:val="20"/>
          <w:color w:val="auto"/>
        </w:rPr>
      </w:pPr>
    </w:p>
    <w:p>
      <w:pPr>
        <w:ind w:left="7" w:right="700"/>
        <w:spacing w:after="0" w:line="282" w:lineRule="auto"/>
        <w:rPr>
          <w:sz w:val="20"/>
          <w:szCs w:val="20"/>
          <w:color w:val="auto"/>
        </w:rPr>
      </w:pPr>
      <w:r>
        <w:rPr>
          <w:rFonts w:ascii="Times New Roman" w:cs="Times New Roman" w:eastAsia="Times New Roman" w:hAnsi="Times New Roman"/>
          <w:sz w:val="18"/>
          <w:szCs w:val="18"/>
          <w:color w:val="auto"/>
        </w:rPr>
        <w:t>The Company will continue to be treated as a United States ("U.S.") corporation for all purposes under the U.S. Internal Revenue Code of 1986, as amended.</w:t>
      </w:r>
    </w:p>
    <w:p>
      <w:pPr>
        <w:spacing w:after="0" w:line="16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The rights of holders of Ordinary Shares of the Company are now governed by the Company's Articles and Cayman Islands law.</w:t>
      </w:r>
    </w:p>
    <w:p>
      <w:pPr>
        <w:spacing w:after="0" w:line="2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79" w:right="318" w:bottom="1440" w:gutter="0" w:footer="0" w:header="0"/>
        </w:sectPr>
      </w:pPr>
    </w:p>
    <w:bookmarkStart w:id="10" w:name="page11"/>
    <w:bookmarkEnd w:id="10"/>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 plans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Since inception, the Company has devoted substantially all its efforts to business planning, research and development, recruiting management and technical staff and raising capital, and has financed its operations primarily through the issuance of preferred shares, debt financings, the Company’s initial public offering and sales of Ordinary Shares.</w:t>
      </w:r>
    </w:p>
    <w:p>
      <w:pPr>
        <w:spacing w:after="0" w:line="176"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As of September 30, 2026, the Company had an accumulated deficit of $578.3 million, from recurring losses since inception in 2011. The Company has incurred recurring losses and has not generated revenue as no products have obtained the necessary regulatory approval in order to market products. The Company expects to continue to incur losses as a result of costs and expenses related to the Company’s clinical development and corporate general and administrative activities. The Company had negative cash flows from operating activities during the nine months ended September 30, 2026 and 2025 of $59.7 million and $7.3 million, respectively, and current projections indicate that the Company will have continued negative cash flows for the foreseeable future as it continues to fund operating expenses. Net losses incurred for the three and nine months ended September 30, 2025 were $3.1 million and $9.1 million, respectively. Net losses incurred for the three and nine months ended September 30, 2026 were $32.0 million and $90.9 million, respectively.</w:t>
      </w:r>
    </w:p>
    <w:p>
      <w:pPr>
        <w:spacing w:after="0" w:line="17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At September 30, 2026, the Company’s cash, cash equivalents and marketable securities amounted to $528.5 million, current assets amounted to $531.3 million and current liabilities amounted to $35.9 million.</w:t>
      </w:r>
    </w:p>
    <w:p>
      <w:pPr>
        <w:spacing w:after="0" w:line="16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Based on current operating plans, the Company has sufficient resources to fund operations for at least one year from the issuance date of these financial statements with existing cash, cash equivalents and marketable securities. The Company will need to secure additional financing in the future to fund additional research and development, and before a commercial drug can be produced, marketed and sold. If the Company is unable to obtain additional financing or generate license or product revenue, the lack of liquidity could have a material adverse effect on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have been prepared in accordance with United States generally accepted accounting principles (“U.S. GAAP”).</w:t>
      </w:r>
    </w:p>
    <w:p>
      <w:pPr>
        <w:spacing w:after="0" w:line="162" w:lineRule="exact"/>
        <w:rPr>
          <w:sz w:val="20"/>
          <w:szCs w:val="20"/>
          <w:color w:val="auto"/>
        </w:rPr>
      </w:pPr>
    </w:p>
    <w:p>
      <w:pPr>
        <w:ind w:right="2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accompanying interim condensed consolidated financial statements as of September 30, 2026 and for the three and nine months ended September 30, 2026 and 2025, and related information contained within the notes to the interim condensed consolidated financial statements, are unaudited. In management’s opinion, the unaudited interim condensed consolidated financial statements have been prepared on the same basis as the Company’s audited consolidated financial statements and include all adjustments (including normal recurring adjustments) necessary for the fair presentation of the Company’s financial position as of September 30, 2026, results of operations, statement of shareholders’ equity for the three and nine months ended September 30, 2026 and 2025 and its cash flows for the nine months ended September 30, 2026 and 2025. All intercompany balances and transactions have been eliminated. These unaudited interim condensed consolidated financial statements should be read in conjunction with the Company’s audited consolidated financial statements and accompanying notes contained in the Company’s </w:t>
      </w:r>
      <w:hyperlink r:id="rId91">
        <w:r>
          <w:rPr>
            <w:rFonts w:ascii="Times New Roman" w:cs="Times New Roman" w:eastAsia="Times New Roman" w:hAnsi="Times New Roman"/>
            <w:sz w:val="17"/>
            <w:szCs w:val="17"/>
            <w:u w:val="single" w:color="auto"/>
            <w:color w:val="0000FF"/>
          </w:rPr>
          <w:t>Annual Report on 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fiscal year ended December 31, 2025, as filed with the Securities and Exchange Commission (the “SEC”) on March 19, 2026 (the “2025 Consolidated Financial Statements”). The results for the three and nine months ended September 30, 2026 are not necessarily indicative of the results expected for the full fiscal year or any interim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3406775</wp:posOffset>
            </wp:positionH>
            <wp:positionV relativeFrom="paragraph">
              <wp:posOffset>-312420</wp:posOffset>
            </wp:positionV>
            <wp:extent cx="13582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399" w:right="338" w:bottom="1440" w:gutter="0" w:footer="0" w:header="0"/>
        </w:sectPr>
      </w:pPr>
    </w:p>
    <w:bookmarkStart w:id="11" w:name="page12"/>
    <w:bookmarkEnd w:id="11"/>
    <w:p>
      <w:pPr>
        <w:ind w:right="38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there have been no material changes to the significant accounting policies as disclosed in Note 2 to the 2025 Consolidated Financial Statements, other than the addition of the Marketable Securities policy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expenses during the reporting periods. Significant estimates and assumptions reflected in these financial statements include, but are not limited to, the valuation of share-based awards. Estimates are periodically reviewed in light of changes in circumstances, facts and experience. Actual results could differ from the Company’s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year’s financial statement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marketable securities consist of investments in United States ("U.S.") Treasury securities and agency securities that are classified as available-for-sale. The securities are carried at fair value with the unrealized gains and losses, net of tax, included in accumulated other comprehensive (loss) income, a component of shareholders’ equity. Realized gains and losses as well as credit losses, if any, on marketable securities are included in the Company’s statements of operations. The Company classifies marketable securities, including those with contractual maturities beyond one year, as current assets on the condensed consolidated balance sheets since the securities are highly liquid and such marketable securities represent the investment of cash that is available for current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December 14, 2023, the FASB issued ASU No. 2023-09, Improvements to Income Tax Disclosures (“ASU 2023-09”). ASU 2023-09 amends ASC 740, Income Taxes to expand income tax disclosures and requires that the Company disclose (i) the income tax rate reconciliation using both percentages and reporting currency amounts; (ii) specific categories within the income tax rate reconciliation; (iii) additional information for reconciling items that meet a quantitative threshold; (iv) the composition of state and local income taxes by jurisdiction; and (v) the amount of income taxes paid disaggregated by jurisdiction. The Company adopted ASU 2023-09 for the year ended December 31, 2025 on a prospective basis. See Note 14 Income Taxes to the 2025 Consolidated Financial Statements in the Form 10-K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reviewed all other recently issued accounting pronouncements and has concluded they are not applicable or not expected to be significant to the accounting for its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Paragon Therapeutics, Inc. and Paramora Holding LLC</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Paragon Therapeutics, Inc. (“Paragon”) and Paramora Holding LLC (“Paramora”) each beneficially own less than 5% of the Company’s share capital through their respective holdings of Ordinary Shares. Fairmount Funds Management LLC (“Fairmount”) beneficially owns more than 5% of the Company’s share capital on an as-converted basis, has three seats on the board of directors and beneficially owns more than 5% of Paragon. Fairmount appointed Paragon’s board of directors and has the contractual right to approve the appointment of any executive officers. Paramora is an entity formed by Paragon as a vehicle to hold equity in Pre-Acquisition Damora (and, as a result of the Asset Acquisition, defined below, the Company) in order to share profits with certain employees of Paragon.</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received the option to license certain intellectual property rights related to certain research programs (collectively, the “Option”), pursuant to the Antibody Discovery and Option Agreement, dated as of October 7, 2025, by and among Paragon, Paramora and Damora Therapeutics, Inc. ("Pre-Acquisition Damora") (the “Paragon Option Agreement”). The Paragon Option Agreement was acquired under the Agreement and Plan of Merger entered into with Pre-Acquisition Damora in November 2025 (the acquisition of Pre-Acquisition Damora pursuant thereto, the “Asset Acquisition”). Under the Paragon Option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399" w:right="318" w:bottom="1440" w:gutter="0" w:footer="0" w:header="0"/>
        </w:sectPr>
      </w:pPr>
    </w:p>
    <w:bookmarkStart w:id="12" w:name="page13"/>
    <w:bookmarkEnd w:id="12"/>
    <w:p>
      <w:pPr>
        <w:spacing w:after="0" w:line="261" w:lineRule="auto"/>
        <w:rPr>
          <w:sz w:val="20"/>
          <w:szCs w:val="20"/>
          <w:color w:val="auto"/>
        </w:rPr>
      </w:pPr>
      <w:r>
        <w:rPr>
          <w:rFonts w:ascii="Times New Roman" w:cs="Times New Roman" w:eastAsia="Times New Roman" w:hAnsi="Times New Roman"/>
          <w:sz w:val="18"/>
          <w:szCs w:val="18"/>
          <w:color w:val="auto"/>
        </w:rPr>
        <w:t>Pre-Acquisition Damora (and, as a result of the Asset Acquisition, the Company) is obligated to compensate Paragon for its services performed under each research program based on the actual costs incurred with mark-up costs pursuant to the terms of the Paragon Option Agreement. The Company is also obligated under the Paragon Option Agreement to issue Paramora annual equity grants in accordance with the Paramora Warrant Obligation (as defined below).</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has exercised the Option available under the Paragon Option Agreement with respect to the DMR-001 research program and the DMR-002 research program and, on November 3, 2026, entered into a single license agreement with Paragon (the “Paragon License Agreement”) for both programs. The Company's Option with respect to the DMR-003 research program remains unexercised.</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Under the Paragon License Agreement, the Company is obligated to pay Paragon, on a product-by-product basis, up to $22.0 million per licensed product upon the achievement of specified development, clinical and regulatory milestones, inclusive of milestone payments previously made under the Paragon Option Agreement. The Company has paid Paragon development candidate milestone payments of $1.5 million with respect to each of DMR-001 and DMR-002. The Company is obligated to make a milestone payment of $2.5 million upon the first dosing of a human in a Phase 1 trial of a licensed product. The Company is required to pay Paragon tiered royalties ranging from low to mid single-digit percentages on net sales of monospecific antibody products.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2026, the Company recognized expenses related to services provided by Paragon subsequent to the Asset Acquisition totaling $7.3 million and $34.6 million, respectively, which included $2.3 million and $11.9 million, respectively, of share-based compensation expense related to the Paramora Warrant Obligation, and were recorded primarily as research and development expenses in the consolidated statements of operations. As of September 30, 2026, $5.0 million was unpaid and was included in Related party accounts payable and other current liabilities on the Company’s consolidated balance sheets. For the three and nine months ended September 30, 2026, the Company made cash payments totaling $5.7 million and $35.0 million to Paragon, respectively.</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is the summary of costs that were recorded primarily as research and development expenses in the consolidated statements of operations (in millions):</w:t>
      </w: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1160" w:type="dxa"/>
            <w:vAlign w:val="bottom"/>
            <w:tcBorders>
              <w:bottom w:val="single" w:sz="8" w:color="auto"/>
            </w:tcBorders>
          </w:tcPr>
          <w:p>
            <w:pPr>
              <w:jc w:val="right"/>
              <w:ind w:right="139"/>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Borders>
              <w:bottom w:val="single" w:sz="8" w:color="auto"/>
            </w:tcBorders>
          </w:tcPr>
          <w:p>
            <w:pPr>
              <w:jc w:val="right"/>
              <w:ind w:right="24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677"/>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1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Reimbursable costs under the Paragon</w:t>
            </w:r>
          </w:p>
        </w:tc>
        <w:tc>
          <w:tcPr>
            <w:tcW w:w="1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320" w:type="dxa"/>
            <w:vAlign w:val="bottom"/>
            <w:gridSpan w:val="2"/>
            <w:vMerge w:val="restart"/>
            <w:shd w:val="clear" w:color="auto" w:fill="CFF0FC"/>
          </w:tcPr>
          <w:p>
            <w:pPr>
              <w:jc w:val="right"/>
              <w:ind w:right="96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420" w:type="dxa"/>
            <w:vAlign w:val="bottom"/>
            <w:gridSpan w:val="2"/>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shd w:val="clear" w:color="auto" w:fill="CFF0FC"/>
          </w:tcPr>
          <w:p>
            <w:pPr>
              <w:ind w:left="68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 Agreement</w:t>
            </w:r>
          </w:p>
        </w:tc>
        <w:tc>
          <w:tcPr>
            <w:tcW w:w="116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320" w:type="dxa"/>
            <w:vAlign w:val="bottom"/>
            <w:gridSpan w:val="2"/>
            <w:vMerge w:val="continue"/>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420" w:type="dxa"/>
            <w:vAlign w:val="bottom"/>
            <w:gridSpan w:val="2"/>
            <w:vMerge w:val="continue"/>
            <w:shd w:val="clear" w:color="auto" w:fill="CFF0FC"/>
          </w:tcPr>
          <w:p>
            <w:pPr>
              <w:spacing w:after="0"/>
              <w:rPr>
                <w:sz w:val="20"/>
                <w:szCs w:val="20"/>
                <w:color w:val="auto"/>
              </w:rPr>
            </w:pPr>
          </w:p>
        </w:tc>
        <w:tc>
          <w:tcPr>
            <w:tcW w:w="88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Amortized cost of Paramora warrant obligation</w:t>
            </w:r>
          </w:p>
        </w:tc>
        <w:tc>
          <w:tcPr>
            <w:tcW w:w="1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96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-24765</wp:posOffset>
            </wp:positionV>
            <wp:extent cx="603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3853180</wp:posOffset>
            </wp:positionH>
            <wp:positionV relativeFrom="paragraph">
              <wp:posOffset>-7620</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4821555</wp:posOffset>
            </wp:positionH>
            <wp:positionV relativeFrom="paragraph">
              <wp:posOffset>-24765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4821555</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6038850</wp:posOffset>
            </wp:positionH>
            <wp:positionV relativeFrom="paragraph">
              <wp:posOffset>-24765</wp:posOffset>
            </wp:positionV>
            <wp:extent cx="596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6038850</wp:posOffset>
            </wp:positionH>
            <wp:positionV relativeFrom="paragraph">
              <wp:posOffset>-7620</wp:posOffset>
            </wp:positionV>
            <wp:extent cx="59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6870700</wp:posOffset>
            </wp:positionH>
            <wp:positionV relativeFrom="paragraph">
              <wp:posOffset>-24765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6870700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Paramora warrant obligation</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Pursuant to the Paragon Option Agreement, the Company agreed to issue Paramora an annual equity grant of warrants, on the last business day of each of the years ended December 31, 2025 and December 31, 2026, to purchase 1% of the then outstanding Ordinary Shares, on a fully diluted basis, during the term of the Paragon Option Agreement (the “Paramora Warrant Obligation”). See Notes 5, 10 and 11 for additional information on the Paramora Warrant Obligation.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the summary of Related party accounts payable and other current liabilities (in millions):</w:t>
      </w:r>
    </w:p>
    <w:p>
      <w:pPr>
        <w:spacing w:after="0" w:line="274"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r>
      <w:tr>
        <w:trPr>
          <w:trHeight w:val="173"/>
        </w:trPr>
        <w:tc>
          <w:tcPr>
            <w:tcW w:w="4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05"/>
        </w:trPr>
        <w:tc>
          <w:tcPr>
            <w:tcW w:w="47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Related party accounts payable and other current</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4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FF0FC"/>
          </w:tcPr>
          <w:p>
            <w:pPr>
              <w:spacing w:after="0"/>
              <w:rPr>
                <w:sz w:val="20"/>
                <w:szCs w:val="20"/>
                <w:color w:val="auto"/>
              </w:rPr>
            </w:pP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Paramora warrant obligation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detail of the Company's marketable securities: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140"/>
          </w:cols>
          <w:pgMar w:left="340" w:top="1399" w:right="438"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3"/>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320" w:type="dxa"/>
            <w:vAlign w:val="bottom"/>
          </w:tcPr>
          <w:p>
            <w:pPr>
              <w:spacing w:after="0"/>
              <w:rPr>
                <w:sz w:val="15"/>
                <w:szCs w:val="15"/>
                <w:color w:val="auto"/>
              </w:rPr>
            </w:pPr>
          </w:p>
        </w:tc>
        <w:tc>
          <w:tcPr>
            <w:tcW w:w="13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155"/>
        </w:trPr>
        <w:tc>
          <w:tcPr>
            <w:tcW w:w="280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86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500" w:type="dxa"/>
            <w:vAlign w:val="bottom"/>
            <w:tcBorders>
              <w:top w:val="single" w:sz="8" w:color="auto"/>
            </w:tcBorders>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720" w:type="dxa"/>
            <w:vAlign w:val="bottom"/>
            <w:tcBorders>
              <w:top w:val="single" w:sz="8" w:color="auto"/>
            </w:tcBorders>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154,720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rPr>
              <w:t>(750)</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153,970</w:t>
            </w:r>
          </w:p>
        </w:tc>
        <w:tc>
          <w:tcPr>
            <w:tcW w:w="100" w:type="dxa"/>
            <w:vAlign w:val="bottom"/>
            <w:shd w:val="clear" w:color="auto" w:fill="CFF0FC"/>
          </w:tcPr>
          <w:p>
            <w:pPr>
              <w:spacing w:after="0"/>
              <w:rPr>
                <w:sz w:val="19"/>
                <w:szCs w:val="19"/>
                <w:color w:val="auto"/>
              </w:rPr>
            </w:pPr>
          </w:p>
        </w:tc>
      </w:tr>
      <w:tr>
        <w:trPr>
          <w:trHeight w:val="22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(224)</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24,852</w:t>
            </w:r>
          </w:p>
        </w:tc>
        <w:tc>
          <w:tcPr>
            <w:tcW w:w="100" w:type="dxa"/>
            <w:vAlign w:val="bottom"/>
          </w:tcPr>
          <w:p>
            <w:pPr>
              <w:spacing w:after="0"/>
              <w:rPr>
                <w:sz w:val="19"/>
                <w:szCs w:val="19"/>
                <w:color w:val="auto"/>
              </w:rPr>
            </w:pPr>
          </w:p>
        </w:tc>
      </w:tr>
      <w:tr>
        <w:trPr>
          <w:trHeight w:val="263"/>
        </w:trPr>
        <w:tc>
          <w:tcPr>
            <w:tcW w:w="2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8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179,796</w:t>
            </w:r>
          </w:p>
        </w:tc>
        <w:tc>
          <w:tcPr>
            <w:tcW w:w="3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w w:val="81"/>
              </w:rPr>
              <w:t>(974)</w:t>
            </w:r>
          </w:p>
        </w:tc>
        <w:tc>
          <w:tcPr>
            <w:tcW w:w="3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178,822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-25400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4401820</wp:posOffset>
            </wp:positionH>
            <wp:positionV relativeFrom="paragraph">
              <wp:posOffset>-25400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4401820</wp:posOffset>
            </wp:positionH>
            <wp:positionV relativeFrom="paragraph">
              <wp:posOffset>-8255</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5798820</wp:posOffset>
            </wp:positionH>
            <wp:positionV relativeFrom="paragraph">
              <wp:posOffset>-25400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5798820</wp:posOffset>
            </wp:positionH>
            <wp:positionV relativeFrom="paragraph">
              <wp:posOffset>-8255</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-25400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-8255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marketable securities have contractual maturity dates of 24 months or less. As of September 30, 2026, the Company had 36 securities with a total fair market value of $178.8 million in an unrealized loss position. The Company does not intend to sell, and it is not more likely than not that it will be required to sell, these securities before recovery of their amortized cost basis; unrealized losses relate to interest rates, not credit.</w:t>
      </w:r>
    </w:p>
    <w:p>
      <w:pPr>
        <w:spacing w:after="0" w:line="17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 had 18 securities with a fair value of $89.7 million with a contractual maturity of less than 12 months and 18 securities with a fair value of $89.1 million with a contractual maturity of greater than 12 months. As of December 31, 2025, the Company had no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assets and liabilities that are measured at fair value as of September 30, 2026 and December 31, 2025 is as follows (in thousands):</w:t>
      </w:r>
    </w:p>
    <w:p>
      <w:pPr>
        <w:spacing w:after="0" w:line="24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40" w:type="dxa"/>
            <w:vAlign w:val="bottom"/>
            <w:gridSpan w:val="4"/>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104"/>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restart"/>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2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4"/>
                <w:szCs w:val="24"/>
                <w:color w:val="auto"/>
                <w:vertAlign w:val="superscript"/>
              </w:rPr>
              <w:t>(1)</w:t>
            </w:r>
          </w:p>
        </w:tc>
        <w:tc>
          <w:tcPr>
            <w:tcW w:w="9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4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CFF0FC"/>
          </w:tcPr>
          <w:p>
            <w:pPr>
              <w:spacing w:after="0" w:line="229"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4"/>
                <w:szCs w:val="24"/>
                <w:color w:val="auto"/>
                <w:vertAlign w:val="superscript"/>
              </w:rPr>
              <w:t>(1)</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153,970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153,970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Agency securities</w:t>
            </w:r>
          </w:p>
        </w:tc>
        <w:tc>
          <w:tcPr>
            <w:tcW w:w="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24,852</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24,852</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6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178,822</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178,822</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9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205,078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4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203,719</w:t>
            </w:r>
          </w:p>
        </w:tc>
        <w:tc>
          <w:tcPr>
            <w:tcW w:w="4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Paramora warrant obligation</w:t>
            </w:r>
          </w:p>
        </w:tc>
        <w:tc>
          <w:tcPr>
            <w:tcW w:w="92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46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4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4"/>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84"/>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restart"/>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bottom w:val="single" w:sz="8" w:color="CFF0FC"/>
            </w:tcBorders>
            <w:shd w:val="clear" w:color="auto" w:fill="CFF0FC"/>
          </w:tcPr>
          <w:p>
            <w:pPr>
              <w:spacing w:after="0" w:line="222"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4"/>
                <w:szCs w:val="24"/>
                <w:color w:val="auto"/>
                <w:vertAlign w:val="superscript"/>
              </w:rPr>
              <w:t>(1)</w:t>
            </w:r>
          </w:p>
        </w:tc>
        <w:tc>
          <w:tcPr>
            <w:tcW w:w="6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200,628</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200,628</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200,628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200,628</w:t>
            </w:r>
          </w:p>
        </w:tc>
        <w:tc>
          <w:tcPr>
            <w:tcW w:w="4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3449955</wp:posOffset>
            </wp:positionH>
            <wp:positionV relativeFrom="paragraph">
              <wp:posOffset>-1971040</wp:posOffset>
            </wp:positionV>
            <wp:extent cx="68580" cy="179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4547235</wp:posOffset>
            </wp:positionH>
            <wp:positionV relativeFrom="paragraph">
              <wp:posOffset>-1971040</wp:posOffset>
            </wp:positionV>
            <wp:extent cx="60325"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-1971040</wp:posOffset>
            </wp:positionV>
            <wp:extent cx="68580"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6733540</wp:posOffset>
            </wp:positionH>
            <wp:positionV relativeFrom="paragraph">
              <wp:posOffset>-1971040</wp:posOffset>
            </wp:positionV>
            <wp:extent cx="60325"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3449955</wp:posOffset>
            </wp:positionH>
            <wp:positionV relativeFrom="paragraph">
              <wp:posOffset>-1353820</wp:posOffset>
            </wp:positionV>
            <wp:extent cx="68580" cy="180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4547235</wp:posOffset>
            </wp:positionH>
            <wp:positionV relativeFrom="paragraph">
              <wp:posOffset>-1353820</wp:posOffset>
            </wp:positionV>
            <wp:extent cx="60325" cy="1803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0325" cy="18034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-1353820</wp:posOffset>
            </wp:positionV>
            <wp:extent cx="68580" cy="180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6733540</wp:posOffset>
            </wp:positionH>
            <wp:positionV relativeFrom="paragraph">
              <wp:posOffset>-1353820</wp:posOffset>
            </wp:positionV>
            <wp:extent cx="60325" cy="180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0325" cy="180340"/>
                    </a:xfrm>
                    <a:prstGeom prst="rect">
                      <a:avLst/>
                    </a:prstGeom>
                    <a:noFill/>
                  </pic:spPr>
                </pic:pic>
              </a:graphicData>
            </a:graphic>
          </wp:anchor>
        </w:drawing>
        <w:drawing>
          <wp:anchor simplePos="0" relativeHeight="251657728" behindDoc="1" locked="0" layoutInCell="0" allowOverlap="1">
            <wp:simplePos x="0" y="0"/>
            <wp:positionH relativeFrom="column">
              <wp:posOffset>3449955</wp:posOffset>
            </wp:positionH>
            <wp:positionV relativeFrom="paragraph">
              <wp:posOffset>-179705</wp:posOffset>
            </wp:positionV>
            <wp:extent cx="68580" cy="180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4547235</wp:posOffset>
            </wp:positionH>
            <wp:positionV relativeFrom="paragraph">
              <wp:posOffset>-179705</wp:posOffset>
            </wp:positionV>
            <wp:extent cx="60325" cy="180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60325" cy="18034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-179705</wp:posOffset>
            </wp:positionV>
            <wp:extent cx="68580" cy="1803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6733540</wp:posOffset>
            </wp:positionH>
            <wp:positionV relativeFrom="paragraph">
              <wp:posOffset>-179705</wp:posOffset>
            </wp:positionV>
            <wp:extent cx="60325" cy="1803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0325" cy="180340"/>
                    </a:xfrm>
                    <a:prstGeom prst="rect">
                      <a:avLst/>
                    </a:prstGeom>
                    <a:noFill/>
                  </pic:spPr>
                </pic:pic>
              </a:graphicData>
            </a:graphic>
          </wp:anchor>
        </w:drawing>
      </w:r>
    </w:p>
    <w:p>
      <w:pPr>
        <w:spacing w:after="0" w:line="178" w:lineRule="exact"/>
        <w:rPr>
          <w:sz w:val="20"/>
          <w:szCs w:val="20"/>
          <w:color w:val="auto"/>
        </w:rPr>
      </w:pPr>
    </w:p>
    <w:p>
      <w:pPr>
        <w:ind w:left="740" w:right="380" w:hanging="371"/>
        <w:spacing w:after="0" w:line="282" w:lineRule="auto"/>
        <w:tabs>
          <w:tab w:leader="none" w:pos="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Money market funds and U.S. Treasury securities with maturities of 90 days or less at the date of purchase are included within cash and cash equivalents in the accompanying consolidated balance sheets and are recognized at fair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17" w:right="318"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Paramora warrant obligation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Paramora Warrant Obligation is considered a Level 2 liability based on observable market data for substantially the full term of the liability. The Paramora Warrant Obligation is measured each period using a Black-Scholes model to estimate the fair value of the warrant grant. Changes in the fair value of the Paramora Warrant Obligation are recorded as share-based compensation within Research and development expenses for non-employees who provided pre-clinical development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r>
      <w:tr>
        <w:trPr>
          <w:trHeight w:val="173"/>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research and development costs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 receivable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 costs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Value-added tax refund receivable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r>
      <w:tr>
        <w:trPr>
          <w:trHeight w:val="22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5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5901690</wp:posOffset>
            </wp:positionH>
            <wp:positionV relativeFrom="paragraph">
              <wp:posOffset>-179070</wp:posOffset>
            </wp:positionV>
            <wp:extent cx="68580" cy="179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-179070</wp:posOffset>
            </wp:positionV>
            <wp:extent cx="68580" cy="1797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entered into the following operating lease in August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0" w:type="dxa"/>
            <w:vAlign w:val="bottom"/>
          </w:tcPr>
          <w:p>
            <w:pPr>
              <w:spacing w:after="0"/>
              <w:rPr>
                <w:sz w:val="13"/>
                <w:szCs w:val="13"/>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 Use</w:t>
            </w:r>
          </w:p>
        </w:tc>
        <w:tc>
          <w:tcPr>
            <w:tcW w:w="20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200" w:type="dxa"/>
            <w:vAlign w:val="bottom"/>
          </w:tcPr>
          <w:p>
            <w:pPr>
              <w:spacing w:after="0"/>
              <w:rPr>
                <w:sz w:val="13"/>
                <w:szCs w:val="13"/>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Renewal Option</w:t>
            </w:r>
          </w:p>
        </w:tc>
        <w:tc>
          <w:tcPr>
            <w:tcW w:w="0" w:type="dxa"/>
            <w:vAlign w:val="bottom"/>
          </w:tcPr>
          <w:p>
            <w:pPr>
              <w:spacing w:after="0"/>
              <w:rPr>
                <w:sz w:val="1"/>
                <w:szCs w:val="1"/>
                <w:color w:val="auto"/>
              </w:rPr>
            </w:pPr>
          </w:p>
        </w:tc>
      </w:tr>
      <w:tr>
        <w:trPr>
          <w:trHeight w:val="173"/>
        </w:trPr>
        <w:tc>
          <w:tcPr>
            <w:tcW w:w="48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00" w:type="dxa"/>
            <w:vAlign w:val="bottom"/>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Waltham, Massachusetts</w:t>
            </w:r>
          </w:p>
        </w:tc>
        <w:tc>
          <w:tcPr>
            <w:tcW w:w="200" w:type="dxa"/>
            <w:vAlign w:val="bottom"/>
            <w:shd w:val="clear" w:color="auto" w:fill="CFF0FC"/>
          </w:tcPr>
          <w:p>
            <w:pPr>
              <w:spacing w:after="0"/>
              <w:rPr>
                <w:sz w:val="19"/>
                <w:szCs w:val="19"/>
                <w:color w:val="auto"/>
              </w:rPr>
            </w:pP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Corporate headquarters</w:t>
            </w: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November 30, 2029</w:t>
            </w: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As of September 30, 2026, cash and cash equivalents on the condensed consolidated balance sheets included $0.1 million of cash held as collateral for a letter of credit issued in connection with the Company's office lease, which is restricted as to withdrawal through the end of the lease term. In connection with the office lease, the landlord agreed to fund tenant improvements of $0.3 million, which is recorded as a lease incentive receivable within prepaid expenses and other current assets on the condensed consolidated balance sheets and as a reduction of the operating lease right-of-use asset.</w:t>
      </w:r>
    </w:p>
    <w:p>
      <w:pPr>
        <w:spacing w:after="0" w:line="16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no finance leases and has elected to apply the short-term lease exception to all leases with durations of one year or less. Rent expense was $32,000 during the three and nine months ended September 30, 2026. Rent expense for the three and nine months ended September 30, 2025 was $5,000 and $15,000,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Quantitative information regarding the Company’s leases for the three and nine months ended September 30, 2026 and 2025 was as follows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gridSpan w:val="4"/>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flows paid for amounts included in the</w:t>
            </w: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measurement of lease liabilities</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64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8"/>
        </w:trPr>
        <w:tc>
          <w:tcPr>
            <w:tcW w:w="49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60"/>
          </w:cols>
          <w:pgMar w:left="340" w:top="1179" w:right="318" w:bottom="1440" w:gutter="0" w:footer="0" w:header="0"/>
        </w:sectPr>
      </w:pPr>
    </w:p>
    <w:bookmarkStart w:id="15" w:name="page16"/>
    <w:bookmarkEnd w:id="15"/>
    <w:p>
      <w:pPr>
        <w:ind w:right="920"/>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weighted average remaining lease term for operating leases was 3.2 years and 3.9 years,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and December 31, 2025, the weighted average discount rate for operating leases was 9% and 8%,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liabilities at September 30, 2026 are as follows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(excluding the period ended September 30, 2026)</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9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49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6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02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7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0"/>
        </w:trPr>
        <w:tc>
          <w:tcPr>
            <w:tcW w:w="1680" w:type="dxa"/>
            <w:vAlign w:val="bottom"/>
            <w:shd w:val="clear" w:color="auto" w:fill="CFF0FC"/>
          </w:tcPr>
          <w:p>
            <w:pPr>
              <w:spacing w:after="0" w:line="20" w:lineRule="exact"/>
              <w:rPr>
                <w:sz w:val="1"/>
                <w:szCs w:val="1"/>
                <w:color w:val="auto"/>
              </w:rPr>
            </w:pPr>
          </w:p>
        </w:tc>
        <w:tc>
          <w:tcPr>
            <w:tcW w:w="492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6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68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 costs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shd w:val="clear" w:color="auto" w:fill="CFF0FC"/>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Contract research and development costs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costs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shd w:val="clear" w:color="auto" w:fill="CFF0FC"/>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680" w:type="dxa"/>
            <w:vAlign w:val="bottom"/>
          </w:tcPr>
          <w:p>
            <w:pPr>
              <w:spacing w:after="0"/>
              <w:rPr>
                <w:sz w:val="22"/>
                <w:szCs w:val="22"/>
                <w:color w:val="auto"/>
              </w:rPr>
            </w:pPr>
          </w:p>
        </w:tc>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4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80" w:type="dxa"/>
            <w:vAlign w:val="bottom"/>
            <w:tcBorders>
              <w:bottom w:val="single" w:sz="8" w:color="CFF0FC"/>
            </w:tcBorders>
            <w:shd w:val="clear" w:color="auto" w:fill="CFF0FC"/>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7085330</wp:posOffset>
            </wp:positionH>
            <wp:positionV relativeFrom="paragraph">
              <wp:posOffset>-2168525</wp:posOffset>
            </wp:positionV>
            <wp:extent cx="6858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-1868170</wp:posOffset>
            </wp:positionV>
            <wp:extent cx="68580" cy="1803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5190490</wp:posOffset>
            </wp:positionH>
            <wp:positionV relativeFrom="paragraph">
              <wp:posOffset>-25400</wp:posOffset>
            </wp:positionV>
            <wp:extent cx="514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5190490</wp:posOffset>
            </wp:positionH>
            <wp:positionV relativeFrom="paragraph">
              <wp:posOffset>-8255</wp:posOffset>
            </wp:positionV>
            <wp:extent cx="514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-25400</wp:posOffset>
            </wp:positionV>
            <wp:extent cx="514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-8255</wp:posOffset>
            </wp:positionV>
            <wp:extent cx="514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there were no material changes to the Company’s commitments and contingencies as disclosed in Note 11 of the 2025 Consolidated Financial Statements. In August 2026, the Company entered into an operating lease for its corporate headquarters in Waltham, Massachusetts. See Note 7, “Leases.” In addition, in November 2026, the Company entered into the Paragon License Agreement. See Note 3, “Related Party Transactions.”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SHAREHOLDERS’ 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authorized share capital consists of 500,000,000 Ordinary Shares, and 10,000,000 Preferred Shares, of which 200 shares were designated as Series A non-voting convertible preferred shares, par value $0.00001 per share (the “Series A Preferred Shares”), 16,366 shares were designated as Series B Preferred Shares, and 43,882 shares were designated as Series C Preferred Shares.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December 31, 2025 and September 30, 2026, no Ordinary Share dividends had been declared by the board of directors. On May 21, 2026, all 158.361 outstanding Series A Preferred Shares were converted into 158,361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 at-the-market (“ATM”) offering program and February 2026 public offering</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On February 10, 2026, the Company filed an automatically effective shelf registration statement (the “Registration Statement”) with the SEC for the issuance of Ordinary Shares, preferred shares, warrants, debt securities, rights and units, which was amended on August 10, 2026.</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February 10, 2026, the Company entered into a sales agreement (the “ATM Agreement”), which was amended on August 10, 2026, pursuant to which it may sell, from time-to-time, Ordinary Shares under an ATM offering program for up to $150.0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399" w:right="318" w:bottom="1440" w:gutter="0" w:footer="0" w:header="0"/>
        </w:sectPr>
      </w:pPr>
    </w:p>
    <w:bookmarkStart w:id="16" w:name="page17"/>
    <w:bookmarkEnd w:id="16"/>
    <w:p>
      <w:pPr>
        <w:ind w:right="30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the Company sold 1,407,823 shares under the ATM offering program for net proceeds of $34.3 million, after deducting underwriting discounts and commissions and expenses of $0.9 million and had $114.7 million in remaining capacity under the ATM offering program.</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February 10, 2026, the Company also entered into an underwriting agreement with certain underwriters to issue and sell 16,644,737 Ordinary Shares, which included the full exercise by the underwriters of their option to purchase an additional 2,171,052 shares, at a public offering price of $19.00 per share. The underwritten offering closed on February 12, 2026. The net proceeds from this offering were approximately $295.5 million, after deducting underwriting discounts and commissions and expenses of $20.8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Paramora warrants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settled its 2025 obligations under the Paramora Warrant Obligation by issuing Paramora warrants to purchase 628,302 Ordinary Shares, with a per share exercise price equal to $23.01. As of September 30, 2026, none of the warrants issued under the Paramora Warrant Obligation have been exercised. See Notes 3, 5 and 11 for additional information on the Paramora Warrant Obligation.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Holders of Ordinary Shares are entitled to one vote for each Ordinary Share held of record for the election of directors and on all matters submitted to a vote of shareholders. Holders of Ordinary Shares are entitled to receive dividends ratably, if any, as may be declared by our board of directors out of legally available funds, subject to any preferential dividend rights of any Preferred Shares then outstanding. Upon our dissolution, liquidation or winding up, holders of Ordinary Shares are entitled to share ratably in our net assets legally available after the payment of all our debts and other liabilities, subject to the preferential rights of any Preferred Shares then outstanding. Holders of Ordinary Shares have no preemptive, subscription, redemption or conversion rights and no sinking fund provisions are applicable to Ordinary Shares. The rights, preferences and privileges of holders of Ordinary Shares are subject to, and may be adversely affected by, the rights of the holders of shares of any series of Preferred Shares that we have designated or may designate and issue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board of directors has the authority, without action by the shareholders, to designate and issue up to an aggregate of 10,000,000 Preferred Shares in one or more series. Our board of directors can designate the rights, preferences and privileges of the shares of each series and any of its qualifications, limitations or restrictions. Our board of directors may authorize the issuance of Preferred Shares with voting or conversion rights that could adversely affect the voting power or other rights of the holders of Ordinary Shares. The issuance of Preferred Shares, while providing flexibility in connection with possible future financings and acquisitions and other corporate purposes could, under certain circumstances, have the effect of restricting dividends on Ordinary Shares, diluting the voting power of Ordinary Shares, impairing the liquidation rights of Ordinary Shares, or delaying, deferring or preventing a change in control of us, which might harm the market price of our Ordinary Shares.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board of directors will make any determination to issue such Preferred Shares based on its judgment as to our best interests and the best interests of our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Shares</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has designated 200 shares of Series A Preferred Shares. On May 21, 2026, all 158.361 outstanding Series A Preferred Shares were converted into 158,361 Ordinary Shares, and no Series A Preferred Shares were outstanding as of September 30,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Preferred Shares</w:t>
      </w:r>
    </w:p>
    <w:p>
      <w:pPr>
        <w:spacing w:after="0" w:line="22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September 30, 2026, 16,366 Series B Preferred Shares were issued and outstanding. The Series B Preferred Shares are classified within permanent shareholders’ equity.</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Each Series B Preferred Share is convertible at the option of the holder into 1,000 Ordinary Shares (representing 16,366,000 Ordinary Shares in aggregate on an as-converted basis), subject to beneficial ownership limitations. The shareholder approval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399" w:right="318" w:bottom="1440" w:gutter="0" w:footer="0" w:header="0"/>
        </w:sectPr>
      </w:pPr>
    </w:p>
    <w:bookmarkStart w:id="17" w:name="page18"/>
    <w:bookmarkEnd w:id="17"/>
    <w:p>
      <w:pPr>
        <w:ind w:right="180"/>
        <w:spacing w:after="0" w:line="282" w:lineRule="auto"/>
        <w:rPr>
          <w:sz w:val="20"/>
          <w:szCs w:val="20"/>
          <w:color w:val="auto"/>
        </w:rPr>
      </w:pPr>
      <w:r>
        <w:rPr>
          <w:rFonts w:ascii="Times New Roman" w:cs="Times New Roman" w:eastAsia="Times New Roman" w:hAnsi="Times New Roman"/>
          <w:sz w:val="18"/>
          <w:szCs w:val="18"/>
          <w:color w:val="auto"/>
        </w:rPr>
        <w:t>required for Nasdaq purposes was obtained on February 9, 2026. Upon conversion, the Series B Preferred Shares are cancelled and retired and resume the status of authorized but unissued preferred shares.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Series B Preferred Shares do not have general voting rights; however, for so long as any Series B Preferred Shares remain outstanding, the Company may not, without affirmative vote of a majority of the then-outstanding Series B Preferred Shares, adversely alter the rights of the Series B Preferred Shares, amend the Series B Certificate of Designation or the Articles in a manner adverse to the Series B Preferred Shares, or issue additional Series B Preferred Shares, and, for so long as at least 30% of the originally issued Series B Preferred Shares remains outstanding, the Company may not, without the affirmative vote of a majority of the then-outstanding Series B Preferred Shares: (i) consummate a Fundamental Transaction (as defined) or a merger or consolidation resulting in a change of control; (ii) increase the size of the board of directors; (iii) adopt, amend, or repeal certain corporate authority policies unless approved unanimously by the board of directors; or (iv) retain or replace the Company’s registered independent public accounting firm, independent compensation consultant, or corporate counsel. The Series B Preferred Shares have no liquidation preference. Dividends, if declared on Ordinary Shares, are payable to holders of Series B Preferred Shares on an as-if-converted basis.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C Preferred Shares</w:t>
      </w:r>
    </w:p>
    <w:p>
      <w:pPr>
        <w:spacing w:after="0" w:line="2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September 30, 2026, 1,722 Series C Preferred Shares were issued and outstanding. The Series C Preferred Shares are classified within permanent shareholders’ equity.</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Each Series C Preferred Share is convertible into 1,000 Ordinary Shares (representing 1,722,000 Ordinary Shares in aggregate on an as-converted basis), subject to beneficial ownership limitations. On February 9, 2026, the Company obtained the shareholder approval required for Nasdaq purposes. Following that approval, 42,005 Series C Preferred Shares were automatically converted into 42,005,000 Ordinary Shares, with 1,877 shares remaining outstanding immediately following such conversion. During the second quarter of 2026, 155 Series C Preferred Shares were forfeited, resulting in 1,722 Series C Preferred Shares outstanding. Each remaining Series C Preferred Share may be converted at the option of the holder, subject to applicable beneficial ownership limitations. Upon conversion, shares are cancelled and retired.</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Series C Preferred Shares do not have general voting rights; however, for so long as any Series C Preferred Shares remain outstanding, the Company may not, without affirmative vote of a majority of the then-outstanding Series C Preferred Shares, adversely alter the rights of the Series C Preferred Shares, amend the Series C Certificate of Designation or the Articles in a manner adverse to the Series C Preferred Shares, or issue additional Series C Preferred Shares. No liquidation preference applies. Dividends, if declared on Ordinary Shares, are payable to holders of Series C Preferred Shares on an as-if-converted basis.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equity plans</w:t>
      </w:r>
    </w:p>
    <w:p>
      <w:pPr>
        <w:spacing w:after="0" w:line="22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The Company grants equity awards under the 2026 Equity Incentive Plan (the “2026 Equity Plan”), which was approved by shareholders in February 2026, and the 2022 Inducement Plan. The initial share pool under the 2026 Equity Plan was 9,299,832 Ordinary Shares, subject to certain adjustments in the event of a change in the Company’s capitalization. Share-based awards granted under the 2026 Equity Plan generally vest over a four-year period and expire ten years from the grant date. Shares available for grant under the 2026 Equity Plan cumulatively increase by 5% of the number of Ordinary Shares issued and outstanding on January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each year until 2035. At September 30, 2026, 8,676,317 and 2,587,547 Ordinary Shares were available for future grant under the 2026 Equity Plan and the 2022 Inducement Plan, respectively.</w:t>
      </w:r>
    </w:p>
    <w:p>
      <w:pPr>
        <w:spacing w:after="0" w:line="13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No further awards will be granted under the 2020 Stock Option and Grant Plan, the 2020 Equity Incentive Plan or the Damora Therapeutics, Inc. 2025 Equity Incentive Plan (the “2025 Plan”). Awards previously granted under those plans remain outstanding, including options to purchase 434,508 Ordinary Shares and 250,725 unvested restricted Ordinary Shares under the 2025 Plan. Awards generally vest over four years and options expire ten years from the grant date.</w:t>
      </w:r>
    </w:p>
    <w:p>
      <w:pPr>
        <w:spacing w:after="0" w:line="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February 2026, the Company's shareholders adopted the 2026 Employee Stock Purchase Plan (the “2026 ESPP”). The number of Ordinary Shares reserved for issuance under the 2026 ESPP is equal to 619,989 subject to an annual increase, to be added on the first day of each fiscal year, beginning January 1, 2027, equal to the lesser of (1) 1% of the number of Ordinary Shares outstanding on the first day of such fiscal year; (2) 1,000,000 Ordinary Shares; or (3) such other amount as determined by our board of directors. As of September 30, 2026, the Company had not issued any shares under the 2026 ESPP.</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399" w:right="318"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Effective as of the Redomestication, each plan was amended and restated to reflect the conversion of Common Stock into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activity for the Company’s share options during the periods presented:</w:t>
      </w:r>
    </w:p>
    <w:p>
      <w:pPr>
        <w:spacing w:after="0" w:line="27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3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8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8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983,375</w:t>
            </w: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200" w:type="dxa"/>
            <w:vAlign w:val="bottom"/>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8,477,387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4,812,728</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(94,202)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1,965,760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Cancelled</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(138,500)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93.39</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5,563,401</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20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6,205,139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at September 30, 2026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5,563,401</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6,205,139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exercisable at September 30, 2026</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1,940,208</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6,015,097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-368300</wp:posOffset>
            </wp:positionV>
            <wp:extent cx="2460625" cy="1974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2460625" cy="197485"/>
                    </a:xfrm>
                    <a:prstGeom prst="rect">
                      <a:avLst/>
                    </a:prstGeom>
                    <a:noFill/>
                  </pic:spPr>
                </pic:pic>
              </a:graphicData>
            </a:graphic>
          </wp:anchor>
        </w:drawing>
        <w:drawing>
          <wp:anchor simplePos="0" relativeHeight="251657728" behindDoc="1" locked="0" layoutInCell="0" allowOverlap="1">
            <wp:simplePos x="0" y="0"/>
            <wp:positionH relativeFrom="column">
              <wp:posOffset>4333240</wp:posOffset>
            </wp:positionH>
            <wp:positionV relativeFrom="paragraph">
              <wp:posOffset>-25400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4333240</wp:posOffset>
            </wp:positionH>
            <wp:positionV relativeFrom="paragraph">
              <wp:posOffset>-8255</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-25400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-8255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5927725</wp:posOffset>
            </wp:positionH>
            <wp:positionV relativeFrom="paragraph">
              <wp:posOffset>-25400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5927725</wp:posOffset>
            </wp:positionH>
            <wp:positionV relativeFrom="paragraph">
              <wp:posOffset>-8255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6733540</wp:posOffset>
            </wp:positionH>
            <wp:positionV relativeFrom="paragraph">
              <wp:posOffset>-25400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6733540</wp:posOffset>
            </wp:positionH>
            <wp:positionV relativeFrom="paragraph">
              <wp:posOffset>-8255</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 date fair value of all share options granted during the nine months ended September 30, 2026 was $18.04.</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uses a Black-Scholes option pricing model to determine fair value of its share options. The Black-Scholes option pricing model includes various assumptions, including the fair value of Ordinary Shares, expected life of share options, the expected volatility based on the historical volatility of a publicly traded set of peer companies and the expected risk-free interest rate based on the implied yield on a U.S. Treasury security. The fair value of each option was estimated on the date of grant using the assumptions in the table below:</w:t>
      </w:r>
    </w:p>
    <w:p>
      <w:pPr>
        <w:spacing w:after="0" w:line="24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p>
      <w:pPr>
        <w:spacing w:after="0" w:line="12" w:lineRule="exact"/>
        <w:rPr>
          <w:sz w:val="20"/>
          <w:szCs w:val="20"/>
          <w:color w:val="auto"/>
        </w:rPr>
      </w:pPr>
    </w:p>
    <w:tbl>
      <w:tblPr>
        <w:tblLayout w:type="fixed"/>
        <w:tblInd w:w="1680" w:type="dxa"/>
        <w:tblCellMar>
          <w:top w:w="0" w:type="dxa"/>
          <w:left w:w="0" w:type="dxa"/>
          <w:bottom w:w="0" w:type="dxa"/>
          <w:right w:w="0" w:type="dxa"/>
        </w:tblCellMar>
      </w:tblPr>
      <w:tr>
        <w:trPr>
          <w:trHeight w:val="155"/>
        </w:trPr>
        <w:tc>
          <w:tcPr>
            <w:tcW w:w="3420" w:type="dxa"/>
            <w:vAlign w:val="bottom"/>
          </w:tcPr>
          <w:p>
            <w:pPr>
              <w:spacing w:after="0"/>
              <w:rPr>
                <w:sz w:val="13"/>
                <w:szCs w:val="13"/>
                <w:color w:val="auto"/>
              </w:rPr>
            </w:pPr>
          </w:p>
        </w:tc>
        <w:tc>
          <w:tcPr>
            <w:tcW w:w="140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980" w:type="dxa"/>
            <w:vAlign w:val="bottom"/>
            <w:tcBorders>
              <w:top w:val="single" w:sz="8" w:color="auto"/>
              <w:bottom w:val="single" w:sz="8" w:color="auto"/>
            </w:tcBorders>
          </w:tcPr>
          <w:p>
            <w:pPr>
              <w:jc w:val="right"/>
              <w:ind w:right="774"/>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3"/>
                <w:szCs w:val="13"/>
                <w:color w:val="auto"/>
              </w:rPr>
            </w:pPr>
          </w:p>
        </w:tc>
      </w:tr>
      <w:tr>
        <w:trPr>
          <w:trHeight w:val="22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2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9"/>
                <w:szCs w:val="19"/>
                <w:color w:val="auto"/>
              </w:rPr>
            </w:pPr>
          </w:p>
        </w:tc>
      </w:tr>
      <w:tr>
        <w:trPr>
          <w:trHeight w:val="230"/>
        </w:trPr>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83.8%</w:t>
            </w:r>
          </w:p>
        </w:tc>
        <w:tc>
          <w:tcPr>
            <w:tcW w:w="2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95.9%</w:t>
            </w:r>
          </w:p>
        </w:tc>
      </w:tr>
      <w:tr>
        <w:trPr>
          <w:trHeight w:val="234"/>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Paramora warrant obligation</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November 10, 2025, in connection with the Asset Acquisition, the Company assumed the Paramora Warrant Obligation which provided for an annual equity grant of warrants for Paramora to purchase 1% of the then outstanding Ordinary Shares, on a fully diluted basis, on the last business day of each calendar year during the term of the Paragon Option Agreement, at the fair market value determined by the board of directors of the Company. The Company determined that the 2025 and 2026 grants are two separate grants, as there would be no obligation for the 2026 grant had the Company exercised or terminated all of the options under the Paragon Option Agreement prior to December 31, 2026. The service inception period for the grant precedes the grant date, with the full award being vested as of the grant date with no post-grant date service requirement.</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September 30, 2026, the estimated fair value of the warrants to be granted on December 31, 2026, was approximately $15.9 million. For the nine months ended September 30, 2026, $11.9 million was recognized as share-based compensation expense related to the amortized expense of the Paramora Warrant Obligation. There was no similar expense for the nine months ended September 30, 2025. As of September 30, 2026, the pro-rated unamortized expense related to the Paramora Warrant Obligation was $4.0 million.</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00"/>
          </w:cols>
          <w:pgMar w:left="340" w:top="1399" w:right="378" w:bottom="1440" w:gutter="0" w:footer="0" w:header="0"/>
        </w:sectPr>
      </w:pPr>
    </w:p>
    <w:bookmarkStart w:id="19" w:name="page20"/>
    <w:bookmarkEnd w:id="19"/>
    <w:p>
      <w:pPr>
        <w:ind w:left="7"/>
        <w:spacing w:after="0"/>
        <w:rPr>
          <w:sz w:val="20"/>
          <w:szCs w:val="20"/>
          <w:color w:val="auto"/>
        </w:rPr>
      </w:pPr>
      <w:r>
        <w:rPr>
          <w:rFonts w:ascii="Times New Roman" w:cs="Times New Roman" w:eastAsia="Times New Roman" w:hAnsi="Times New Roman"/>
          <w:sz w:val="18"/>
          <w:szCs w:val="18"/>
          <w:color w:val="auto"/>
        </w:rPr>
        <w:t>The following table summarizes the assumptions used in calculating the fair value of the warrant obligation for the nine months ended September 30, 2026:</w:t>
      </w:r>
    </w:p>
    <w:p>
      <w:pPr>
        <w:spacing w:after="0" w:line="286" w:lineRule="exact"/>
        <w:rPr>
          <w:sz w:val="20"/>
          <w:szCs w:val="20"/>
          <w:color w:val="auto"/>
        </w:rPr>
      </w:pPr>
    </w:p>
    <w:tbl>
      <w:tblPr>
        <w:tblLayout w:type="fixed"/>
        <w:tblInd w:w="3107"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33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55"/>
        </w:trPr>
        <w:tc>
          <w:tcPr>
            <w:tcW w:w="1720" w:type="dxa"/>
            <w:vAlign w:val="bottom"/>
          </w:tcPr>
          <w:p>
            <w:pPr>
              <w:spacing w:after="0"/>
              <w:rPr>
                <w:sz w:val="13"/>
                <w:szCs w:val="13"/>
                <w:color w:val="auto"/>
              </w:rPr>
            </w:pPr>
          </w:p>
        </w:tc>
        <w:tc>
          <w:tcPr>
            <w:tcW w:w="3220" w:type="dxa"/>
            <w:vAlign w:val="bottom"/>
            <w:tcBorders>
              <w:top w:val="single" w:sz="8" w:color="auto"/>
              <w:bottom w:val="single" w:sz="8" w:color="auto"/>
            </w:tcBorders>
          </w:tcPr>
          <w:p>
            <w:pPr>
              <w:jc w:val="right"/>
              <w:ind w:right="1408"/>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r>
      <w:tr>
        <w:trPr>
          <w:trHeight w:val="156"/>
        </w:trPr>
        <w:tc>
          <w:tcPr>
            <w:tcW w:w="17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Expected volatility</w:t>
            </w:r>
          </w:p>
        </w:tc>
        <w:tc>
          <w:tcPr>
            <w:tcW w:w="334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82.88%</w:t>
            </w:r>
          </w:p>
        </w:tc>
      </w:tr>
      <w:tr>
        <w:trPr>
          <w:trHeight w:val="162"/>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3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4"/>
                <w:szCs w:val="14"/>
                <w:color w:val="auto"/>
              </w:rPr>
            </w:pPr>
          </w:p>
        </w:tc>
      </w:tr>
      <w:tr>
        <w:trPr>
          <w:trHeight w:val="162"/>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3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w:t>
            </w:r>
          </w:p>
        </w:tc>
      </w:tr>
      <w:tr>
        <w:trPr>
          <w:trHeight w:val="188"/>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3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bl>
    <w:p>
      <w:pPr>
        <w:spacing w:after="0" w:line="198" w:lineRule="exact"/>
        <w:rPr>
          <w:sz w:val="20"/>
          <w:szCs w:val="20"/>
          <w:color w:val="auto"/>
        </w:rPr>
      </w:pPr>
    </w:p>
    <w:p>
      <w:pPr>
        <w:jc w:val="both"/>
        <w:ind w:left="7" w:right="100"/>
        <w:spacing w:after="0" w:line="312" w:lineRule="auto"/>
        <w:rPr>
          <w:sz w:val="20"/>
          <w:szCs w:val="20"/>
          <w:color w:val="auto"/>
        </w:rPr>
      </w:pPr>
      <w:r>
        <w:rPr>
          <w:rFonts w:ascii="Times New Roman" w:cs="Times New Roman" w:eastAsia="Times New Roman" w:hAnsi="Times New Roman"/>
          <w:sz w:val="17"/>
          <w:szCs w:val="17"/>
          <w:color w:val="auto"/>
        </w:rPr>
        <w:t>The Company settled its 2025 obligations under the Paramora Warrant Obligation by issuing Paramora warrants to purchase 628,302 Ordinary Shares with an exercise price of $23.01 per share. As of September 30, 2026, none of the warrants issued under the Paramora Warrant Obligation have been exercised.</w:t>
      </w:r>
    </w:p>
    <w:p>
      <w:pPr>
        <w:spacing w:after="0" w:line="1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w:t>
      </w:r>
    </w:p>
    <w:p>
      <w:pPr>
        <w:spacing w:after="0" w:line="229" w:lineRule="exact"/>
        <w:rPr>
          <w:sz w:val="20"/>
          <w:szCs w:val="20"/>
          <w:color w:val="auto"/>
        </w:rPr>
      </w:pPr>
    </w:p>
    <w:p>
      <w:pPr>
        <w:jc w:val="both"/>
        <w:ind w:left="7" w:right="2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2026, the Company granted 955,005 restricted share units (“RSUs”) to its employees under the 2022 Inducement Plan. The RSUs vest as to one-third one year after the grant date and as to one-sixth every six months, subject to continued service to the Company through the applicable vesting dates. For the three and nine months ended September 30, 2026, the Company recognized $1.4 million and $3.5 million, respectively, in expense related to the RSUs. For the three and nine months ended September 30, 2025, the Company recognized $24,000 and $70,000 of expense related to the RSUs, respectively.</w:t>
      </w:r>
    </w:p>
    <w:p>
      <w:pPr>
        <w:spacing w:after="0" w:line="18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The following table sets forth the activity for the Company’s RSUs during the periods presented:</w:t>
      </w:r>
    </w:p>
    <w:p>
      <w:pPr>
        <w:spacing w:after="0" w:line="274" w:lineRule="exact"/>
        <w:rPr>
          <w:sz w:val="20"/>
          <w:szCs w:val="20"/>
          <w:color w:val="auto"/>
        </w:rPr>
      </w:pPr>
    </w:p>
    <w:tbl>
      <w:tblPr>
        <w:tblLayout w:type="fixed"/>
        <w:tblInd w:w="2647"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60" w:type="dxa"/>
            <w:vAlign w:val="bottom"/>
          </w:tcPr>
          <w:p>
            <w:pPr>
              <w:spacing w:after="0"/>
              <w:rPr>
                <w:sz w:val="12"/>
                <w:szCs w:val="12"/>
                <w:color w:val="auto"/>
              </w:rPr>
            </w:pPr>
          </w:p>
        </w:tc>
        <w:tc>
          <w:tcPr>
            <w:tcW w:w="9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60" w:type="dxa"/>
            <w:vAlign w:val="bottom"/>
          </w:tcPr>
          <w:p>
            <w:pPr>
              <w:spacing w:after="0"/>
              <w:rPr>
                <w:sz w:val="15"/>
                <w:szCs w:val="15"/>
                <w:color w:val="auto"/>
              </w:rPr>
            </w:pPr>
          </w:p>
        </w:tc>
        <w:tc>
          <w:tcPr>
            <w:tcW w:w="9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nonvested units at December 31, 2025</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955,005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(6,936)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840" w:type="dxa"/>
            <w:vAlign w:val="bottom"/>
            <w:tcBorders>
              <w:top w:val="single" w:sz="8" w:color="CFF0FC"/>
            </w:tcBorders>
          </w:tcPr>
          <w:p>
            <w:pPr>
              <w:spacing w:after="0" w:line="203" w:lineRule="exact"/>
              <w:rPr>
                <w:sz w:val="20"/>
                <w:szCs w:val="20"/>
                <w:color w:val="auto"/>
              </w:rPr>
            </w:pPr>
            <w:r>
              <w:rPr>
                <w:rFonts w:ascii="Times New Roman" w:cs="Times New Roman" w:eastAsia="Times New Roman" w:hAnsi="Times New Roman"/>
                <w:sz w:val="18"/>
                <w:szCs w:val="18"/>
                <w:color w:val="auto"/>
              </w:rPr>
              <w:t>Total nonvested units at September 30, 2026</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955,869</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23.74</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4672330</wp:posOffset>
            </wp:positionH>
            <wp:positionV relativeFrom="paragraph">
              <wp:posOffset>-179705</wp:posOffset>
            </wp:positionV>
            <wp:extent cx="51435" cy="1803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51435" cy="180340"/>
                    </a:xfrm>
                    <a:prstGeom prst="rect">
                      <a:avLst/>
                    </a:prstGeom>
                    <a:noFill/>
                  </pic:spPr>
                </pic:pic>
              </a:graphicData>
            </a:graphic>
          </wp:anchor>
        </w:drawing>
      </w:r>
    </w:p>
    <w:p>
      <w:pPr>
        <w:spacing w:after="0" w:line="20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left="7" w:right="20"/>
        <w:spacing w:after="0" w:line="261" w:lineRule="auto"/>
        <w:rPr>
          <w:sz w:val="20"/>
          <w:szCs w:val="20"/>
          <w:color w:val="auto"/>
        </w:rPr>
      </w:pPr>
      <w:r>
        <w:rPr>
          <w:rFonts w:ascii="Times New Roman" w:cs="Times New Roman" w:eastAsia="Times New Roman" w:hAnsi="Times New Roman"/>
          <w:sz w:val="18"/>
          <w:szCs w:val="18"/>
          <w:color w:val="auto"/>
        </w:rPr>
        <w:t>The grant date fair value of share awards vested during the nine months ended September 30, 2026 and 2025 was $1.6 million and $0.6 million, respectively. Total unrecognized compensation expense related to unvested options and RSUs was $107.6 million at September 30, 2026, which is expected to be recognized over a weighted average period of 3.4 years. The Company recorded share-based compensation expense related to share-based awards, including the Paramora Warrant Obligation, as follows (in thousands):</w:t>
      </w:r>
    </w:p>
    <w:p>
      <w:pPr>
        <w:spacing w:after="0" w:line="200" w:lineRule="exact"/>
        <w:rPr>
          <w:sz w:val="20"/>
          <w:szCs w:val="20"/>
          <w:color w:val="auto"/>
        </w:rPr>
      </w:pPr>
    </w:p>
    <w:p>
      <w:pPr>
        <w:spacing w:after="0" w:line="257" w:lineRule="exact"/>
        <w:rPr>
          <w:sz w:val="20"/>
          <w:szCs w:val="20"/>
          <w:color w:val="auto"/>
        </w:rPr>
      </w:pPr>
    </w:p>
    <w:tbl>
      <w:tblPr>
        <w:tblLayout w:type="fixed"/>
        <w:tblInd w:w="7"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980" w:type="dxa"/>
            <w:vAlign w:val="bottom"/>
            <w:tcBorders>
              <w:bottom w:val="single" w:sz="8" w:color="auto"/>
            </w:tcBorders>
            <w:gridSpan w:val="5"/>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00" w:type="dxa"/>
            <w:vAlign w:val="bottom"/>
          </w:tcPr>
          <w:p>
            <w:pPr>
              <w:spacing w:after="0"/>
              <w:rPr>
                <w:sz w:val="15"/>
                <w:szCs w:val="15"/>
                <w:color w:val="auto"/>
              </w:rPr>
            </w:pPr>
          </w:p>
        </w:tc>
      </w:tr>
      <w:tr>
        <w:trPr>
          <w:trHeight w:val="156"/>
        </w:trPr>
        <w:tc>
          <w:tcPr>
            <w:tcW w:w="49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5"/>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77"/>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5"/>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r>
      <w:tr>
        <w:trPr>
          <w:trHeight w:val="236"/>
        </w:trPr>
        <w:tc>
          <w:tcPr>
            <w:tcW w:w="4940" w:type="dxa"/>
            <w:vAlign w:val="bottom"/>
            <w:shd w:val="clear" w:color="auto" w:fill="CFF0FC"/>
          </w:tcPr>
          <w:p>
            <w:pPr>
              <w:spacing w:after="0" w:line="236"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4"/>
                <w:szCs w:val="24"/>
                <w:color w:val="auto"/>
                <w:vertAlign w:val="superscript"/>
              </w:rPr>
              <w:t>(1)</w:t>
            </w:r>
          </w:p>
        </w:tc>
        <w:tc>
          <w:tcPr>
            <w:tcW w:w="880" w:type="dxa"/>
            <w:vAlign w:val="bottom"/>
            <w:shd w:val="clear" w:color="auto" w:fill="CFF0FC"/>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56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16,857</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0"/>
                <w:szCs w:val="20"/>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r>
      <w:tr>
        <w:trPr>
          <w:trHeight w:val="263"/>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880" w:type="dxa"/>
            <w:vAlign w:val="bottom"/>
            <w:tcBorders>
              <w:bottom w:val="single" w:sz="8" w:color="auto"/>
            </w:tcBorders>
            <w:shd w:val="clear" w:color="auto" w:fill="CFF0FC"/>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9,876</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Borders>
              <w:bottom w:val="single" w:sz="8" w:color="CFF0FC"/>
            </w:tcBorders>
            <w:gridSpan w:val="2"/>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28,681</w:t>
            </w:r>
          </w:p>
        </w:tc>
        <w:tc>
          <w:tcPr>
            <w:tcW w:w="10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-24765</wp:posOffset>
            </wp:positionV>
            <wp:extent cx="768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-7620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5031740</wp:posOffset>
            </wp:positionH>
            <wp:positionV relativeFrom="paragraph">
              <wp:posOffset>-24765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5031740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6060440</wp:posOffset>
            </wp:positionH>
            <wp:positionV relativeFrom="paragraph">
              <wp:posOffset>-24765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6060440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7089140</wp:posOffset>
            </wp:positionH>
            <wp:positionV relativeFrom="paragraph">
              <wp:posOffset>-24765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7089140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4" w:lineRule="exact"/>
        <w:rPr>
          <w:sz w:val="20"/>
          <w:szCs w:val="20"/>
          <w:color w:val="auto"/>
        </w:rPr>
      </w:pPr>
    </w:p>
    <w:p>
      <w:pPr>
        <w:ind w:left="7" w:right="160" w:hanging="7"/>
        <w:spacing w:after="0" w:line="321" w:lineRule="auto"/>
        <w:tabs>
          <w:tab w:leader="none" w:pos="21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three and nine months ended September 30, 2026, $2.3 million and $11.9 million, respectively, was recognized as share-based compensation expense related to the Paramora Warrant Obligation. There were no such expenses for the three and nine months ended September 30, 2025.</w:t>
      </w:r>
    </w:p>
    <w:p>
      <w:pPr>
        <w:spacing w:after="0" w:line="2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left="7" w:right="200"/>
        <w:spacing w:after="0" w:line="266" w:lineRule="auto"/>
        <w:rPr>
          <w:sz w:val="20"/>
          <w:szCs w:val="20"/>
          <w:color w:val="auto"/>
        </w:rPr>
      </w:pPr>
      <w:r>
        <w:rPr>
          <w:rFonts w:ascii="Times New Roman" w:cs="Times New Roman" w:eastAsia="Times New Roman" w:hAnsi="Times New Roman"/>
          <w:sz w:val="18"/>
          <w:szCs w:val="18"/>
          <w:color w:val="auto"/>
        </w:rPr>
        <w:t>As a result of the Company's history of net operating losses (“NOLs”), the Company continues to maintain a full valuation allowance against its domestic net deferred tax assets. For the three months ended September 30, 2026 and 2025, the Company recognized no income tax expense. For the nine months ended September 30, 2026 and 2025, the Company recognized income tax expense of $297,000 and $6,000, respectively.</w:t>
      </w:r>
    </w:p>
    <w:p>
      <w:pPr>
        <w:spacing w:after="0" w:line="17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399" w:right="318" w:bottom="1440" w:gutter="0" w:footer="0" w:header="0"/>
        </w:sectPr>
      </w:pPr>
    </w:p>
    <w:bookmarkStart w:id="20" w:name="page21"/>
    <w:bookmarkEnd w:id="20"/>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of Ordinary Shares, Series B Preferred Shares and Series C Preferred Shares is calculated as follows (in thousands except share and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20" w:type="dxa"/>
            <w:vAlign w:val="bottom"/>
            <w:tcBorders>
              <w:bottom w:val="single" w:sz="8" w:color="auto"/>
            </w:tcBorders>
            <w:gridSpan w:val="8"/>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6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120" w:type="dxa"/>
            <w:vAlign w:val="bottom"/>
          </w:tcPr>
          <w:p>
            <w:pPr>
              <w:spacing w:after="0"/>
              <w:rPr>
                <w:sz w:val="11"/>
                <w:szCs w:val="11"/>
                <w:color w:val="auto"/>
              </w:rPr>
            </w:pPr>
          </w:p>
        </w:tc>
        <w:tc>
          <w:tcPr>
            <w:tcW w:w="13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Allocation of losses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(6,553)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(24,749)</w:t>
            </w:r>
          </w:p>
        </w:tc>
        <w:tc>
          <w:tcPr>
            <w:tcW w:w="0" w:type="dxa"/>
            <w:vAlign w:val="bottom"/>
          </w:tcPr>
          <w:p>
            <w:pPr>
              <w:spacing w:after="0"/>
              <w:rPr>
                <w:sz w:val="1"/>
                <w:szCs w:val="1"/>
                <w:color w:val="auto"/>
              </w:rPr>
            </w:pPr>
          </w:p>
        </w:tc>
      </w:tr>
      <w:tr>
        <w:trPr>
          <w:trHeight w:val="210"/>
        </w:trPr>
        <w:tc>
          <w:tcPr>
            <w:tcW w:w="66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66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0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1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2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61,810,033</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8"/>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6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120" w:type="dxa"/>
            <w:vAlign w:val="bottom"/>
          </w:tcPr>
          <w:p>
            <w:pPr>
              <w:spacing w:after="0"/>
              <w:rPr>
                <w:sz w:val="11"/>
                <w:szCs w:val="11"/>
                <w:color w:val="auto"/>
              </w:rPr>
            </w:pPr>
          </w:p>
        </w:tc>
        <w:tc>
          <w:tcPr>
            <w:tcW w:w="13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Allocation of losses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(3,133)</w:t>
            </w:r>
          </w:p>
        </w:tc>
        <w:tc>
          <w:tcPr>
            <w:tcW w:w="0" w:type="dxa"/>
            <w:vAlign w:val="bottom"/>
          </w:tcPr>
          <w:p>
            <w:pPr>
              <w:spacing w:after="0"/>
              <w:rPr>
                <w:sz w:val="1"/>
                <w:szCs w:val="1"/>
                <w:color w:val="auto"/>
              </w:rPr>
            </w:pPr>
          </w:p>
        </w:tc>
      </w:tr>
      <w:tr>
        <w:trPr>
          <w:trHeight w:val="210"/>
        </w:trPr>
        <w:tc>
          <w:tcPr>
            <w:tcW w:w="66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66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0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1,327,039</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8"/>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6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120" w:type="dxa"/>
            <w:vAlign w:val="bottom"/>
          </w:tcPr>
          <w:p>
            <w:pPr>
              <w:spacing w:after="0"/>
              <w:rPr>
                <w:sz w:val="11"/>
                <w:szCs w:val="11"/>
                <w:color w:val="auto"/>
              </w:rPr>
            </w:pPr>
          </w:p>
        </w:tc>
        <w:tc>
          <w:tcPr>
            <w:tcW w:w="13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Allocation of losses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(19,446)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(9,372)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(62,130)</w:t>
            </w:r>
          </w:p>
        </w:tc>
        <w:tc>
          <w:tcPr>
            <w:tcW w:w="0" w:type="dxa"/>
            <w:vAlign w:val="bottom"/>
          </w:tcPr>
          <w:p>
            <w:pPr>
              <w:spacing w:after="0"/>
              <w:rPr>
                <w:sz w:val="1"/>
                <w:szCs w:val="1"/>
                <w:color w:val="auto"/>
              </w:rPr>
            </w:pPr>
          </w:p>
        </w:tc>
      </w:tr>
      <w:tr>
        <w:trPr>
          <w:trHeight w:val="210"/>
        </w:trPr>
        <w:tc>
          <w:tcPr>
            <w:tcW w:w="66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66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0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1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2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52,289,247</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(1,188.20)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(1,188.20)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8"/>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6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120" w:type="dxa"/>
            <w:vAlign w:val="bottom"/>
          </w:tcPr>
          <w:p>
            <w:pPr>
              <w:spacing w:after="0"/>
              <w:rPr>
                <w:sz w:val="11"/>
                <w:szCs w:val="11"/>
                <w:color w:val="auto"/>
              </w:rPr>
            </w:pPr>
          </w:p>
        </w:tc>
        <w:tc>
          <w:tcPr>
            <w:tcW w:w="13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Allocation of losses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(9,103)</w:t>
            </w:r>
          </w:p>
        </w:tc>
        <w:tc>
          <w:tcPr>
            <w:tcW w:w="0" w:type="dxa"/>
            <w:vAlign w:val="bottom"/>
          </w:tcPr>
          <w:p>
            <w:pPr>
              <w:spacing w:after="0"/>
              <w:rPr>
                <w:sz w:val="1"/>
                <w:szCs w:val="1"/>
                <w:color w:val="auto"/>
              </w:rPr>
            </w:pPr>
          </w:p>
        </w:tc>
      </w:tr>
      <w:tr>
        <w:trPr>
          <w:trHeight w:val="210"/>
        </w:trPr>
        <w:tc>
          <w:tcPr>
            <w:tcW w:w="66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0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1,323,886</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5053330</wp:posOffset>
            </wp:positionH>
            <wp:positionV relativeFrom="paragraph">
              <wp:posOffset>-4825365</wp:posOffset>
            </wp:positionV>
            <wp:extent cx="2099945"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2099945" cy="171450"/>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-4508500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6064885</wp:posOffset>
            </wp:positionH>
            <wp:positionV relativeFrom="paragraph">
              <wp:posOffset>-4508500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-4508500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-3394075</wp:posOffset>
            </wp:positionV>
            <wp:extent cx="2099945"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2099945" cy="171450"/>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-3077210</wp:posOffset>
            </wp:positionV>
            <wp:extent cx="2099945" cy="1974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2099945" cy="197485"/>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-1953895</wp:posOffset>
            </wp:positionV>
            <wp:extent cx="2099945"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2099945" cy="171450"/>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-1637030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6064885</wp:posOffset>
            </wp:positionH>
            <wp:positionV relativeFrom="paragraph">
              <wp:posOffset>-1637030</wp:posOffset>
            </wp:positionV>
            <wp:extent cx="768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-1637030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-513715</wp:posOffset>
            </wp:positionV>
            <wp:extent cx="2099945"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2099945" cy="171450"/>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-196215</wp:posOffset>
            </wp:positionV>
            <wp:extent cx="2099945" cy="1968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2099945" cy="19685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outstanding potentially dilutive securities have been excluded from the calculation of diluted net loss per share, as their effect is anti-dilutive: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35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56"/>
        </w:trPr>
        <w:tc>
          <w:tcPr>
            <w:tcW w:w="43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620" w:type="dxa"/>
            <w:vAlign w:val="bottom"/>
            <w:tcBorders>
              <w:top w:val="single" w:sz="8" w:color="auto"/>
            </w:tcBorders>
          </w:tcPr>
          <w:p>
            <w:pPr>
              <w:jc w:val="right"/>
              <w:ind w:right="602"/>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860" w:type="dxa"/>
            <w:vAlign w:val="bottom"/>
            <w:tcBorders>
              <w:top w:val="single" w:sz="8" w:color="auto"/>
            </w:tcBorders>
            <w:gridSpan w:val="2"/>
          </w:tcPr>
          <w:p>
            <w:pPr>
              <w:jc w:val="right"/>
              <w:ind w:right="590"/>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r>
      <w:tr>
        <w:trPr>
          <w:trHeight w:val="223"/>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options to purchase Ordinary Shares</w:t>
            </w:r>
          </w:p>
        </w:tc>
        <w:tc>
          <w:tcPr>
            <w:tcW w:w="3380" w:type="dxa"/>
            <w:vAlign w:val="bottom"/>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5,563,401</w:t>
            </w:r>
          </w:p>
        </w:tc>
        <w:tc>
          <w:tcPr>
            <w:tcW w:w="240" w:type="dxa"/>
            <w:vAlign w:val="bottom"/>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241,131</w:t>
            </w:r>
          </w:p>
        </w:tc>
        <w:tc>
          <w:tcPr>
            <w:tcW w:w="100" w:type="dxa"/>
            <w:vAlign w:val="bottom"/>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 units</w:t>
            </w:r>
          </w:p>
        </w:tc>
        <w:tc>
          <w:tcPr>
            <w:tcW w:w="5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955,869</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tcPr>
          <w:p>
            <w:pPr>
              <w:spacing w:after="0"/>
              <w:rPr>
                <w:sz w:val="19"/>
                <w:szCs w:val="19"/>
                <w:color w:val="auto"/>
              </w:rPr>
            </w:pPr>
          </w:p>
        </w:tc>
      </w:tr>
      <w:tr>
        <w:trPr>
          <w:trHeight w:val="22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Paramora warrants</w:t>
            </w:r>
          </w:p>
        </w:tc>
        <w:tc>
          <w:tcPr>
            <w:tcW w:w="5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628,302</w:t>
            </w:r>
          </w:p>
        </w:tc>
        <w:tc>
          <w:tcPr>
            <w:tcW w:w="2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4300" w:type="dxa"/>
            <w:vAlign w:val="bottom"/>
          </w:tcPr>
          <w:p>
            <w:pPr>
              <w:spacing w:after="0"/>
              <w:rPr>
                <w:sz w:val="24"/>
                <w:szCs w:val="24"/>
                <w:color w:val="auto"/>
              </w:rPr>
            </w:pPr>
          </w:p>
        </w:tc>
        <w:tc>
          <w:tcPr>
            <w:tcW w:w="338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17</w:t>
            </w: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30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sectPr>
      </w:pPr>
    </w:p>
    <w:bookmarkStart w:id="21" w:name="page22"/>
    <w:bookmarkEnd w:id="21"/>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one reportable and one operating segment and manages its business activities primarily in the United States on a consolidated basis. The Company’s singular focus is on the development of its mutCALR portfolio to address the full mutCALR myeloproliferative neoplasm disease spectrum. All of the Company’s tangible assets are held in the United States.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chief operating decision maker (the “CODM”) is the Company's chief executive officer, or in the absence of a chief executive officer, its chief operating officer. The CODM assesses performance for the Company and decides how to allocate resources based on net loss as reported on the consolidated statements of operations. The annual budgeting process is the primary mechanism used to make these decisions. The financial information also helps in making performance assessments using budgeted versus actual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measure of segment assets is reported on the balance sheet as total consolidated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on which the consolidated financial statements were issued. The Company has concluded that no subsequent events, other than those already disclosed, have occurred that require disclosure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440" w:right="338"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4" w:lineRule="exact"/>
        <w:rPr>
          <w:sz w:val="20"/>
          <w:szCs w:val="20"/>
          <w:color w:val="auto"/>
        </w:rPr>
      </w:pPr>
    </w:p>
    <w:p>
      <w:pPr>
        <w:ind w:right="20"/>
        <w:spacing w:after="0" w:line="25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You should read the following discussion and analysis of our financial condition and results of operations in conjunction with our unaudited condensed consolidated financial statements and related notes included in Part I, Item 1 of this Quarterly Report for the quarterly period ended September 30, 2026 (this "Quarterly Report") as well as the audited consolidated financial statements and notes and Management’s Discussion and Analysis of Financial Condition and Results of Operations, included in our </w:t>
      </w:r>
      <w:hyperlink r:id="rId91">
        <w:r>
          <w:rPr>
            <w:rFonts w:ascii="Times New Roman" w:cs="Times New Roman" w:eastAsia="Times New Roman" w:hAnsi="Times New Roman"/>
            <w:sz w:val="18"/>
            <w:szCs w:val="18"/>
            <w:i w:val="1"/>
            <w:iCs w:val="1"/>
            <w:u w:val="single" w:color="auto"/>
            <w:color w:val="0000FF"/>
          </w:rPr>
          <w:t>Annual Report on Form 10-K</w:t>
        </w:r>
        <w:r>
          <w:rPr>
            <w:rFonts w:ascii="Times New Roman" w:cs="Times New Roman" w:eastAsia="Times New Roman" w:hAnsi="Times New Roman"/>
            <w:sz w:val="18"/>
            <w:szCs w:val="18"/>
            <w:i w:val="1"/>
            <w:iCs w:val="1"/>
            <w:u w:val="single" w:color="auto"/>
            <w:color w:val="auto"/>
          </w:rPr>
          <w:t xml:space="preserve"> </w:t>
        </w:r>
      </w:hyperlink>
      <w:r>
        <w:rPr>
          <w:rFonts w:ascii="Times New Roman" w:cs="Times New Roman" w:eastAsia="Times New Roman" w:hAnsi="Times New Roman"/>
          <w:sz w:val="18"/>
          <w:szCs w:val="18"/>
          <w:i w:val="1"/>
          <w:iCs w:val="1"/>
          <w:color w:val="auto"/>
        </w:rPr>
        <w:t>for the year ended December 31, 2025 (the "Annual Report") filed with the U.S. Securities and Exchange Commission (the "SEC") on March 19, 2026. This discussion and analysis and other parts of this Quarterly Report contain forward-looking statements based upon current beliefs, plans and expectations that involve risks, uncertainties and assumptions, such as statements regarding our expected results, outcomes, and the timing of these results and outcomes, plans, objectives, expectations, intentions and projections. As a result of many factors, including those factors set forth in the “Risk Factors” section of this Quarterly Report, our actual results and the timing of selected events could differ materially from the results described in or implied by the forward-looking statements contained in the following discussion and analysis. As used in this report, unless the context suggests otherwise, “we”, “us”, “our”, “the Company,” or “Damora” refers to Damora Therapeutics, Inc. and its consolidated subsidiaries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2454910</wp:posOffset>
            </wp:positionH>
            <wp:positionV relativeFrom="paragraph">
              <wp:posOffset>-987425</wp:posOffset>
            </wp:positionV>
            <wp:extent cx="13519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11"/>
        <w:spacing w:after="0" w:line="261" w:lineRule="auto"/>
        <w:rPr>
          <w:sz w:val="20"/>
          <w:szCs w:val="20"/>
          <w:color w:val="auto"/>
        </w:rPr>
      </w:pPr>
      <w:r>
        <w:rPr>
          <w:rFonts w:ascii="Times New Roman" w:cs="Times New Roman" w:eastAsia="Times New Roman" w:hAnsi="Times New Roman"/>
          <w:sz w:val="18"/>
          <w:szCs w:val="18"/>
          <w:color w:val="auto"/>
        </w:rPr>
        <w:t>We are a clinical-stage biotech company developing antibody therapies for patients with mutant calreticulin (“mutCALR”)-driven blood disorders — serious conditions with no approved treatments that specifically address the underlying cause. We currently have three product candidates designed to treat myeloproliferative neoplasms (“MPNs”), a group of blood cancers in which the bone marrow overproduces blood cells. Our lead product candidate, DMR-001, is currently being evaluated in our Phase 1/1b CLARITY-101 clinical trial.</w:t>
      </w:r>
    </w:p>
    <w:p>
      <w:pPr>
        <w:spacing w:after="0" w:line="112" w:lineRule="exact"/>
        <w:rPr>
          <w:sz w:val="20"/>
          <w:szCs w:val="20"/>
          <w:color w:val="auto"/>
        </w:rPr>
      </w:pPr>
    </w:p>
    <w:p>
      <w:pPr>
        <w:ind w:right="240" w:firstLine="511"/>
        <w:spacing w:after="0" w:line="261" w:lineRule="auto"/>
        <w:rPr>
          <w:sz w:val="20"/>
          <w:szCs w:val="20"/>
          <w:color w:val="auto"/>
        </w:rPr>
      </w:pPr>
      <w:r>
        <w:rPr>
          <w:rFonts w:ascii="Times New Roman" w:cs="Times New Roman" w:eastAsia="Times New Roman" w:hAnsi="Times New Roman"/>
          <w:sz w:val="18"/>
          <w:szCs w:val="18"/>
          <w:color w:val="auto"/>
        </w:rPr>
        <w:t>Our product candidates leverage multiple distinct antibody mechanisms to target mutCALR, and together have the potential to address the full spectrum of patients with mutCALR-driven MPNs, regardless of mutation type, disease subtype or disease severity. Combined with proprietary antibody design features enabling high potency across CALR mutation types, we believe each asset profile has best-in-class potential. Our portfolio of mutCALR targeted therapies includes:</w:t>
      </w:r>
    </w:p>
    <w:p>
      <w:pPr>
        <w:spacing w:after="0" w:line="97" w:lineRule="exact"/>
        <w:rPr>
          <w:sz w:val="20"/>
          <w:szCs w:val="20"/>
          <w:color w:val="auto"/>
        </w:rPr>
      </w:pPr>
    </w:p>
    <w:p>
      <w:pPr>
        <w:ind w:left="1260" w:right="560" w:hanging="380"/>
        <w:spacing w:after="0" w:line="284"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DMR-001</w:t>
      </w:r>
      <w:r>
        <w:rPr>
          <w:rFonts w:ascii="Times New Roman" w:cs="Times New Roman" w:eastAsia="Times New Roman" w:hAnsi="Times New Roman"/>
          <w:sz w:val="18"/>
          <w:szCs w:val="18"/>
          <w:color w:val="auto"/>
        </w:rPr>
        <w:t>, an Fc-null antibody designed to block mutCALR-mediated oncogenic signaling, without engaging the immune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effector functions.</w:t>
      </w:r>
    </w:p>
    <w:p>
      <w:pPr>
        <w:spacing w:after="0" w:line="50" w:lineRule="exact"/>
        <w:rPr>
          <w:rFonts w:ascii="Times New Roman" w:cs="Times New Roman" w:eastAsia="Times New Roman" w:hAnsi="Times New Roman"/>
          <w:sz w:val="18"/>
          <w:szCs w:val="18"/>
          <w:color w:val="auto"/>
        </w:rPr>
      </w:pPr>
    </w:p>
    <w:p>
      <w:pPr>
        <w:ind w:left="1260" w:right="140" w:hanging="380"/>
        <w:spacing w:after="0" w:line="284"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DMR-002</w:t>
      </w:r>
      <w:r>
        <w:rPr>
          <w:rFonts w:ascii="Times New Roman" w:cs="Times New Roman" w:eastAsia="Times New Roman" w:hAnsi="Times New Roman"/>
          <w:sz w:val="18"/>
          <w:szCs w:val="18"/>
          <w:color w:val="auto"/>
        </w:rPr>
        <w:t>, an afucosylated antibody designed to enhance antibody-dependent cellular cytotoxicity and amplify natural immune killing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malignant cells.</w:t>
      </w:r>
    </w:p>
    <w:p>
      <w:pPr>
        <w:spacing w:after="0" w:line="50" w:lineRule="exact"/>
        <w:rPr>
          <w:rFonts w:ascii="Times New Roman" w:cs="Times New Roman" w:eastAsia="Times New Roman" w:hAnsi="Times New Roman"/>
          <w:sz w:val="18"/>
          <w:szCs w:val="18"/>
          <w:color w:val="auto"/>
        </w:rPr>
      </w:pPr>
    </w:p>
    <w:p>
      <w:pPr>
        <w:ind w:left="1260" w:hanging="380"/>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DMR-003</w:t>
      </w:r>
      <w:r>
        <w:rPr>
          <w:rFonts w:ascii="Times New Roman" w:cs="Times New Roman" w:eastAsia="Times New Roman" w:hAnsi="Times New Roman"/>
          <w:sz w:val="18"/>
          <w:szCs w:val="18"/>
          <w:color w:val="auto"/>
        </w:rPr>
        <w:t>, a bi-specific T-cell engager antibody designed to recruit and direct T-cell-mediated killing of malignant cells.</w:t>
      </w:r>
    </w:p>
    <w:p>
      <w:pPr>
        <w:spacing w:after="0" w:line="22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Both DMR-001 and DMR-002 are designed to have pan-mutant activity against Type 1 and non-Type 1 mutCALR, including Type 2 mutCALR, and an extended half-life supporting convenient once-monthly subcutaneous administration.</w:t>
      </w:r>
    </w:p>
    <w:p>
      <w:pPr>
        <w:spacing w:after="0" w:line="162" w:lineRule="exact"/>
        <w:rPr>
          <w:sz w:val="20"/>
          <w:szCs w:val="20"/>
          <w:color w:val="auto"/>
        </w:rPr>
      </w:pPr>
    </w:p>
    <w:p>
      <w:pPr>
        <w:ind w:right="120" w:firstLine="511"/>
        <w:spacing w:after="0" w:line="254" w:lineRule="auto"/>
        <w:rPr>
          <w:sz w:val="20"/>
          <w:szCs w:val="20"/>
          <w:color w:val="auto"/>
        </w:rPr>
      </w:pPr>
      <w:r>
        <w:rPr>
          <w:rFonts w:ascii="Times New Roman" w:cs="Times New Roman" w:eastAsia="Times New Roman" w:hAnsi="Times New Roman"/>
          <w:sz w:val="18"/>
          <w:szCs w:val="18"/>
          <w:color w:val="auto"/>
        </w:rPr>
        <w:t>Beginning with our lead asset DMR-001, we are developing these candidates for the treatment of essential thrombocythemia (“ET”), an MPN associated with the overproduction of platelets, and myelofibrosis (“MF”), an MPN involving the overproliferation of blood cells and deposition of fibrous material in the bone marrow and spleen. Approximately 25% and 35% of cases of ET and MF, respectively, are caused by mutCALR rather than Janus kinase 2 (“JAK2”) or other mutations. In contrast to marketed therapies for ET and MF, DMR-001 is designed to selectively target cells that express mutCALR while avoiding the adverse effects associated with non-specific cytoreductive drugs. Furthermore, DMR-001 was designed to have increased affinity, potency and a prolonged half-life when compared with other antibodies in development that target mutCALR. We believe that DMR-001’s potential to combine increased clinical activity against all mutCALR subtypes and improved pharmacokinetics enabling optimized subcutaneous administration positions it as a potential best-in-class therapy for patients with ET and MF.</w:t>
      </w:r>
    </w:p>
    <w:p>
      <w:pPr>
        <w:spacing w:after="0" w:line="192" w:lineRule="exact"/>
        <w:rPr>
          <w:sz w:val="20"/>
          <w:szCs w:val="20"/>
          <w:color w:val="auto"/>
        </w:rPr>
      </w:pPr>
    </w:p>
    <w:p>
      <w:pPr>
        <w:ind w:right="60" w:firstLine="511"/>
        <w:spacing w:after="0" w:line="261" w:lineRule="auto"/>
        <w:rPr>
          <w:sz w:val="20"/>
          <w:szCs w:val="20"/>
          <w:color w:val="auto"/>
        </w:rPr>
      </w:pPr>
      <w:r>
        <w:rPr>
          <w:rFonts w:ascii="Times New Roman" w:cs="Times New Roman" w:eastAsia="Times New Roman" w:hAnsi="Times New Roman"/>
          <w:sz w:val="18"/>
          <w:szCs w:val="18"/>
          <w:color w:val="auto"/>
        </w:rPr>
        <w:t>ET and MF are chronic diseases that lead to significant decreases in quality of life. In addition, MF is associated with poor prognosis and increased mortality. One feature that makes MPNs attractive indications for drug development is that mutations in just a small number of genes are responsible for a significant percentage of cases, which enables the opportunity to develop targeted therapies. Our goal is to develop a portfolio of targeted mutation-directed candidates to address the full spectrum of patients with mutCALR-driven MPNs.</w:t>
      </w:r>
    </w:p>
    <w:p>
      <w:pPr>
        <w:spacing w:after="0" w:line="180" w:lineRule="exact"/>
        <w:rPr>
          <w:sz w:val="20"/>
          <w:szCs w:val="20"/>
          <w:color w:val="auto"/>
        </w:rPr>
      </w:pPr>
    </w:p>
    <w:p>
      <w:pPr>
        <w:ind w:right="640" w:firstLine="511"/>
        <w:spacing w:after="0" w:line="282" w:lineRule="auto"/>
        <w:rPr>
          <w:sz w:val="20"/>
          <w:szCs w:val="20"/>
          <w:color w:val="auto"/>
        </w:rPr>
      </w:pPr>
      <w:r>
        <w:rPr>
          <w:rFonts w:ascii="Times New Roman" w:cs="Times New Roman" w:eastAsia="Times New Roman" w:hAnsi="Times New Roman"/>
          <w:sz w:val="18"/>
          <w:szCs w:val="18"/>
          <w:color w:val="auto"/>
        </w:rPr>
        <w:t>During the third quarter of 2026, we initiated our Phase 1/1b CLARITY-101 trial of DMR-001 in ET and MF patients, with receipt of health authority approval in Australia, and we have since received clearance from the FDA to begin the trial in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79" w:right="318" w:bottom="1440" w:gutter="0" w:footer="0" w:header="0"/>
        </w:sectPr>
      </w:pPr>
    </w:p>
    <w:bookmarkStart w:id="23" w:name="page24"/>
    <w:bookmarkEnd w:id="23"/>
    <w:p>
      <w:pPr>
        <w:ind w:left="20" w:right="500"/>
        <w:spacing w:after="0" w:line="282" w:lineRule="auto"/>
        <w:rPr>
          <w:sz w:val="20"/>
          <w:szCs w:val="20"/>
          <w:color w:val="auto"/>
        </w:rPr>
      </w:pPr>
      <w:r>
        <w:rPr>
          <w:rFonts w:ascii="Times New Roman" w:cs="Times New Roman" w:eastAsia="Times New Roman" w:hAnsi="Times New Roman"/>
          <w:sz w:val="18"/>
          <w:szCs w:val="18"/>
          <w:color w:val="auto"/>
        </w:rPr>
        <w:t>United States. In parallel to advancing DMR-001, we plan to make our first regulatory submission for DMR-002 in the fourth quarter of 2026 and for DMR-003 in 2027.</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DMR-001</w:t>
      </w:r>
    </w:p>
    <w:p>
      <w:pPr>
        <w:spacing w:after="0" w:line="229" w:lineRule="exact"/>
        <w:rPr>
          <w:sz w:val="20"/>
          <w:szCs w:val="20"/>
          <w:color w:val="auto"/>
        </w:rPr>
      </w:pPr>
    </w:p>
    <w:p>
      <w:pPr>
        <w:ind w:left="20" w:right="100" w:firstLine="511"/>
        <w:spacing w:after="0" w:line="254" w:lineRule="auto"/>
        <w:rPr>
          <w:sz w:val="20"/>
          <w:szCs w:val="20"/>
          <w:color w:val="auto"/>
        </w:rPr>
      </w:pPr>
      <w:r>
        <w:rPr>
          <w:rFonts w:ascii="Times New Roman" w:cs="Times New Roman" w:eastAsia="Times New Roman" w:hAnsi="Times New Roman"/>
          <w:sz w:val="18"/>
          <w:szCs w:val="18"/>
          <w:color w:val="auto"/>
        </w:rPr>
        <w:t>DMR-001 is a monoclonal antibody that targets mutations in CALR across both Type 1 and non-Type 1 CALR mutations, including Type 2 mutations. CALR mutations are the drivers of about a quarter of all cases of ET, a disease with a prevalence in the United States of about 140,000 patients. ET is characterized by excessive production of platelets, leading to symptoms that range from tingling or burning in the hands and feet to headache, visual problems, weakness, dizziness and increased risk of blood clots, causing heart attacks, strokes and other thromboses. CALR mutations are the drivers of about 35% of all cases of MF, a disease with a prevalence in the United States of about 20,000 patients. MF is characterized by abnormal myeloid cell proliferation leading to inflammation and a fibrotic response in the bone marrow. This results in bone marrow scarring, splenomegaly, elevated cytokine levels, and bone marrow dysfunction. Symptoms include fatigue, easy bruising and bleeding, night sweats and fever. Approximately 17% of ET patients who have CALR mutations progress to MF. We believe there exists at least a $5 billion addressable market in the United States for mutCALR driven ET and MF.</w:t>
      </w:r>
    </w:p>
    <w:p>
      <w:pPr>
        <w:spacing w:after="0" w:line="188" w:lineRule="exact"/>
        <w:rPr>
          <w:sz w:val="20"/>
          <w:szCs w:val="20"/>
          <w:color w:val="auto"/>
        </w:rPr>
      </w:pPr>
    </w:p>
    <w:p>
      <w:pPr>
        <w:ind w:left="20" w:right="20" w:firstLine="511"/>
        <w:spacing w:after="0" w:line="256" w:lineRule="auto"/>
        <w:rPr>
          <w:sz w:val="20"/>
          <w:szCs w:val="20"/>
          <w:color w:val="auto"/>
        </w:rPr>
      </w:pPr>
      <w:r>
        <w:rPr>
          <w:rFonts w:ascii="Times New Roman" w:cs="Times New Roman" w:eastAsia="Times New Roman" w:hAnsi="Times New Roman"/>
          <w:sz w:val="18"/>
          <w:szCs w:val="18"/>
          <w:color w:val="auto"/>
        </w:rPr>
        <w:t>We believe that DMR-001 has the potential to become a best-in-class anti-mutCALR therapy due to multiple differentiating features compared to marketed therapies and therapies in development, including INCA033989, an anti-mutCALR antibody in clinical development by a third party. First, DMR-001 is a selective mutCALR-targeted antibody with potent activity across both Type 1 and non-Type 1 CALR mutations, including Type 2 mutations. Second, DMR-001 was engineered to have an increased half-life in circulation through the incorporation of sequence modifications that have been shown to improve pharmacokinetics and meaningfully extend the half-life of drugs in humans. We believe the combination of these features should enable DMR-001 to show improved clinical activity with a less frequent and more convenient subcutaneous delivery compared to other approaches.</w:t>
      </w:r>
    </w:p>
    <w:p>
      <w:pPr>
        <w:spacing w:after="0" w:line="187" w:lineRule="exact"/>
        <w:rPr>
          <w:sz w:val="20"/>
          <w:szCs w:val="20"/>
          <w:color w:val="auto"/>
        </w:rPr>
      </w:pPr>
    </w:p>
    <w:p>
      <w:pPr>
        <w:ind w:left="20" w:right="60" w:firstLine="511"/>
        <w:spacing w:after="0" w:line="256" w:lineRule="auto"/>
        <w:rPr>
          <w:sz w:val="20"/>
          <w:szCs w:val="20"/>
          <w:color w:val="auto"/>
        </w:rPr>
      </w:pPr>
      <w:r>
        <w:rPr>
          <w:rFonts w:ascii="Times New Roman" w:cs="Times New Roman" w:eastAsia="Times New Roman" w:hAnsi="Times New Roman"/>
          <w:sz w:val="18"/>
          <w:szCs w:val="18"/>
          <w:color w:val="auto"/>
        </w:rPr>
        <w:t>At the European Hematology Association (“EHA”) Congress in June 2026, we presented preclinical data for DMR-001 highlighting its best-in-class potential. Compared to a reference mutCALR monoclonal antibody that we generated internally for research purposes, DMR-001 showed higher affinity and slower off-rate in Type 1 and Type 2 kinetic binding models, stronger on-cell binding and inhibition of proliferation in Type 1 and Type 2 cellular assays, and longer half-life in non-human primates. Notably, DMR-001 showed 26-fold greater inhibition of cell proliferation in Type 2 mutCALR and 5-fold longer half-life versus the reference mutCALR antibody. These comparisons are based on preclinical studies conducted by us and not on head-to-head clinical trials, and results observed in preclinical models may not be predictive of results in humans.</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Summary of DMR-001 preclinical data presented at EHA 2026 Congress</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820" w:type="dxa"/>
            <w:vAlign w:val="bottom"/>
            <w:tcBorders>
              <w:top w:val="single" w:sz="8" w:color="auto"/>
              <w:left w:val="single" w:sz="8" w:color="auto"/>
              <w:bottom w:val="single" w:sz="8" w:color="auto"/>
              <w:right w:val="single" w:sz="8" w:color="auto"/>
            </w:tcBorders>
          </w:tcPr>
          <w:p>
            <w:pPr>
              <w:spacing w:after="0"/>
              <w:rPr>
                <w:sz w:val="23"/>
                <w:szCs w:val="23"/>
                <w:color w:val="auto"/>
              </w:rPr>
            </w:pPr>
          </w:p>
        </w:tc>
        <w:tc>
          <w:tcPr>
            <w:tcW w:w="2900" w:type="dxa"/>
            <w:vAlign w:val="bottom"/>
            <w:tcBorders>
              <w:top w:val="single" w:sz="8" w:color="auto"/>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DMR-001</w:t>
            </w:r>
          </w:p>
        </w:tc>
        <w:tc>
          <w:tcPr>
            <w:tcW w:w="3220" w:type="dxa"/>
            <w:vAlign w:val="bottom"/>
            <w:tcBorders>
              <w:top w:val="single" w:sz="8" w:color="auto"/>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mutCALR reference antibody</w:t>
            </w:r>
          </w:p>
        </w:tc>
      </w:tr>
      <w:tr>
        <w:trPr>
          <w:trHeight w:val="218"/>
        </w:trPr>
        <w:tc>
          <w:tcPr>
            <w:tcW w:w="3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Specificity</w:t>
            </w:r>
          </w:p>
        </w:tc>
        <w:tc>
          <w:tcPr>
            <w:tcW w:w="29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CALR mutant specific</w:t>
            </w:r>
          </w:p>
        </w:tc>
        <w:tc>
          <w:tcPr>
            <w:tcW w:w="322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CALR mutant specific</w:t>
            </w:r>
          </w:p>
        </w:tc>
      </w:tr>
      <w:tr>
        <w:trPr>
          <w:trHeight w:val="235"/>
        </w:trPr>
        <w:tc>
          <w:tcPr>
            <w:tcW w:w="3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Affinity to Type 1 del52 mutCALR (K</w:t>
            </w:r>
            <w:r>
              <w:rPr>
                <w:rFonts w:ascii="Times New Roman" w:cs="Times New Roman" w:eastAsia="Times New Roman" w:hAnsi="Times New Roman"/>
                <w:sz w:val="12"/>
                <w:szCs w:val="12"/>
                <w:color w:val="auto"/>
              </w:rPr>
              <w:t>D</w:t>
            </w:r>
            <w:r>
              <w:rPr>
                <w:rFonts w:ascii="Times New Roman" w:cs="Times New Roman" w:eastAsia="Times New Roman" w:hAnsi="Times New Roman"/>
                <w:sz w:val="18"/>
                <w:szCs w:val="18"/>
                <w:color w:val="auto"/>
              </w:rPr>
              <w:t>)</w:t>
            </w:r>
          </w:p>
        </w:tc>
        <w:tc>
          <w:tcPr>
            <w:tcW w:w="29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0.074 nM</w:t>
            </w:r>
          </w:p>
        </w:tc>
        <w:tc>
          <w:tcPr>
            <w:tcW w:w="322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1.92 nM</w:t>
            </w:r>
          </w:p>
        </w:tc>
      </w:tr>
      <w:tr>
        <w:trPr>
          <w:trHeight w:val="237"/>
        </w:trPr>
        <w:tc>
          <w:tcPr>
            <w:tcW w:w="3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Affinity to Type 2 ins5 mutCALR (K</w:t>
            </w:r>
            <w:r>
              <w:rPr>
                <w:rFonts w:ascii="Times New Roman" w:cs="Times New Roman" w:eastAsia="Times New Roman" w:hAnsi="Times New Roman"/>
                <w:sz w:val="12"/>
                <w:szCs w:val="12"/>
                <w:color w:val="auto"/>
              </w:rPr>
              <w:t>D</w:t>
            </w:r>
            <w:r>
              <w:rPr>
                <w:rFonts w:ascii="Times New Roman" w:cs="Times New Roman" w:eastAsia="Times New Roman" w:hAnsi="Times New Roman"/>
                <w:sz w:val="18"/>
                <w:szCs w:val="18"/>
                <w:color w:val="auto"/>
              </w:rPr>
              <w:t>)</w:t>
            </w:r>
          </w:p>
        </w:tc>
        <w:tc>
          <w:tcPr>
            <w:tcW w:w="29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0.31 nM</w:t>
            </w:r>
          </w:p>
        </w:tc>
        <w:tc>
          <w:tcPr>
            <w:tcW w:w="322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9.20 nM</w:t>
            </w:r>
          </w:p>
        </w:tc>
      </w:tr>
      <w:tr>
        <w:trPr>
          <w:trHeight w:val="236"/>
        </w:trPr>
        <w:tc>
          <w:tcPr>
            <w:tcW w:w="3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Fc status</w:t>
            </w:r>
          </w:p>
        </w:tc>
        <w:tc>
          <w:tcPr>
            <w:tcW w:w="29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Effector null</w:t>
            </w:r>
          </w:p>
        </w:tc>
        <w:tc>
          <w:tcPr>
            <w:tcW w:w="322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Effector null</w:t>
            </w:r>
          </w:p>
        </w:tc>
      </w:tr>
      <w:tr>
        <w:trPr>
          <w:trHeight w:val="236"/>
        </w:trPr>
        <w:tc>
          <w:tcPr>
            <w:tcW w:w="3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Non-human primate PK half-life (days)</w:t>
            </w:r>
          </w:p>
        </w:tc>
        <w:tc>
          <w:tcPr>
            <w:tcW w:w="29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15</w:t>
            </w:r>
          </w:p>
        </w:tc>
        <w:tc>
          <w:tcPr>
            <w:tcW w:w="322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3.1</w:t>
            </w:r>
          </w:p>
        </w:tc>
      </w:tr>
      <w:tr>
        <w:trPr>
          <w:trHeight w:val="232"/>
        </w:trPr>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Predicted dosing</w:t>
            </w:r>
          </w:p>
        </w:tc>
        <w:tc>
          <w:tcPr>
            <w:tcW w:w="2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Subcutaneous, monthly</w:t>
            </w:r>
          </w:p>
        </w:tc>
        <w:tc>
          <w:tcPr>
            <w:tcW w:w="32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Intravenous, every two weeks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-1134110</wp:posOffset>
            </wp:positionV>
            <wp:extent cx="6300470" cy="11576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6300470" cy="11576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PK, pharmacokinetics; nM, nanomolar</w:t>
      </w:r>
    </w:p>
    <w:p>
      <w:pPr>
        <w:spacing w:after="0" w:line="127" w:lineRule="exact"/>
        <w:rPr>
          <w:sz w:val="20"/>
          <w:szCs w:val="20"/>
          <w:color w:val="auto"/>
        </w:rPr>
      </w:pPr>
    </w:p>
    <w:p>
      <w:pPr>
        <w:ind w:left="20" w:right="240"/>
        <w:spacing w:after="0" w:line="282" w:lineRule="auto"/>
        <w:rPr>
          <w:sz w:val="20"/>
          <w:szCs w:val="20"/>
          <w:color w:val="auto"/>
        </w:rPr>
      </w:pPr>
      <w:r>
        <w:rPr>
          <w:rFonts w:ascii="Times New Roman" w:cs="Times New Roman" w:eastAsia="Times New Roman" w:hAnsi="Times New Roman"/>
          <w:sz w:val="18"/>
          <w:szCs w:val="18"/>
          <w:color w:val="auto"/>
        </w:rPr>
        <w:t>Additional preclinical data for DMR-001 highlighting its differentiated potency against non-Type 1 mutCALR have been accepted for presentation at the American Society of Hematology (“ASH”) Annual Meeting in December 2026.</w:t>
      </w:r>
    </w:p>
    <w:p>
      <w:pPr>
        <w:spacing w:after="0" w:line="162" w:lineRule="exact"/>
        <w:rPr>
          <w:sz w:val="20"/>
          <w:szCs w:val="20"/>
          <w:color w:val="auto"/>
        </w:rPr>
      </w:pPr>
    </w:p>
    <w:p>
      <w:pPr>
        <w:ind w:left="20" w:right="240" w:firstLine="511"/>
        <w:spacing w:after="0" w:line="261" w:lineRule="auto"/>
        <w:rPr>
          <w:sz w:val="20"/>
          <w:szCs w:val="20"/>
          <w:color w:val="auto"/>
        </w:rPr>
      </w:pPr>
      <w:r>
        <w:rPr>
          <w:rFonts w:ascii="Times New Roman" w:cs="Times New Roman" w:eastAsia="Times New Roman" w:hAnsi="Times New Roman"/>
          <w:sz w:val="18"/>
          <w:szCs w:val="18"/>
          <w:color w:val="auto"/>
        </w:rPr>
        <w:t>Patient enrollment is ongoing in the Phase 1/1b CLARITY-101 trial of DMR-001 in ET and MF patients. In the third quarter of 2026, we initiated the trial with receipt of health authority approval in Australia, and we have since received clearance from the U.S. FDA to begin the trial in the United States. We have submitted and plan to submit additional regulatory applications for DMR-001 in the fourth quarter of 2026 to further expand the trial to additional geographies and enable two proof-of-concept readouts beginning mid-2027.</w:t>
      </w:r>
    </w:p>
    <w:p>
      <w:pPr>
        <w:spacing w:after="0" w:line="180" w:lineRule="exact"/>
        <w:rPr>
          <w:sz w:val="20"/>
          <w:szCs w:val="20"/>
          <w:color w:val="auto"/>
        </w:rPr>
      </w:pPr>
    </w:p>
    <w:p>
      <w:pPr>
        <w:ind w:left="20" w:firstLine="511"/>
        <w:spacing w:after="0" w:line="261" w:lineRule="auto"/>
        <w:rPr>
          <w:sz w:val="20"/>
          <w:szCs w:val="20"/>
          <w:color w:val="auto"/>
        </w:rPr>
      </w:pPr>
      <w:r>
        <w:rPr>
          <w:rFonts w:ascii="Times New Roman" w:cs="Times New Roman" w:eastAsia="Times New Roman" w:hAnsi="Times New Roman"/>
          <w:sz w:val="18"/>
          <w:szCs w:val="18"/>
          <w:color w:val="auto"/>
        </w:rPr>
        <w:t>The CLARITY-101 trial is designed to rapidly identify a recommended dose for the expansion cohorts leveraging an adaptive Bayesian design enabling patient enrichment, dose escalation in a combined ET and MF population, and a starting dose of 100 mg administered subcutaneously once monthly, which is expected to be in the range of anticipated therapeutic exposure based on preclinical data showing high potency and extended half-life. We plan to initiate expansion cohorts in 2027 in multiple ET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484505</wp:posOffset>
            </wp:positionV>
            <wp:extent cx="71831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80"/>
          </w:cols>
          <w:pgMar w:left="320" w:top="1399" w:right="318" w:bottom="1440" w:gutter="0" w:footer="0" w:header="0"/>
        </w:sectPr>
      </w:pPr>
    </w:p>
    <w:bookmarkStart w:id="24" w:name="page25"/>
    <w:bookmarkEnd w:id="24"/>
    <w:p>
      <w:pPr>
        <w:ind w:left="7"/>
        <w:spacing w:after="0"/>
        <w:rPr>
          <w:sz w:val="20"/>
          <w:szCs w:val="20"/>
          <w:color w:val="auto"/>
        </w:rPr>
      </w:pPr>
      <w:r>
        <w:rPr>
          <w:rFonts w:ascii="Times New Roman" w:cs="Times New Roman" w:eastAsia="Times New Roman" w:hAnsi="Times New Roman"/>
          <w:sz w:val="18"/>
          <w:szCs w:val="18"/>
          <w:color w:val="auto"/>
        </w:rPr>
        <w:t>MF patient populations. Subject to the results of the CLARITY-101 trial, we plan to initiate Phase 3 development of DMR-001 as early as mid-2028.</w:t>
      </w:r>
    </w:p>
    <w:p>
      <w:pPr>
        <w:spacing w:after="0" w:line="2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i w:val="1"/>
          <w:iCs w:val="1"/>
          <w:color w:val="auto"/>
        </w:rPr>
        <w:t>Our Strategy</w:t>
      </w:r>
    </w:p>
    <w:p>
      <w:pPr>
        <w:spacing w:after="0" w:line="121" w:lineRule="exact"/>
        <w:rPr>
          <w:sz w:val="20"/>
          <w:szCs w:val="20"/>
          <w:color w:val="auto"/>
        </w:rPr>
      </w:pPr>
    </w:p>
    <w:p>
      <w:pPr>
        <w:ind w:left="7" w:firstLine="511"/>
        <w:spacing w:after="0" w:line="282" w:lineRule="auto"/>
        <w:rPr>
          <w:sz w:val="20"/>
          <w:szCs w:val="20"/>
          <w:color w:val="auto"/>
        </w:rPr>
      </w:pPr>
      <w:r>
        <w:rPr>
          <w:rFonts w:ascii="Times New Roman" w:cs="Times New Roman" w:eastAsia="Times New Roman" w:hAnsi="Times New Roman"/>
          <w:sz w:val="18"/>
          <w:szCs w:val="18"/>
          <w:color w:val="auto"/>
        </w:rPr>
        <w:t>Our goal is to develop potential best-in-class therapies to treat a range of hematologic disorders, including MPNs such as ET and MF. Our strategy to achieve this is as follows:</w:t>
      </w:r>
    </w:p>
    <w:p>
      <w:pPr>
        <w:spacing w:after="0" w:line="50" w:lineRule="exact"/>
        <w:rPr>
          <w:sz w:val="20"/>
          <w:szCs w:val="20"/>
          <w:color w:val="auto"/>
        </w:rPr>
      </w:pPr>
    </w:p>
    <w:p>
      <w:pPr>
        <w:ind w:left="747" w:right="20" w:firstLine="4"/>
        <w:spacing w:after="0" w:line="262" w:lineRule="auto"/>
        <w:tabs>
          <w:tab w:leader="none" w:pos="11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Rapidly execute the global Phase 1/1b clinical trial of DMR-001. </w:t>
      </w:r>
      <w:r>
        <w:rPr>
          <w:rFonts w:ascii="Times New Roman" w:cs="Times New Roman" w:eastAsia="Times New Roman" w:hAnsi="Times New Roman"/>
          <w:sz w:val="18"/>
          <w:szCs w:val="18"/>
          <w:color w:val="auto"/>
        </w:rPr>
        <w:t>We aim to rapidly advance the global CLARITY-101 trial to confirm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DMR-001’s differentiated profile, identify a recommended dose for future studies and explore its clinical potential in multiple ET and MF patient populations. We expect the readout of two proof-of-concept datasets from this trial beginning mid-2027 and anticipate these data will support our plans for Phase 3 registration-directed trials for DMR-001.</w:t>
      </w:r>
    </w:p>
    <w:p>
      <w:pPr>
        <w:spacing w:after="0" w:line="68" w:lineRule="exact"/>
        <w:rPr>
          <w:rFonts w:ascii="Times New Roman" w:cs="Times New Roman" w:eastAsia="Times New Roman" w:hAnsi="Times New Roman"/>
          <w:sz w:val="18"/>
          <w:szCs w:val="18"/>
          <w:color w:val="auto"/>
        </w:rPr>
      </w:pPr>
    </w:p>
    <w:p>
      <w:pPr>
        <w:jc w:val="both"/>
        <w:ind w:left="747" w:right="20" w:firstLine="4"/>
        <w:spacing w:after="0" w:line="268" w:lineRule="auto"/>
        <w:tabs>
          <w:tab w:leader="none" w:pos="11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 early in preparation for late-stage development of DMR-001. </w:t>
      </w:r>
      <w:r>
        <w:rPr>
          <w:rFonts w:ascii="Times New Roman" w:cs="Times New Roman" w:eastAsia="Times New Roman" w:hAnsi="Times New Roman"/>
          <w:sz w:val="18"/>
          <w:szCs w:val="18"/>
          <w:color w:val="auto"/>
        </w:rPr>
        <w:t>Although DMR-001 is not the first anti-mutCALR antibody to 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clinic, we believe that it has the potential to be best-in-class. We intend to be in a position to execute additional clinical trials for DMR-001 in response to both the results that we generate and to those of our competitors, with the intention of minimizing unnecessary delays.</w:t>
      </w:r>
    </w:p>
    <w:p>
      <w:pPr>
        <w:spacing w:after="0" w:line="62" w:lineRule="exact"/>
        <w:rPr>
          <w:rFonts w:ascii="Times New Roman" w:cs="Times New Roman" w:eastAsia="Times New Roman" w:hAnsi="Times New Roman"/>
          <w:sz w:val="18"/>
          <w:szCs w:val="18"/>
          <w:color w:val="auto"/>
        </w:rPr>
      </w:pPr>
    </w:p>
    <w:p>
      <w:pPr>
        <w:ind w:left="747" w:right="260" w:firstLine="4"/>
        <w:spacing w:after="0" w:line="259" w:lineRule="auto"/>
        <w:tabs>
          <w:tab w:leader="none" w:pos="11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DMR-002 and DMR-003 into clinical development, as part of a comprehensive portfolio strategy. </w:t>
      </w:r>
      <w:r>
        <w:rPr>
          <w:rFonts w:ascii="Times New Roman" w:cs="Times New Roman" w:eastAsia="Times New Roman" w:hAnsi="Times New Roman"/>
          <w:sz w:val="18"/>
          <w:szCs w:val="18"/>
          <w:color w:val="auto"/>
        </w:rPr>
        <w:t>Our differentiated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portfolio leverages multiple distinct antibody mechanisms with the potential to address the full spectrum of patients with mutCALR-driven MPNs, regardless of mutation type, disease subtype or disease severity. This includes our lead asset DMR-001, an Fc-null antibody, as well as DMR-002, an afucosylated antibody, and DMR-003, a bi-specific T-cell engager. As we advance DMR-001 in the clinic, we plan to make our first regulatory submissions for DMR-002 in the fourth quarter of 2026 and for DMR-003 in 2027.</w:t>
      </w:r>
    </w:p>
    <w:p>
      <w:pPr>
        <w:spacing w:after="0" w:line="71" w:lineRule="exact"/>
        <w:rPr>
          <w:rFonts w:ascii="Times New Roman" w:cs="Times New Roman" w:eastAsia="Times New Roman" w:hAnsi="Times New Roman"/>
          <w:sz w:val="18"/>
          <w:szCs w:val="18"/>
          <w:color w:val="auto"/>
        </w:rPr>
      </w:pPr>
    </w:p>
    <w:p>
      <w:pPr>
        <w:ind w:left="747" w:right="360" w:firstLine="4"/>
        <w:spacing w:after="0" w:line="286" w:lineRule="auto"/>
        <w:tabs>
          <w:tab w:leader="none" w:pos="11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 focused company infrastructure and foster a positive corporate culture. </w:t>
      </w:r>
      <w:r>
        <w:rPr>
          <w:rFonts w:ascii="Times New Roman" w:cs="Times New Roman" w:eastAsia="Times New Roman" w:hAnsi="Times New Roman"/>
          <w:sz w:val="18"/>
          <w:szCs w:val="18"/>
          <w:color w:val="auto"/>
        </w:rPr>
        <w:t>We are building the infrastructure of Damora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incorporating our commitments to science-driven drug development and rapidly addressing the needs of patients with hematologic disorders.</w:t>
      </w:r>
    </w:p>
    <w:p>
      <w:pPr>
        <w:spacing w:after="0" w:line="4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Paragon Option Agreement</w:t>
      </w:r>
    </w:p>
    <w:p>
      <w:pPr>
        <w:spacing w:after="0" w:line="229" w:lineRule="exact"/>
        <w:rPr>
          <w:sz w:val="20"/>
          <w:szCs w:val="20"/>
          <w:color w:val="auto"/>
        </w:rPr>
      </w:pPr>
    </w:p>
    <w:p>
      <w:pPr>
        <w:ind w:left="7" w:firstLine="511"/>
        <w:spacing w:after="0" w:line="254" w:lineRule="auto"/>
        <w:rPr>
          <w:sz w:val="20"/>
          <w:szCs w:val="20"/>
          <w:color w:val="auto"/>
        </w:rPr>
      </w:pPr>
      <w:r>
        <w:rPr>
          <w:rFonts w:ascii="Times New Roman" w:cs="Times New Roman" w:eastAsia="Times New Roman" w:hAnsi="Times New Roman"/>
          <w:sz w:val="18"/>
          <w:szCs w:val="18"/>
          <w:color w:val="auto"/>
        </w:rPr>
        <w:t>We received the option to license certain intellectual property rights related to certain research programs (collectively, the "Option"), pursuant to the Antibody Discovery and Option Agreement, dated as of October 7, 2025, by and among Paragon Therapeutics, Inc. (“Paragon”), Paramora Holding LLC (“Paramora”) and Damora Therapeutics, Inc. ("Pre-Acquisition Damora") (the “Paragon Option Agreement”). The Paragon Option Agreement was acquired under the Agreement and Plan of Merger entered into with Pre-Acquisition Damora in November 2025. Under the terms of the Paragon Option Agreement, Paragon agreed to perform certain research activities to discover, generate, identify, and characterize one or more antibody candidates directed to certain mutually agreed therapeutic targets of interest (each, a “Research Program”). The Paragon Option Agreement includes mutCALR as the selected target for two Research Programs, identified as “DMR-001” and “DMR-002,” and mutCALR and CD3 as the selected targets for the third Research Program, identified as “DMR-003.” From time to time, we may choose to add additional targets to the Paragon Option Agreement by mutual agreement with Paragon and Paramora.</w:t>
      </w:r>
    </w:p>
    <w:p>
      <w:pPr>
        <w:spacing w:after="0" w:line="188" w:lineRule="exact"/>
        <w:rPr>
          <w:sz w:val="20"/>
          <w:szCs w:val="20"/>
          <w:color w:val="auto"/>
        </w:rPr>
      </w:pPr>
    </w:p>
    <w:p>
      <w:pPr>
        <w:ind w:left="7" w:right="140" w:firstLine="511"/>
        <w:spacing w:after="0" w:line="276" w:lineRule="auto"/>
        <w:rPr>
          <w:sz w:val="20"/>
          <w:szCs w:val="20"/>
          <w:color w:val="auto"/>
        </w:rPr>
      </w:pPr>
      <w:r>
        <w:rPr>
          <w:rFonts w:ascii="Times New Roman" w:cs="Times New Roman" w:eastAsia="Times New Roman" w:hAnsi="Times New Roman"/>
          <w:sz w:val="17"/>
          <w:szCs w:val="17"/>
          <w:color w:val="auto"/>
        </w:rPr>
        <w:t>Under the Paragon Option Agreement, we are required to pay Paragon a one-time, non-refundable research initiation fee within 30 days following finalization of a Research Plan (as defined in the Paragon Option Agreement) in the amount of $1.25 million for each of DMR-001, DMR-002, and DMR-</w:t>
      </w:r>
    </w:p>
    <w:p>
      <w:pPr>
        <w:spacing w:after="0" w:line="1" w:lineRule="exact"/>
        <w:rPr>
          <w:sz w:val="20"/>
          <w:szCs w:val="20"/>
          <w:color w:val="auto"/>
        </w:rPr>
      </w:pPr>
    </w:p>
    <w:p>
      <w:pPr>
        <w:ind w:left="7" w:right="20" w:hanging="7"/>
        <w:spacing w:after="0" w:line="251" w:lineRule="auto"/>
        <w:tabs>
          <w:tab w:leader="none" w:pos="3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Plans for each of DMR-001, DMR-002, and DMR-003 were completed in December 2025, and we paid the related fees in January 2026. On November 3, 2026, we entered into a license agreement with Paragon (the “Paragon License Agreement”), pursuant to which Paragon granted us an exclusive, worldwide, royalty-bearing license in the Field (as defined in the Paragon License Agreement), to develop, manufacture, commercialize or otherwise exploit certain antibodies and products targeting mutCALR under the Research Programs, DMR-001 and DMR-002. Under the Paragon License Agreement, we are obligated to pay Paragon, on a product-by-product basis, up to $22.0 million per licensed product upon the achievement of specified development, clinical and regulatory milestones, inclusive of milestone payments previously made under the Paragon Option Agreement. We have paid Paragon development candidate milestone payments of $1.5 million with respect to each of DMR-001 and DMR-002. We are obligated to make a milestone payment of $2.5</w:t>
      </w:r>
    </w:p>
    <w:p>
      <w:pPr>
        <w:spacing w:after="0" w:line="200" w:lineRule="exact"/>
        <w:rPr>
          <w:sz w:val="20"/>
          <w:szCs w:val="20"/>
          <w:color w:val="auto"/>
        </w:rPr>
      </w:pPr>
    </w:p>
    <w:p>
      <w:pPr>
        <w:spacing w:after="0" w:line="2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399" w:right="318" w:bottom="1440" w:gutter="0" w:footer="0" w:header="0"/>
        </w:sectPr>
      </w:pPr>
    </w:p>
    <w:bookmarkStart w:id="25" w:name="page26"/>
    <w:bookmarkEnd w:id="25"/>
    <w:p>
      <w:pPr>
        <w:ind w:right="160"/>
        <w:spacing w:after="0" w:line="282" w:lineRule="auto"/>
        <w:rPr>
          <w:sz w:val="20"/>
          <w:szCs w:val="20"/>
          <w:color w:val="auto"/>
        </w:rPr>
      </w:pPr>
      <w:r>
        <w:rPr>
          <w:rFonts w:ascii="Times New Roman" w:cs="Times New Roman" w:eastAsia="Times New Roman" w:hAnsi="Times New Roman"/>
          <w:sz w:val="18"/>
          <w:szCs w:val="18"/>
          <w:color w:val="auto"/>
        </w:rPr>
        <w:t>million upon the first dosing of a human in a Phase 1 trial of a licensed product. For additional information, see Part II, Item 5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Relationship with Fairmount, Paragon and Paramora</w:t>
      </w:r>
    </w:p>
    <w:p>
      <w:pPr>
        <w:spacing w:after="0" w:line="229" w:lineRule="exact"/>
        <w:rPr>
          <w:sz w:val="20"/>
          <w:szCs w:val="20"/>
          <w:color w:val="auto"/>
        </w:rPr>
      </w:pPr>
    </w:p>
    <w:p>
      <w:pPr>
        <w:ind w:right="80" w:firstLine="511"/>
        <w:spacing w:after="0" w:line="273" w:lineRule="auto"/>
        <w:rPr>
          <w:sz w:val="20"/>
          <w:szCs w:val="20"/>
          <w:color w:val="auto"/>
        </w:rPr>
      </w:pPr>
      <w:r>
        <w:rPr>
          <w:rFonts w:ascii="Times New Roman" w:cs="Times New Roman" w:eastAsia="Times New Roman" w:hAnsi="Times New Roman"/>
          <w:sz w:val="17"/>
          <w:szCs w:val="17"/>
          <w:color w:val="auto"/>
        </w:rPr>
        <w:t>In connection with the Asset Acquisition, we assumed the rights and obligations of Pre-Acquisition Damora under the Paragon Option Agreement. Fairmount Funds Management LLC (“Fairmount”) beneficially owns more than 5% of Paragon, appointed Paragon’s board of directors, and has the contractual right to approve the appointment of any executive officers of Paragon. Paramora is an entity formed by Paragon as a vehicle to hold equity in Pre-Acquisition Damora (and as a result of the Asset Acquisition, us) in order to share profits with certain employees of Paragon and will not perform any substantive role under the Paragon Option Agreement other than to receive warrants expected to be granted to Paramora under the Paragon Option Agreement. Three of our directors are affiliated with Fairmount (Peter Harwin, Christopher Cain, Ph.D., and Julianne Bruno) and were appointed in accordance with the Agreement and Plan of Merger relating to the Asset Acquisition. We consider Paragon, Paramora, and Fairmount to be related parties.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 ATM Offering Program and February 2026 Public Offering</w:t>
      </w:r>
    </w:p>
    <w:p>
      <w:pPr>
        <w:spacing w:after="0" w:line="229" w:lineRule="exact"/>
        <w:rPr>
          <w:sz w:val="20"/>
          <w:szCs w:val="20"/>
          <w:color w:val="auto"/>
        </w:rPr>
      </w:pPr>
    </w:p>
    <w:p>
      <w:pPr>
        <w:ind w:right="140" w:firstLine="511"/>
        <w:spacing w:after="0" w:line="282" w:lineRule="auto"/>
        <w:rPr>
          <w:sz w:val="20"/>
          <w:szCs w:val="20"/>
          <w:color w:val="auto"/>
        </w:rPr>
      </w:pPr>
      <w:r>
        <w:rPr>
          <w:rFonts w:ascii="Times New Roman" w:cs="Times New Roman" w:eastAsia="Times New Roman" w:hAnsi="Times New Roman"/>
          <w:sz w:val="18"/>
          <w:szCs w:val="18"/>
          <w:color w:val="auto"/>
        </w:rPr>
        <w:t>On February 10, 2026, we filed an automatically effective shelf registration statement (the “Registration Statement”) with the SEC for the issuance of Ordinary Shares, preferred shares, warrants, debt securities, rights and units, which was amended on August 10, 2026.</w:t>
      </w:r>
    </w:p>
    <w:p>
      <w:pPr>
        <w:spacing w:after="0" w:line="162" w:lineRule="exact"/>
        <w:rPr>
          <w:sz w:val="20"/>
          <w:szCs w:val="20"/>
          <w:color w:val="auto"/>
        </w:rPr>
      </w:pPr>
    </w:p>
    <w:p>
      <w:pPr>
        <w:ind w:right="140" w:firstLine="511"/>
        <w:spacing w:after="0" w:line="282" w:lineRule="auto"/>
        <w:rPr>
          <w:sz w:val="20"/>
          <w:szCs w:val="20"/>
          <w:color w:val="auto"/>
        </w:rPr>
      </w:pPr>
      <w:r>
        <w:rPr>
          <w:rFonts w:ascii="Times New Roman" w:cs="Times New Roman" w:eastAsia="Times New Roman" w:hAnsi="Times New Roman"/>
          <w:sz w:val="18"/>
          <w:szCs w:val="18"/>
          <w:color w:val="auto"/>
        </w:rPr>
        <w:t>On February 10, 2026, we entered into a sales agreement (the “ATM Agreement”), which was amended on August 10, 2026, pursuant to which we may sell, from time-to-time, Ordinary Shares under an ATM offering program for up to $150.0 million.</w:t>
      </w:r>
    </w:p>
    <w:p>
      <w:pPr>
        <w:spacing w:after="0" w:line="162" w:lineRule="exact"/>
        <w:rPr>
          <w:sz w:val="20"/>
          <w:szCs w:val="20"/>
          <w:color w:val="auto"/>
        </w:rPr>
      </w:pPr>
    </w:p>
    <w:p>
      <w:pPr>
        <w:ind w:right="160" w:firstLine="511"/>
        <w:spacing w:after="0" w:line="261" w:lineRule="auto"/>
        <w:rPr>
          <w:sz w:val="20"/>
          <w:szCs w:val="20"/>
          <w:color w:val="auto"/>
        </w:rPr>
      </w:pPr>
      <w:r>
        <w:rPr>
          <w:rFonts w:ascii="Times New Roman" w:cs="Times New Roman" w:eastAsia="Times New Roman" w:hAnsi="Times New Roman"/>
          <w:sz w:val="18"/>
          <w:szCs w:val="18"/>
          <w:color w:val="auto"/>
        </w:rPr>
        <w:t>On February 10, 2026, we entered into an underwriting agreement with certain underwriters to issue and sell 16,644,737 Ordinary Shares, which included the full exercise by the underwriters of their option to purchase an additional 2,171,052 shares, at a public offering price of $19.00 per share (the “February 2026 Offering”). The net proceeds from this offering were approximately $295.5 million, after deducting underwriting discounts and commissions and expenses of the offering. The underwritten offering closed on February 12, 2026.</w:t>
      </w:r>
    </w:p>
    <w:p>
      <w:pPr>
        <w:spacing w:after="0" w:line="180" w:lineRule="exact"/>
        <w:rPr>
          <w:sz w:val="20"/>
          <w:szCs w:val="20"/>
          <w:color w:val="auto"/>
        </w:rPr>
      </w:pPr>
    </w:p>
    <w:p>
      <w:pPr>
        <w:ind w:right="120" w:firstLine="511"/>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to advance our preclinical studies, clinical trials, and manufacturing in support of our antibody programs, as well as for additional research and development activities, working capital, and general corporate purposes. We may also use a portion of the proceeds to license, acquire or invest in new product candidates or for drug development activities related to such product candidates, complementary businesses, technology or assets.</w:t>
      </w:r>
    </w:p>
    <w:p>
      <w:pPr>
        <w:spacing w:after="0" w:line="180" w:lineRule="exact"/>
        <w:rPr>
          <w:sz w:val="20"/>
          <w:szCs w:val="20"/>
          <w:color w:val="auto"/>
        </w:rPr>
      </w:pPr>
    </w:p>
    <w:p>
      <w:pPr>
        <w:ind w:right="120" w:firstLine="511"/>
        <w:spacing w:after="0" w:line="282" w:lineRule="auto"/>
        <w:rPr>
          <w:sz w:val="20"/>
          <w:szCs w:val="20"/>
          <w:color w:val="auto"/>
        </w:rPr>
      </w:pPr>
      <w:r>
        <w:rPr>
          <w:rFonts w:ascii="Times New Roman" w:cs="Times New Roman" w:eastAsia="Times New Roman" w:hAnsi="Times New Roman"/>
          <w:sz w:val="18"/>
          <w:szCs w:val="18"/>
          <w:color w:val="auto"/>
        </w:rPr>
        <w:t>The underwritten offering was made pursuant to the Registration Statement. A final prospectus supplement dated February 10, 2026 relating to and describing the terms of the underwritten offering was filed with the SEC on February 11,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Redomestication</w:t>
      </w:r>
    </w:p>
    <w:p>
      <w:pPr>
        <w:spacing w:after="0" w:line="229" w:lineRule="exact"/>
        <w:rPr>
          <w:sz w:val="20"/>
          <w:szCs w:val="20"/>
          <w:color w:val="auto"/>
        </w:rPr>
      </w:pPr>
    </w:p>
    <w:p>
      <w:pPr>
        <w:ind w:right="60" w:firstLine="511"/>
        <w:spacing w:after="0" w:line="256" w:lineRule="auto"/>
        <w:rPr>
          <w:sz w:val="20"/>
          <w:szCs w:val="20"/>
          <w:color w:val="auto"/>
        </w:rPr>
      </w:pPr>
      <w:r>
        <w:rPr>
          <w:rFonts w:ascii="Times New Roman" w:cs="Times New Roman" w:eastAsia="Times New Roman" w:hAnsi="Times New Roman"/>
          <w:sz w:val="18"/>
          <w:szCs w:val="18"/>
          <w:color w:val="auto"/>
        </w:rPr>
        <w:t>On July 16, 2026, we changed our jurisdiction of incorporation from the State of Delaware to the Cayman Islands (the “Redomestication”) pursuant to a plan of conversion. The Redomestication became effective on July 16, 2026 and was accomplished by the filing of (i) a Certificate of Conversion with the Secretary of State of the State of Delaware and (ii) the requisite documents required under section 201 of the Companies Act (as amended) of the Cayman Islands, as well as our Cayman Islands memorandum and articles of association, with the Cayman Islands Registrar of Companies. We will continue to be treated as a U.S. corporation for all purposes under the U.S. Internal Revenue Code of 1986, as amended. For additional information, see Note 1 to our unaudited interim condensed consolidated financial statements included in this Quarterly Report on Form 10-Q.</w:t>
      </w:r>
    </w:p>
    <w:p>
      <w:pPr>
        <w:spacing w:after="0" w:line="187" w:lineRule="exact"/>
        <w:rPr>
          <w:sz w:val="20"/>
          <w:szCs w:val="20"/>
          <w:color w:val="auto"/>
        </w:rPr>
      </w:pPr>
    </w:p>
    <w:p>
      <w:pPr>
        <w:jc w:val="both"/>
        <w:ind w:firstLine="511"/>
        <w:spacing w:after="0" w:line="266" w:lineRule="auto"/>
        <w:rPr>
          <w:sz w:val="20"/>
          <w:szCs w:val="20"/>
          <w:color w:val="auto"/>
        </w:rPr>
      </w:pPr>
      <w:r>
        <w:rPr>
          <w:rFonts w:ascii="Times New Roman" w:cs="Times New Roman" w:eastAsia="Times New Roman" w:hAnsi="Times New Roman"/>
          <w:sz w:val="18"/>
          <w:szCs w:val="18"/>
          <w:color w:val="auto"/>
        </w:rPr>
        <w:t>Unless otherwise indicated, references to Ordinary Shares, Series B Preferred Shares and Series C Preferred Shares include, for periods prior to July 16, 2026, the corresponding common stock, Series B Preferred Stock and Series C Preferred Stock of Damora Delaware, each of which converted on a one-for-one basis in the Redomestication.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Macroeconomic Conditions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20"/>
          </w:cols>
          <w:pgMar w:left="340" w:top="1399" w:right="358" w:bottom="1440" w:gutter="0" w:footer="0" w:header="0"/>
        </w:sectPr>
      </w:pPr>
    </w:p>
    <w:bookmarkStart w:id="26" w:name="page27"/>
    <w:bookmarkEnd w:id="26"/>
    <w:p>
      <w:pPr>
        <w:ind w:firstLine="511"/>
        <w:spacing w:after="0" w:line="269" w:lineRule="auto"/>
        <w:rPr>
          <w:sz w:val="20"/>
          <w:szCs w:val="20"/>
          <w:color w:val="auto"/>
        </w:rPr>
      </w:pPr>
      <w:r>
        <w:rPr>
          <w:rFonts w:ascii="Times New Roman" w:cs="Times New Roman" w:eastAsia="Times New Roman" w:hAnsi="Times New Roman"/>
          <w:sz w:val="17"/>
          <w:szCs w:val="17"/>
          <w:color w:val="auto"/>
        </w:rPr>
        <w:t>The extent of the impact of macroeconomic events and conditions, including inflation, increasing interest rates, increasing financial market volatility and uncertainty, the impacts of geopolitical instabilities and government actions, including the ongoing military conflict in Ukraine, conflict between Israel and various other parties, conflicts in the Middle East, geopolitical tensions between China and the United States, and the implementation of tariffs, sanctions, export or import controls, and other measures that restrict international trade by the United States, China or other governments, and their potential supply chain impact, and public health pandemics on our operational and financial performance will continue to depend on certain developments, including the impact on our clinical studies, employee or industry events, and effect on our suppliers and manufacturers, all of which are uncertain and cannot be predicted. Adverse effects of these large macroeconomic conditions have been prevalent in many of the areas where we and our suppliers or third-party business partners conduct business, and as a result, we may experience disruptions in our operations. We may experience disruptions or delays due to these factors as well as delays due to labor shortages and supply chain disruptions in distribution of clinical trial materials, trial monitoring and data analysis that could materially adversely impact our business, results of operations and overall financial performance in future periods. As of the filing date of this Quarterly Report, the extent to which these macroeconomic events and conditions may impact our financial condition, results of operations or guidance is uncertain. The effect of these macroeconomic events and conditions may not be fully reflected in our results of operations and overall financial performance until future periods. See Part II, Item 1A “Risk Factors” for further discussion of the possible impact of these macroeconomic conditions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operating expenses since inception have consisted primarily of research and development expenses and general and administrative costs.</w:t>
      </w:r>
    </w:p>
    <w:p>
      <w:pPr>
        <w:spacing w:after="0" w:line="2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280" w:firstLine="511"/>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for the development of our product candidates and our drug discovery efforts, which include:</w:t>
      </w:r>
    </w:p>
    <w:p>
      <w:pPr>
        <w:spacing w:after="0" w:line="162" w:lineRule="exact"/>
        <w:rPr>
          <w:sz w:val="20"/>
          <w:szCs w:val="20"/>
          <w:color w:val="auto"/>
        </w:rPr>
      </w:pPr>
    </w:p>
    <w:p>
      <w:pPr>
        <w:ind w:left="1400" w:hanging="385"/>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which include salaries, benefits and share-based compensation expense;</w:t>
      </w:r>
    </w:p>
    <w:p>
      <w:pPr>
        <w:spacing w:after="0" w:line="117" w:lineRule="exact"/>
        <w:rPr>
          <w:rFonts w:ascii="Times New Roman" w:cs="Times New Roman" w:eastAsia="Times New Roman" w:hAnsi="Times New Roman"/>
          <w:sz w:val="18"/>
          <w:szCs w:val="18"/>
          <w:color w:val="auto"/>
        </w:rPr>
      </w:pPr>
    </w:p>
    <w:p>
      <w:pPr>
        <w:ind w:left="1400" w:right="420" w:hanging="385"/>
        <w:spacing w:after="0" w:line="282" w:lineRule="auto"/>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consultants and third-party contract organizations that conduct research and development activities on our behalf;</w:t>
      </w:r>
    </w:p>
    <w:p>
      <w:pPr>
        <w:spacing w:after="0" w:line="53" w:lineRule="exact"/>
        <w:rPr>
          <w:rFonts w:ascii="Times New Roman" w:cs="Times New Roman" w:eastAsia="Times New Roman" w:hAnsi="Times New Roman"/>
          <w:sz w:val="18"/>
          <w:szCs w:val="18"/>
          <w:color w:val="auto"/>
        </w:rPr>
      </w:pPr>
    </w:p>
    <w:p>
      <w:pPr>
        <w:ind w:left="1400" w:right="800" w:hanging="385"/>
        <w:spacing w:after="0" w:line="282" w:lineRule="auto"/>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and pass-through costs associated with research conducted under the Paragon Option Agreement, including share-based compensation expense from issuing warrants to Paramora;</w:t>
      </w:r>
    </w:p>
    <w:p>
      <w:pPr>
        <w:spacing w:after="0" w:line="53" w:lineRule="exact"/>
        <w:rPr>
          <w:rFonts w:ascii="Times New Roman" w:cs="Times New Roman" w:eastAsia="Times New Roman" w:hAnsi="Times New Roman"/>
          <w:sz w:val="18"/>
          <w:szCs w:val="18"/>
          <w:color w:val="auto"/>
        </w:rPr>
      </w:pPr>
    </w:p>
    <w:p>
      <w:pPr>
        <w:ind w:left="1400" w:hanging="385"/>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sponsored research service agreements;</w:t>
      </w:r>
    </w:p>
    <w:p>
      <w:pPr>
        <w:spacing w:after="0" w:line="117" w:lineRule="exact"/>
        <w:rPr>
          <w:rFonts w:ascii="Times New Roman" w:cs="Times New Roman" w:eastAsia="Times New Roman" w:hAnsi="Times New Roman"/>
          <w:sz w:val="18"/>
          <w:szCs w:val="18"/>
          <w:color w:val="auto"/>
        </w:rPr>
      </w:pPr>
    </w:p>
    <w:p>
      <w:pPr>
        <w:ind w:left="1400" w:hanging="385"/>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production of preclinical and clinical materials, including fees paid to contract manufacturers;</w:t>
      </w:r>
    </w:p>
    <w:p>
      <w:pPr>
        <w:spacing w:after="0" w:line="117" w:lineRule="exact"/>
        <w:rPr>
          <w:rFonts w:ascii="Times New Roman" w:cs="Times New Roman" w:eastAsia="Times New Roman" w:hAnsi="Times New Roman"/>
          <w:sz w:val="18"/>
          <w:szCs w:val="18"/>
          <w:color w:val="auto"/>
        </w:rPr>
      </w:pPr>
    </w:p>
    <w:p>
      <w:pPr>
        <w:ind w:left="1400" w:hanging="385"/>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and vendor expenses related to the execution of preclinical studies and planned clinical trials;</w:t>
      </w:r>
    </w:p>
    <w:p>
      <w:pPr>
        <w:spacing w:after="0" w:line="117" w:lineRule="exact"/>
        <w:rPr>
          <w:rFonts w:ascii="Times New Roman" w:cs="Times New Roman" w:eastAsia="Times New Roman" w:hAnsi="Times New Roman"/>
          <w:sz w:val="18"/>
          <w:szCs w:val="18"/>
          <w:color w:val="auto"/>
        </w:rPr>
      </w:pPr>
    </w:p>
    <w:p>
      <w:pPr>
        <w:ind w:left="1400" w:hanging="385"/>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equipment used for internal research and development activities; and</w:t>
      </w:r>
    </w:p>
    <w:p>
      <w:pPr>
        <w:spacing w:after="0" w:line="117" w:lineRule="exact"/>
        <w:rPr>
          <w:rFonts w:ascii="Times New Roman" w:cs="Times New Roman" w:eastAsia="Times New Roman" w:hAnsi="Times New Roman"/>
          <w:sz w:val="18"/>
          <w:szCs w:val="18"/>
          <w:color w:val="auto"/>
        </w:rPr>
      </w:pPr>
    </w:p>
    <w:p>
      <w:pPr>
        <w:ind w:left="1400" w:hanging="385"/>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in-process research and development programs.</w:t>
      </w:r>
    </w:p>
    <w:p>
      <w:pPr>
        <w:spacing w:after="0" w:line="225" w:lineRule="exact"/>
        <w:rPr>
          <w:sz w:val="20"/>
          <w:szCs w:val="20"/>
          <w:color w:val="auto"/>
        </w:rPr>
      </w:pPr>
    </w:p>
    <w:p>
      <w:pPr>
        <w:ind w:right="300" w:firstLine="511"/>
        <w:spacing w:after="0" w:line="266"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including for acquired in-process research and development. Costs for certain research and development activities are recognized based on an evaluation of the progress to completion of specific tasks using information and data provided to us by our vendors and third-party service providers.</w:t>
      </w:r>
    </w:p>
    <w:p>
      <w:pPr>
        <w:spacing w:after="0" w:line="176" w:lineRule="exact"/>
        <w:rPr>
          <w:sz w:val="20"/>
          <w:szCs w:val="20"/>
          <w:color w:val="auto"/>
        </w:rPr>
      </w:pPr>
    </w:p>
    <w:p>
      <w:pPr>
        <w:ind w:firstLine="511"/>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2026, we recognized $7.2 million and $34.5 million, respectively, of research and development expenses in connection with services provided by Paragon under the Paragon Option Agreement in our condensed consolidated statements of operations and comprehensive loss.</w:t>
      </w:r>
    </w:p>
    <w:p>
      <w:pPr>
        <w:spacing w:after="0" w:line="176" w:lineRule="exact"/>
        <w:rPr>
          <w:sz w:val="20"/>
          <w:szCs w:val="20"/>
          <w:color w:val="auto"/>
        </w:rPr>
      </w:pPr>
    </w:p>
    <w:p>
      <w:pPr>
        <w:ind w:right="180" w:firstLine="511"/>
        <w:spacing w:after="0" w:line="261" w:lineRule="auto"/>
        <w:rPr>
          <w:sz w:val="20"/>
          <w:szCs w:val="20"/>
          <w:color w:val="auto"/>
        </w:rPr>
      </w:pPr>
      <w:r>
        <w:rPr>
          <w:rFonts w:ascii="Times New Roman" w:cs="Times New Roman" w:eastAsia="Times New Roman" w:hAnsi="Times New Roman"/>
          <w:sz w:val="18"/>
          <w:szCs w:val="18"/>
          <w:color w:val="auto"/>
        </w:rPr>
        <w:t>We have historically met the requirements to receive a tax credit in Denmark of up to $0.8 million per year for losses resulting from research and development costs of up to approximately $3.9 million per year. The tax credit is reported as a reduction to research and development expense in the consolidated statements of operations. We recorded a tax credit of $0.7 million in the nine months ended September 30, 2025. We recorded a tax credit of $0.1 million in the nine months ended September 30, 2026. The credits are available the following year, in 2026 and 2027,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399" w:right="318" w:bottom="1440" w:gutter="0" w:footer="0" w:header="0"/>
        </w:sectPr>
      </w:pPr>
    </w:p>
    <w:bookmarkStart w:id="27" w:name="page28"/>
    <w:bookmarkEnd w:id="27"/>
    <w:p>
      <w:pPr>
        <w:ind w:right="300" w:firstLine="511"/>
        <w:spacing w:after="0" w:line="282" w:lineRule="auto"/>
        <w:rPr>
          <w:sz w:val="20"/>
          <w:szCs w:val="20"/>
          <w:color w:val="auto"/>
        </w:rPr>
      </w:pPr>
      <w:r>
        <w:rPr>
          <w:rFonts w:ascii="Times New Roman" w:cs="Times New Roman" w:eastAsia="Times New Roman" w:hAnsi="Times New Roman"/>
          <w:sz w:val="18"/>
          <w:szCs w:val="18"/>
          <w:color w:val="auto"/>
        </w:rPr>
        <w:t>Our direct research and development expenses are not currently tracked on a program-by-program basis. We use our personnel and infrastructure resources across multiple research and development programs directed toward identifying and developing product candidates.</w:t>
      </w:r>
    </w:p>
    <w:p>
      <w:pPr>
        <w:spacing w:after="0" w:line="162" w:lineRule="exact"/>
        <w:rPr>
          <w:sz w:val="20"/>
          <w:szCs w:val="20"/>
          <w:color w:val="auto"/>
        </w:rPr>
      </w:pPr>
    </w:p>
    <w:p>
      <w:pPr>
        <w:ind w:right="60" w:firstLine="511"/>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expect our research and development expenses will increase substantially for the foreseeable future as we continue to invest in research and development activities related to the continued development of our programs, developing any future programs, including investments in manufacturing, as we advance any program we may identify and continue to conduct clinical trials. The process of conducting the necessary clinical research to obtain regulatory approval is costly and time-consuming, and the successful development of our product candidates is highly uncertain. Product candidates in later stages of clinical development generally incur higher development costs than those in earlier stages of clinical development, primarily due to the increased size and duration of later-stage clinical trials. As a result, we expect that if we pursue further development and testing of our product candidates, our research and development expenses will increase as our product candidates advance into clinical development and/or later stages of clinical development.</w:t>
      </w:r>
    </w:p>
    <w:p>
      <w:pPr>
        <w:spacing w:after="0" w:line="192" w:lineRule="exact"/>
        <w:rPr>
          <w:sz w:val="20"/>
          <w:szCs w:val="20"/>
          <w:color w:val="auto"/>
        </w:rPr>
      </w:pPr>
    </w:p>
    <w:p>
      <w:pPr>
        <w:ind w:firstLine="511"/>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and the current stage of development of our product candidates and programs, we cannot reasonably estimate or know the nature, timing and estimated costs necessary to complete the remainder of the development of our product candidates or programs through commercialization. We are also unable to predict if, when, or to what extent we will obtain approval and generate revenues from the commercialization and sale of our product candidates. The duration, costs and timing of preclinical studies, clinical trials, development and commercialization of our product candidates will depend on a variety of factors, including:</w:t>
      </w:r>
    </w:p>
    <w:p>
      <w:pPr>
        <w:spacing w:after="0" w:line="183" w:lineRule="exact"/>
        <w:rPr>
          <w:sz w:val="20"/>
          <w:szCs w:val="20"/>
          <w:color w:val="auto"/>
        </w:rPr>
      </w:pPr>
    </w:p>
    <w:p>
      <w:pPr>
        <w:ind w:left="1400" w:right="60" w:hanging="385"/>
        <w:spacing w:after="0" w:line="282" w:lineRule="auto"/>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including DMR-001, DMR-002, DMR-003 and any other product candidates we develop in the future;</w:t>
      </w:r>
    </w:p>
    <w:p>
      <w:pPr>
        <w:spacing w:after="0" w:line="53" w:lineRule="exact"/>
        <w:rPr>
          <w:rFonts w:ascii="Times New Roman" w:cs="Times New Roman" w:eastAsia="Times New Roman" w:hAnsi="Times New Roman"/>
          <w:sz w:val="18"/>
          <w:szCs w:val="18"/>
          <w:color w:val="auto"/>
        </w:rPr>
      </w:pPr>
    </w:p>
    <w:p>
      <w:pPr>
        <w:ind w:left="1400" w:right="740" w:hanging="385"/>
        <w:spacing w:after="0" w:line="282" w:lineRule="auto"/>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our clinical programs that support an acceptable risk-benefit profile of our product candidates in the intended patient populations;</w:t>
      </w:r>
    </w:p>
    <w:p>
      <w:pPr>
        <w:spacing w:after="0" w:line="53" w:lineRule="exact"/>
        <w:rPr>
          <w:rFonts w:ascii="Times New Roman" w:cs="Times New Roman" w:eastAsia="Times New Roman" w:hAnsi="Times New Roman"/>
          <w:sz w:val="18"/>
          <w:szCs w:val="18"/>
          <w:color w:val="auto"/>
        </w:rPr>
      </w:pPr>
    </w:p>
    <w:p>
      <w:pPr>
        <w:ind w:left="1400" w:right="340" w:hanging="385"/>
        <w:spacing w:after="0" w:line="282" w:lineRule="auto"/>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regulatory authorities in Europe or other regulatory agencies of regulatory filings for DMR-001, DMR-002, DMR-003 and any future product candidates;</w:t>
      </w:r>
    </w:p>
    <w:p>
      <w:pPr>
        <w:spacing w:after="0" w:line="53" w:lineRule="exact"/>
        <w:rPr>
          <w:rFonts w:ascii="Times New Roman" w:cs="Times New Roman" w:eastAsia="Times New Roman" w:hAnsi="Times New Roman"/>
          <w:sz w:val="18"/>
          <w:szCs w:val="18"/>
          <w:color w:val="auto"/>
        </w:rPr>
      </w:pPr>
    </w:p>
    <w:p>
      <w:pPr>
        <w:ind w:left="1400" w:hanging="385"/>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workforce of experienced scientists and others to continue to develop our product candidates;</w:t>
      </w:r>
    </w:p>
    <w:p>
      <w:pPr>
        <w:spacing w:after="0" w:line="117" w:lineRule="exact"/>
        <w:rPr>
          <w:rFonts w:ascii="Times New Roman" w:cs="Times New Roman" w:eastAsia="Times New Roman" w:hAnsi="Times New Roman"/>
          <w:sz w:val="18"/>
          <w:szCs w:val="18"/>
          <w:color w:val="auto"/>
        </w:rPr>
      </w:pPr>
    </w:p>
    <w:p>
      <w:pPr>
        <w:ind w:left="1400" w:hanging="385"/>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application for and 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400" w:hanging="385"/>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intellectual property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400" w:hanging="385"/>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 with third-party manufacturers for, or establishment of, commercial manufacturing capabilities;</w:t>
      </w:r>
    </w:p>
    <w:p>
      <w:pPr>
        <w:spacing w:after="0" w:line="117" w:lineRule="exact"/>
        <w:rPr>
          <w:rFonts w:ascii="Times New Roman" w:cs="Times New Roman" w:eastAsia="Times New Roman" w:hAnsi="Times New Roman"/>
          <w:sz w:val="18"/>
          <w:szCs w:val="18"/>
          <w:color w:val="auto"/>
        </w:rPr>
      </w:pPr>
    </w:p>
    <w:p>
      <w:pPr>
        <w:ind w:left="1400" w:right="240" w:hanging="385"/>
        <w:spacing w:after="0" w:line="282" w:lineRule="auto"/>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sales, marketing and distribution capabilities and successful launch of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1400" w:hanging="385"/>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400" w:hanging="385"/>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competition with other therapies;</w:t>
      </w:r>
    </w:p>
    <w:p>
      <w:pPr>
        <w:spacing w:after="0" w:line="117" w:lineRule="exact"/>
        <w:rPr>
          <w:rFonts w:ascii="Times New Roman" w:cs="Times New Roman" w:eastAsia="Times New Roman" w:hAnsi="Times New Roman"/>
          <w:sz w:val="18"/>
          <w:szCs w:val="18"/>
          <w:color w:val="auto"/>
        </w:rPr>
      </w:pPr>
    </w:p>
    <w:p>
      <w:pPr>
        <w:ind w:left="1400" w:right="100" w:hanging="385"/>
        <w:spacing w:after="0" w:line="282" w:lineRule="auto"/>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coverage, adequate pricing and adequate reimbursement from third-party payors, including government payors;</w:t>
      </w:r>
    </w:p>
    <w:p>
      <w:pPr>
        <w:spacing w:after="0" w:line="53" w:lineRule="exact"/>
        <w:rPr>
          <w:rFonts w:ascii="Times New Roman" w:cs="Times New Roman" w:eastAsia="Times New Roman" w:hAnsi="Times New Roman"/>
          <w:sz w:val="18"/>
          <w:szCs w:val="18"/>
          <w:color w:val="auto"/>
        </w:rPr>
      </w:pPr>
    </w:p>
    <w:p>
      <w:pPr>
        <w:ind w:left="1400" w:hanging="385"/>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enforcement, defense and protection of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400" w:hanging="385"/>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avoidance of infringement, misappropriation or other violations with respect to others’ intellectual property or proprietary rights; and</w:t>
      </w:r>
    </w:p>
    <w:p>
      <w:pPr>
        <w:spacing w:after="0" w:line="117" w:lineRule="exact"/>
        <w:rPr>
          <w:rFonts w:ascii="Times New Roman" w:cs="Times New Roman" w:eastAsia="Times New Roman" w:hAnsi="Times New Roman"/>
          <w:sz w:val="18"/>
          <w:szCs w:val="18"/>
          <w:color w:val="auto"/>
        </w:rPr>
      </w:pPr>
    </w:p>
    <w:p>
      <w:pPr>
        <w:ind w:left="1400" w:hanging="385"/>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profile of our products following receipt of any marketing approvals.</w:t>
      </w:r>
    </w:p>
    <w:p>
      <w:pPr>
        <w:spacing w:after="0" w:line="225" w:lineRule="exact"/>
        <w:rPr>
          <w:sz w:val="20"/>
          <w:szCs w:val="20"/>
          <w:color w:val="auto"/>
        </w:rPr>
      </w:pPr>
    </w:p>
    <w:p>
      <w:pPr>
        <w:ind w:right="220" w:firstLine="511"/>
        <w:spacing w:after="0" w:line="256" w:lineRule="auto"/>
        <w:rPr>
          <w:sz w:val="20"/>
          <w:szCs w:val="20"/>
          <w:color w:val="auto"/>
        </w:rPr>
      </w:pPr>
      <w:r>
        <w:rPr>
          <w:rFonts w:ascii="Times New Roman" w:cs="Times New Roman" w:eastAsia="Times New Roman" w:hAnsi="Times New Roman"/>
          <w:sz w:val="18"/>
          <w:szCs w:val="18"/>
          <w:color w:val="auto"/>
        </w:rPr>
        <w:t>We may never succeed in achieving regulatory approval for any of our product candidates.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399" w:right="318" w:bottom="1440" w:gutter="0" w:footer="0" w:header="0"/>
        </w:sectPr>
      </w:pPr>
    </w:p>
    <w:bookmarkStart w:id="28" w:name="page29"/>
    <w:bookmarkEnd w:id="28"/>
    <w:p>
      <w:pPr>
        <w:ind w:right="160"/>
        <w:spacing w:after="0" w:line="282" w:lineRule="auto"/>
        <w:rPr>
          <w:sz w:val="20"/>
          <w:szCs w:val="20"/>
          <w:color w:val="auto"/>
        </w:rPr>
      </w:pPr>
      <w:r>
        <w:rPr>
          <w:rFonts w:ascii="Times New Roman" w:cs="Times New Roman" w:eastAsia="Times New Roman" w:hAnsi="Times New Roman"/>
          <w:sz w:val="18"/>
          <w:szCs w:val="18"/>
          <w:color w:val="auto"/>
        </w:rPr>
        <w:t>our preclinical studies or clinical trials, we could be required to expend significant additional financial resources and time on the completion of preclinical and clinical development.</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80" w:firstLine="511"/>
        <w:spacing w:after="0" w:line="272" w:lineRule="auto"/>
        <w:rPr>
          <w:sz w:val="20"/>
          <w:szCs w:val="20"/>
          <w:color w:val="auto"/>
        </w:rPr>
      </w:pPr>
      <w:r>
        <w:rPr>
          <w:rFonts w:ascii="Times New Roman" w:cs="Times New Roman" w:eastAsia="Times New Roman" w:hAnsi="Times New Roman"/>
          <w:sz w:val="17"/>
          <w:szCs w:val="17"/>
          <w:color w:val="auto"/>
        </w:rPr>
        <w:t>Our general and administrative expenses consist primarily of personnel costs, depreciation expense and other expenses for outside professional services, including legal, human resources, audit and accounting services and facility-related fees not otherwise included in research and development expenses. Personnel costs consist of salaries, benefits and share-based compensation expense, for our personnel in executive, finance and accounting, business operations and other administrative functions. We expect that our general and administrative expenses will increase substantially for the foreseeable future as we increase our headcount and further establish our office space to support our expected growth. We also expect to incur increased expenses as a public company, including increased costs of accounting, audit, legal, regulatory and tax related services associated with maintaining compliance with SEC requirements, additional director and officer insurance costs, and investor and public relations costs. We also expect to incur additional intellectual property-related expenses as we file patent applications to protect innovations arising from our research and development activities.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other income (expense), net is comprised of:</w:t>
      </w:r>
    </w:p>
    <w:p>
      <w:pPr>
        <w:spacing w:after="0" w:line="225" w:lineRule="exact"/>
        <w:rPr>
          <w:sz w:val="20"/>
          <w:szCs w:val="20"/>
          <w:color w:val="auto"/>
        </w:rPr>
      </w:pPr>
    </w:p>
    <w:p>
      <w:pPr>
        <w:ind w:left="1400" w:right="160" w:hanging="385"/>
        <w:spacing w:after="0" w:line="266" w:lineRule="auto"/>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sale of IP: Reflects the sale of GB3226, a preclinical asset previously being developed for the treatment of acute myeloid leukemia, and certain other legacy assets in exchange for cash. The sale occurred following our decision to deprioritize GB3226, as we continue to focus on antibody therapies for patients with mutCALR-driven blood disorders.</w:t>
      </w:r>
    </w:p>
    <w:p>
      <w:pPr>
        <w:spacing w:after="0" w:line="67" w:lineRule="exact"/>
        <w:rPr>
          <w:rFonts w:ascii="Times New Roman" w:cs="Times New Roman" w:eastAsia="Times New Roman" w:hAnsi="Times New Roman"/>
          <w:sz w:val="18"/>
          <w:szCs w:val="18"/>
          <w:color w:val="auto"/>
        </w:rPr>
      </w:pPr>
    </w:p>
    <w:p>
      <w:pPr>
        <w:ind w:left="1400" w:right="380" w:hanging="385"/>
        <w:spacing w:after="0" w:line="282" w:lineRule="auto"/>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The interest income earned on our cash, cash equivalents and marketable securities is recorded in our statements of operations.</w:t>
      </w:r>
    </w:p>
    <w:p>
      <w:pPr>
        <w:spacing w:after="0" w:line="53" w:lineRule="exact"/>
        <w:rPr>
          <w:rFonts w:ascii="Times New Roman" w:cs="Times New Roman" w:eastAsia="Times New Roman" w:hAnsi="Times New Roman"/>
          <w:sz w:val="18"/>
          <w:szCs w:val="18"/>
          <w:color w:val="auto"/>
        </w:rPr>
      </w:pPr>
    </w:p>
    <w:p>
      <w:pPr>
        <w:jc w:val="both"/>
        <w:ind w:left="1400" w:right="580" w:hanging="385"/>
        <w:spacing w:after="0" w:line="312" w:lineRule="auto"/>
        <w:tabs>
          <w:tab w:leader="none" w:pos="1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exchange: The functional currency of our subsidiaries in Denmark and Sweden is the Euro. Transactions denominated in currencies other than the Euro result in exchange gains and losses that are recorded in our consolidated statements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2026 and 2025</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sets forth our results of operations for the three months ended September 30, 2026 and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25,475</w:t>
            </w:r>
          </w:p>
        </w:tc>
        <w:tc>
          <w:tcPr>
            <w:tcW w:w="160" w:type="dxa"/>
            <w:vAlign w:val="bottom"/>
          </w:tcPr>
          <w:p>
            <w:pPr>
              <w:spacing w:after="0"/>
              <w:rPr>
                <w:sz w:val="18"/>
                <w:szCs w:val="18"/>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16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9,648</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vMerge w:val="continue"/>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(36,863)</w:t>
            </w:r>
          </w:p>
        </w:tc>
        <w:tc>
          <w:tcPr>
            <w:tcW w:w="16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(33,707)</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21083%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vMerge w:val="continue"/>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(31,991)</w:t>
            </w:r>
          </w:p>
        </w:tc>
        <w:tc>
          <w:tcPr>
            <w:tcW w:w="16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(28,858)</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vMerge w:val="continue"/>
          </w:tcPr>
          <w:p>
            <w:pPr>
              <w:spacing w:after="0"/>
              <w:rPr>
                <w:sz w:val="21"/>
                <w:szCs w:val="21"/>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(31,991)</w:t>
            </w:r>
          </w:p>
        </w:tc>
        <w:tc>
          <w:tcPr>
            <w:tcW w:w="160" w:type="dxa"/>
            <w:vAlign w:val="bottom"/>
            <w:tcBorders>
              <w:lef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(28,858)</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560" w:type="dxa"/>
            <w:vAlign w:val="bottom"/>
          </w:tcPr>
          <w:p>
            <w:pPr>
              <w:spacing w:after="0"/>
              <w:rPr>
                <w:sz w:val="24"/>
                <w:szCs w:val="24"/>
                <w:color w:val="auto"/>
              </w:rPr>
            </w:pPr>
          </w:p>
        </w:tc>
        <w:tc>
          <w:tcPr>
            <w:tcW w:w="43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6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-1799590</wp:posOffset>
            </wp:positionV>
            <wp:extent cx="6858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4847590</wp:posOffset>
            </wp:positionH>
            <wp:positionV relativeFrom="paragraph">
              <wp:posOffset>-1799590</wp:posOffset>
            </wp:positionV>
            <wp:extent cx="60325"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5773420</wp:posOffset>
            </wp:positionH>
            <wp:positionV relativeFrom="paragraph">
              <wp:posOffset>-1799590</wp:posOffset>
            </wp:positionV>
            <wp:extent cx="60325"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-1225550</wp:posOffset>
            </wp:positionV>
            <wp:extent cx="6858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4847590</wp:posOffset>
            </wp:positionH>
            <wp:positionV relativeFrom="paragraph">
              <wp:posOffset>-1225550</wp:posOffset>
            </wp:positionV>
            <wp:extent cx="60325"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5773420</wp:posOffset>
            </wp:positionH>
            <wp:positionV relativeFrom="paragraph">
              <wp:posOffset>-1225550</wp:posOffset>
            </wp:positionV>
            <wp:extent cx="60325"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-933450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-916305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4847590</wp:posOffset>
            </wp:positionH>
            <wp:positionV relativeFrom="paragraph">
              <wp:posOffset>-933450</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4847590</wp:posOffset>
            </wp:positionH>
            <wp:positionV relativeFrom="paragraph">
              <wp:posOffset>-916305</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5773420</wp:posOffset>
            </wp:positionH>
            <wp:positionV relativeFrom="paragraph">
              <wp:posOffset>-933450</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5773420</wp:posOffset>
            </wp:positionH>
            <wp:positionV relativeFrom="paragraph">
              <wp:posOffset>-916305</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6699250</wp:posOffset>
            </wp:positionH>
            <wp:positionV relativeFrom="paragraph">
              <wp:posOffset>-933450</wp:posOffset>
            </wp:positionV>
            <wp:extent cx="939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6699250</wp:posOffset>
            </wp:positionH>
            <wp:positionV relativeFrom="paragraph">
              <wp:posOffset>-916305</wp:posOffset>
            </wp:positionV>
            <wp:extent cx="939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20" w:h="16838" w:orient="portrait"/>
          <w:cols w:equalWidth="0" w:num="1">
            <w:col w:w="11260"/>
          </w:cols>
          <w:pgMar w:left="340" w:top="1399" w:right="318" w:bottom="1440" w:gutter="0" w:footer="0" w:header="0"/>
        </w:sectPr>
      </w:pPr>
    </w:p>
    <w:bookmarkStart w:id="29" w:name="page30"/>
    <w:bookmarkEnd w:id="29"/>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Research and development expenses were comprised of:</w:t>
      </w:r>
    </w:p>
    <w:p>
      <w:pPr>
        <w:spacing w:after="0" w:line="259" w:lineRule="exact"/>
        <w:rPr>
          <w:sz w:val="20"/>
          <w:szCs w:val="20"/>
          <w:color w:val="auto"/>
        </w:rPr>
      </w:pPr>
    </w:p>
    <w:tbl>
      <w:tblPr>
        <w:tblLayout w:type="fixed"/>
        <w:tblInd w:w="11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3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15"/>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studies and clinical trial-related activities</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Amortized cost of Paramora warrant obligation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Chemistry, manufacturing and control</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Personnel</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Consultants and other costs</w:t>
            </w: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-179070</wp:posOffset>
            </wp:positionV>
            <wp:extent cx="60325" cy="179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-179070</wp:posOffset>
            </wp:positionV>
            <wp:extent cx="51435"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6381750</wp:posOffset>
            </wp:positionH>
            <wp:positionV relativeFrom="paragraph">
              <wp:posOffset>-179070</wp:posOffset>
            </wp:positionV>
            <wp:extent cx="60325" cy="1797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firstLine="511"/>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$25.5 million for the three months ended September 30, 2026, compared to $1.4 million for the three months ended September 30, 2025. The increase of $24.1 million was primarily related to increased preclinical studies and clinical trial-related expenses of $7.5 million, increased chemistry, manufacturing and control (“CMC”) activities of $7.5 million, increased personnel costs of $4.7 million (of which $2.2 million relates to share-based compensation expense), costs related to the Paramora Warrant Obligation of $2.3 million, and increased consulting related costs and other research and development costs of $2.1 million. Of these research and development expenses, $7.2 million related to services provided by Paragon under the Paragon Option Agreement, including $2.3 million related to the Paramora Warrant Obligation.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240" w:firstLine="511"/>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$11.4 million for the three months ended September 30, 2026, compared to $1.7 million for the three months ended September 30, 2025. The increase of $9.6 million was primarily related to increased personnel costs of $7.2 million (of which $5.2 million relates to share-based compensation expense), increased professional fees of $1.6 million, and increased other general and administrative costs of $0.8 million, including travel, insurance, and state taxes.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ind w:right="40" w:firstLine="511"/>
        <w:spacing w:after="0" w:line="261" w:lineRule="auto"/>
        <w:rPr>
          <w:sz w:val="20"/>
          <w:szCs w:val="20"/>
          <w:color w:val="auto"/>
        </w:rPr>
      </w:pPr>
      <w:r>
        <w:rPr>
          <w:rFonts w:ascii="Times New Roman" w:cs="Times New Roman" w:eastAsia="Times New Roman" w:hAnsi="Times New Roman"/>
          <w:sz w:val="18"/>
          <w:szCs w:val="18"/>
          <w:color w:val="auto"/>
        </w:rPr>
        <w:t>Other income, net was $4.9 million for the three months ended September 30, 2026, compared to $23,000 for the three months ended September 30, 2025. The increase of $4.8 million was primarily due to interest income earned of $4.2 million from the increase in our cash, cash equivalents and marketable securities due to the issuance of Ordinary Shares in connection with the February 2026 Offering and our ATM offering program and the gain on sale of IP of $0.8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2026 and 2025</w:t>
      </w:r>
    </w:p>
    <w:p>
      <w:pPr>
        <w:spacing w:after="0" w:line="22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following sets forth our results of operations for the nine months ended September 30, 2026 and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5"/>
                <w:szCs w:val="15"/>
                <w:color w:val="auto"/>
              </w:rPr>
            </w:pPr>
          </w:p>
        </w:tc>
        <w:tc>
          <w:tcPr>
            <w:tcW w:w="154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9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90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74,792</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71,233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2001%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3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102,668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93,492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line="20" w:lineRule="exact"/>
              <w:rPr>
                <w:sz w:val="1"/>
                <w:szCs w:val="1"/>
                <w:color w:val="auto"/>
              </w:rPr>
            </w:pPr>
          </w:p>
        </w:tc>
        <w:tc>
          <w:tcPr>
            <w:tcW w:w="33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vMerge w:val="continue"/>
          </w:tcPr>
          <w:p>
            <w:pPr>
              <w:spacing w:after="0"/>
              <w:rPr>
                <w:sz w:val="19"/>
                <w:szCs w:val="19"/>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(102,668)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(9,176)</w:t>
            </w: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(93,492)</w:t>
            </w:r>
          </w:p>
        </w:tc>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15111%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line="20" w:lineRule="exact"/>
              <w:rPr>
                <w:sz w:val="1"/>
                <w:szCs w:val="1"/>
                <w:color w:val="auto"/>
              </w:rPr>
            </w:pPr>
          </w:p>
        </w:tc>
        <w:tc>
          <w:tcPr>
            <w:tcW w:w="33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vMerge w:val="continue"/>
          </w:tcPr>
          <w:p>
            <w:pPr>
              <w:spacing w:after="0"/>
              <w:rPr>
                <w:sz w:val="19"/>
                <w:szCs w:val="19"/>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(90,651)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(9,097)</w:t>
            </w: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(81,554)</w:t>
            </w:r>
          </w:p>
        </w:tc>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4850%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line="20" w:lineRule="exact"/>
              <w:rPr>
                <w:sz w:val="1"/>
                <w:szCs w:val="1"/>
                <w:color w:val="auto"/>
              </w:rPr>
            </w:pPr>
          </w:p>
        </w:tc>
        <w:tc>
          <w:tcPr>
            <w:tcW w:w="33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vMerge w:val="continue"/>
          </w:tcPr>
          <w:p>
            <w:pPr>
              <w:spacing w:after="0"/>
              <w:rPr>
                <w:sz w:val="19"/>
                <w:szCs w:val="19"/>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(90,948)</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(9,103)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(81,845)</w:t>
            </w:r>
          </w:p>
        </w:tc>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sectPr>
      </w:pPr>
    </w:p>
    <w:bookmarkStart w:id="30" w:name="page31"/>
    <w:bookmarkEnd w:id="30"/>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Research and development expenses were comprised of:</w:t>
      </w:r>
    </w:p>
    <w:p>
      <w:pPr>
        <w:spacing w:after="0" w:line="264" w:lineRule="exact"/>
        <w:rPr>
          <w:sz w:val="20"/>
          <w:szCs w:val="20"/>
          <w:color w:val="auto"/>
        </w:rPr>
      </w:pPr>
    </w:p>
    <w:tbl>
      <w:tblPr>
        <w:tblLayout w:type="fixed"/>
        <w:tblInd w:w="11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15"/>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studies and clinical trial-related activities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Amortized cost of Paramora warrant obligation</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Chemistry, manufacturing and control</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Personnel</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Consultants and other costs</w:t>
            </w: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9,182</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-179070</wp:posOffset>
            </wp:positionV>
            <wp:extent cx="60325" cy="1797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-179070</wp:posOffset>
            </wp:positionV>
            <wp:extent cx="51435" cy="1797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6381750</wp:posOffset>
            </wp:positionH>
            <wp:positionV relativeFrom="paragraph">
              <wp:posOffset>-179070</wp:posOffset>
            </wp:positionV>
            <wp:extent cx="60325" cy="179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spacing w:after="0" w:line="367"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$74.8 million for the nine months ended September 30, 2026, compared to $3.6 million for the nine months ended September 30, 2025. The increase of $71.2 million was primarily related to increased CMC activities of $26.2 million, increased preclinical studies and clinical trial-related expenses of $15.4 million, costs related to the Paramora Warrant Obligation of $11.9 million, increased personnel costs of $9.5 million (of which $5.0 million relates to share-based compensation expense) and increased consulting related costs and other research and development costs of $8.3 million. Of these research and development expenses, $34.5 million related to services provided by Paragon under the Paragon Option Agreement, including $11.9 million related to the Paramora Warrant Obligation.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240" w:firstLine="511"/>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$27.9 million for the nine months ended September 30, 2026, compared to $5.6 million for the nine months ended September 30, 2025. The increase of $22.3 million was primarily related to increased personnel costs of $16.4 million (of which $11.3 million relates to share-based compensation expense), increased professional fees of $4.2 million, and increased other general and administrative costs of $1.7 million, including travel, insurance, and state taxes.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ind w:right="60" w:firstLine="511"/>
        <w:spacing w:after="0" w:line="261" w:lineRule="auto"/>
        <w:rPr>
          <w:sz w:val="20"/>
          <w:szCs w:val="20"/>
          <w:color w:val="auto"/>
        </w:rPr>
      </w:pPr>
      <w:r>
        <w:rPr>
          <w:rFonts w:ascii="Times New Roman" w:cs="Times New Roman" w:eastAsia="Times New Roman" w:hAnsi="Times New Roman"/>
          <w:sz w:val="18"/>
          <w:szCs w:val="18"/>
          <w:color w:val="auto"/>
        </w:rPr>
        <w:t>Other income, net was $12.0 million for the nine months ended September 30, 2026, compared to $0.1 million for the nine months ended September 30, 2025. The increase of $11.9 million was due to increased interest income earned of $11.1 million from the increase in our cash, cash equivalents and marketable securities following the issuance of Ordinary Shares in connection with the February 2026 Offering and our ATM offering program and $0.8 million from the gain on sale of IP.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operations to date have been financed primarily through our initial public offering, the sale and issuance of Ordinary Shares and preferred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prior to becoming a public company, convertible notes. During the nine months ended September 30, 2026, we entered into an underwriting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February 2026 with certain underwriters to issue and sell 16,644,737 Ordinary Shares, which included the full exercise by the underwriters of their option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purchase an additional 2,171,052 shares, at a public offering price of $19.00 per share. The net proceeds from this offering were approximately $295.5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after deducting underwriting discounts and commissions and expenses of the offering. In February 2026, we entered into the ATM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was amended on August 10, 2026, pursuant to which we may sell, from time-to-time, Ordinary Shares under an ATM offering program for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$150.0 million. During the three months ended September 30, 2026, we sold an aggregate of 167,423 Ordinary Shares under the ATM offering program at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price per share of $31.59 resulting in net proceeds of $5.1 million. During the nine months ended September 30, 2026, we sold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1,407,823 Ordinary Shares under the ATM offering program at a weighted-average price per share of $25.05 resulting in net proceeds of $34.3 million.</w:t>
      </w:r>
    </w:p>
    <w:p>
      <w:pPr>
        <w:spacing w:after="0" w:line="225" w:lineRule="exact"/>
        <w:rPr>
          <w:sz w:val="20"/>
          <w:szCs w:val="20"/>
          <w:color w:val="auto"/>
        </w:rPr>
      </w:pPr>
    </w:p>
    <w:p>
      <w:pPr>
        <w:ind w:right="80" w:firstLine="511"/>
        <w:spacing w:after="0" w:line="256" w:lineRule="auto"/>
        <w:rPr>
          <w:sz w:val="20"/>
          <w:szCs w:val="20"/>
          <w:color w:val="auto"/>
        </w:rPr>
      </w:pPr>
      <w:r>
        <w:rPr>
          <w:rFonts w:ascii="Times New Roman" w:cs="Times New Roman" w:eastAsia="Times New Roman" w:hAnsi="Times New Roman"/>
          <w:sz w:val="18"/>
          <w:szCs w:val="18"/>
          <w:color w:val="auto"/>
        </w:rPr>
        <w:t>Since inception, we have had significant operating losses. Our net losses were $32.0 million and $3.1 million for the three months ended September 30, 2026 and 2025, respectively, and $90.9 million and $9.1 million for the nine months ended September 30, 2026 and 2025, respectively. As of September 30, 2026, we had an accumulated deficit of $578.3 million and $528.5 million in cash, cash equivalents and marketable securities. Our primary use of cash is to fund operating expenses, which consist primarily of research and development expenditures, and to a lesser extent, general and administrative expenditures. Cash used to fund operating expenses is impacted by the timing of when we pay these expenses, as reflected in the change in our outstanding accounts payable and accrued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00" w:lineRule="exact"/>
        <w:rPr>
          <w:sz w:val="20"/>
          <w:szCs w:val="20"/>
          <w:color w:val="auto"/>
        </w:rPr>
      </w:pPr>
    </w:p>
    <w:p>
      <w:pPr>
        <w:spacing w:after="0" w:line="302"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680" w:type="dxa"/>
        <w:tblCellMar>
          <w:top w:w="0" w:type="dxa"/>
          <w:left w:w="0" w:type="dxa"/>
          <w:bottom w:w="0" w:type="dxa"/>
          <w:right w:w="0" w:type="dxa"/>
        </w:tblCellMar>
      </w:tblPr>
      <w:tr>
        <w:trPr>
          <w:trHeight w:val="155"/>
        </w:trPr>
        <w:tc>
          <w:tcPr>
            <w:tcW w:w="53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3"/>
                <w:szCs w:val="13"/>
                <w:color w:val="auto"/>
              </w:rPr>
            </w:pPr>
          </w:p>
        </w:tc>
      </w:tr>
      <w:tr>
        <w:trPr>
          <w:trHeight w:val="155"/>
        </w:trPr>
        <w:tc>
          <w:tcPr>
            <w:tcW w:w="5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(59,699)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(7,292)</w:t>
            </w: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(178,753)</w:t>
            </w: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330,545</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92,093</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(7,292)</w:t>
            </w:r>
          </w:p>
        </w:tc>
      </w:tr>
      <w:tr>
        <w:trPr>
          <w:trHeight w:val="20"/>
        </w:trPr>
        <w:tc>
          <w:tcPr>
            <w:tcW w:w="5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5190490</wp:posOffset>
            </wp:positionH>
            <wp:positionV relativeFrom="paragraph">
              <wp:posOffset>-179705</wp:posOffset>
            </wp:positionV>
            <wp:extent cx="51435" cy="1803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51435" cy="18034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jc w:val="both"/>
        <w:ind w:firstLine="511"/>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of $59.7 million during the nine months ended September 30, 2026 was attributable to our net loss of $90.9 million, partially offset by net cash provided by changes in our operating assets and liabilities of $15.1 million and non-cash items of $16.1 million principally with respect to non-cash share-based compensation.</w:t>
      </w:r>
    </w:p>
    <w:p>
      <w:pPr>
        <w:spacing w:after="0" w:line="176" w:lineRule="exact"/>
        <w:rPr>
          <w:sz w:val="20"/>
          <w:szCs w:val="20"/>
          <w:color w:val="auto"/>
        </w:rPr>
      </w:pPr>
    </w:p>
    <w:p>
      <w:pPr>
        <w:ind w:right="60" w:firstLine="511"/>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of $7.3 million during the nine months ended September 30, 2025 was primarily attributable to our net loss of $9.1 million, partially offset by net cash provided by changes in our assets and liabilities of $1.2 million and non-cash items of $0.6 million principally with respect to share-based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right="180" w:firstLine="511"/>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of $178.8 million during the nine months ended September 30, 2026 was primarily attributable to our purchase of marketable securities of $179.5 million, partially offset by $0.8 million of proceeds received from the sale of IP.</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had no investing activities during the nine months ended September 30,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right="120" w:firstLine="511"/>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of $330.5 million for the nine months ended September 30, 2026 was primarily attributable to the issuance of Ordinary Shares in connection with the February 2026 Offering and our ATM offering program.</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had no financing activities for the nine months ended September 30,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29" w:lineRule="exact"/>
        <w:rPr>
          <w:sz w:val="20"/>
          <w:szCs w:val="20"/>
          <w:color w:val="auto"/>
        </w:rPr>
      </w:pPr>
    </w:p>
    <w:p>
      <w:pPr>
        <w:ind w:right="40" w:firstLine="511"/>
        <w:spacing w:after="0" w:line="258" w:lineRule="auto"/>
        <w:rPr>
          <w:sz w:val="20"/>
          <w:szCs w:val="20"/>
          <w:color w:val="auto"/>
        </w:rPr>
      </w:pPr>
      <w:r>
        <w:rPr>
          <w:rFonts w:ascii="Times New Roman" w:cs="Times New Roman" w:eastAsia="Times New Roman" w:hAnsi="Times New Roman"/>
          <w:sz w:val="18"/>
          <w:szCs w:val="18"/>
          <w:color w:val="auto"/>
        </w:rPr>
        <w:t>Since inception, we have not generated any revenue from product sales. We do not expect to generate any meaningful product revenue unless and until we obtain regulatory approval of and commercialize DMR-001, DMR-002, DMR-003 or any future product candidates, and we do not know when, or if, that will occur. Until we can generate significant revenue from product sales, if ever, we will continue to require substantial additional capital to develop DMR-001, DMR-002, DMR-003 or any future product candidates and fund operations for the foreseeable future. We expect our expenses to increase in connection with our</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20"/>
          </w:cols>
          <w:pgMar w:left="340" w:top="1399" w:right="358" w:bottom="1440" w:gutter="0" w:footer="0" w:header="0"/>
        </w:sectPr>
      </w:pPr>
    </w:p>
    <w:bookmarkStart w:id="32" w:name="page33"/>
    <w:bookmarkEnd w:id="32"/>
    <w:p>
      <w:pPr>
        <w:ind w:right="80"/>
        <w:spacing w:after="0" w:line="261" w:lineRule="auto"/>
        <w:rPr>
          <w:sz w:val="20"/>
          <w:szCs w:val="20"/>
          <w:color w:val="auto"/>
        </w:rPr>
      </w:pPr>
      <w:r>
        <w:rPr>
          <w:rFonts w:ascii="Times New Roman" w:cs="Times New Roman" w:eastAsia="Times New Roman" w:hAnsi="Times New Roman"/>
          <w:sz w:val="18"/>
          <w:szCs w:val="18"/>
          <w:color w:val="auto"/>
        </w:rPr>
        <w:t>ongoing activities. We are subject to all the risks involved in the development of new biopharmaceutical products, and we may encounter unforeseen expenses, difficulties, complications, delays, and other unknown factors that may harm our business. We expect to incur significant costs as we implement our development plans for DMR-001, DMR-002 and DMR-003 and we will need to obtain substantial additional funding to finance our continuing operations.</w:t>
      </w:r>
    </w:p>
    <w:p>
      <w:pPr>
        <w:spacing w:after="0" w:line="180" w:lineRule="exact"/>
        <w:rPr>
          <w:sz w:val="20"/>
          <w:szCs w:val="20"/>
          <w:color w:val="auto"/>
        </w:rPr>
      </w:pPr>
    </w:p>
    <w:p>
      <w:pPr>
        <w:ind w:firstLine="511"/>
        <w:spacing w:after="0" w:line="252" w:lineRule="auto"/>
        <w:rPr>
          <w:sz w:val="20"/>
          <w:szCs w:val="20"/>
          <w:color w:val="auto"/>
        </w:rPr>
      </w:pPr>
      <w:r>
        <w:rPr>
          <w:rFonts w:ascii="Times New Roman" w:cs="Times New Roman" w:eastAsia="Times New Roman" w:hAnsi="Times New Roman"/>
          <w:sz w:val="18"/>
          <w:szCs w:val="18"/>
          <w:color w:val="auto"/>
        </w:rPr>
        <w:t>In order to complete the development of DMR-001, DMR-002, DMR-003 or any future product candidates and to build the sales, marketing and distribution infrastructure that we believe will be necessary to commercialize product candidates, if approved, we will require substantial additional capital. Accordingly, until such time that we can generate a sufficient amount of revenue from product sales or other sources, if ever, we expect to seek to raise any necessary additional capital through private or public equity or debt financings, loans or other capital sources, which could include income from collaborations, partnerships or other marketing, distribution, licensing or other strategic arrangements with third parties, or from grants. To the extent that we raise additional capital through equity financings, such as our ATM offering program, or convertible debt securities, the ownership interest of our shareholders will be or could be diluted, and the terms of these securities may include liquidation or other preferences that adversely affect the rights of our holders of Ordinary Shares. Debt financing and equity financing, if available, may involve agreements that include covenants limiting or restricting our ability to take specific actions, including restricting our operations and limiting our ability to incur liens, issue additional debt, pay dividends, repurchase our Ordinary Shares, make certain investments or engage in merger, consolidation, licensing, or asset sale transactions. If we raise capital through collaborations, partnerships, and other similar arrangements with third parties, we may be required to grant rights to develop and market product candidates that we would otherwise prefer to develop and market ourselves. We may be unable to raise additional capital from these sources on favorable terms, or at all. Our ability to raise additional capital may be adversely impacted by potential worsening global economic conditions and the disruptions to, and volatility in, the credit and financial markets in the United States and worldwide resulting from bank failures, other general macroeconomic conditions and otherwise. Our failure to obtain sufficient capital on acceptable terms when needed could have a material adverse effect on our business, results of operations or financial condition, including requiring us to seek other alternatives which may include, among others, a delay or termination of our clinical trials or the development of our product candidates, temporary or permanent curtailment of our operations, a sale of our assets, or other alternatives with strategic or financial partners. We cannot provide assurance that we will ever generate positive cash flow from operating activities.</w:t>
      </w:r>
    </w:p>
    <w:p>
      <w:pPr>
        <w:spacing w:after="0" w:line="192" w:lineRule="exact"/>
        <w:rPr>
          <w:sz w:val="20"/>
          <w:szCs w:val="20"/>
          <w:color w:val="auto"/>
        </w:rPr>
      </w:pPr>
    </w:p>
    <w:p>
      <w:pPr>
        <w:ind w:right="100" w:firstLine="511"/>
        <w:spacing w:after="0" w:line="266"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costs related to third-party research, manufacturing and development services; laboratory expenses and costs for related supplies; clinical costs; compensation-related expenses; legal and other regulatory expenses; costs to operate as a public company; and general overhead costs.</w:t>
      </w:r>
    </w:p>
    <w:p>
      <w:pPr>
        <w:spacing w:after="0" w:line="176" w:lineRule="exact"/>
        <w:rPr>
          <w:sz w:val="20"/>
          <w:szCs w:val="20"/>
          <w:color w:val="auto"/>
        </w:rPr>
      </w:pPr>
    </w:p>
    <w:p>
      <w:pPr>
        <w:ind w:right="60" w:firstLine="511"/>
        <w:spacing w:after="0" w:line="266" w:lineRule="auto"/>
        <w:rPr>
          <w:sz w:val="20"/>
          <w:szCs w:val="20"/>
          <w:color w:val="auto"/>
        </w:rPr>
      </w:pPr>
      <w:r>
        <w:rPr>
          <w:rFonts w:ascii="Times New Roman" w:cs="Times New Roman" w:eastAsia="Times New Roman" w:hAnsi="Times New Roman"/>
          <w:sz w:val="18"/>
          <w:szCs w:val="18"/>
          <w:color w:val="auto"/>
        </w:rPr>
        <w:t>Based on current estimates of our expenses going forward, we believe that our existing cash, cash equivalents and marketable securities of $528.5 million as of September 30, 2026 will be sufficient to fund our operations into the second half of 2029. We have based these estimates on assumptions that may prove to be wrong, and we could exhaust our available capital resources sooner than we expect.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160" w:firstLine="511"/>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related disclosures of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and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ind w:right="200" w:firstLine="511"/>
        <w:spacing w:after="0" w:line="256" w:lineRule="auto"/>
        <w:rPr>
          <w:sz w:val="20"/>
          <w:szCs w:val="20"/>
          <w:color w:val="auto"/>
        </w:rPr>
      </w:pPr>
      <w:r>
        <w:rPr>
          <w:rFonts w:ascii="Times New Roman" w:cs="Times New Roman" w:eastAsia="Times New Roman" w:hAnsi="Times New Roman"/>
          <w:sz w:val="18"/>
          <w:szCs w:val="18"/>
          <w:color w:val="auto"/>
        </w:rPr>
        <w:t>We incur expenses associated with the development of our product candidates to conduct preclinical studies and clinical trials. Accounting for clinical trials relating to activities performed by clinical research organizations (“CROs”), contract manufacturing organizations (“CMOs”) and other external vendors requires management to exercise estimates in regard to the timing and accounting for these expenses. We estimate costs of research and development activities conducted by service providers, which include the conduct of sponsored research, preclinical studies and contract manufacturing activities. The diverse nature of services being provided under CRO and other arrangements, the different compensation arrangements that exist for each type of service and the lack of timely information related to certain clinical activities complicates the estimation of accruals for</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00"/>
          </w:cols>
          <w:pgMar w:left="340" w:top="1399" w:right="378" w:bottom="1440" w:gutter="0" w:footer="0" w:header="0"/>
        </w:sectPr>
      </w:pPr>
    </w:p>
    <w:bookmarkStart w:id="33" w:name="page34"/>
    <w:bookmarkEnd w:id="33"/>
    <w:p>
      <w:pPr>
        <w:ind w:right="100"/>
        <w:spacing w:after="0" w:line="256" w:lineRule="auto"/>
        <w:rPr>
          <w:sz w:val="20"/>
          <w:szCs w:val="20"/>
          <w:color w:val="auto"/>
        </w:rPr>
      </w:pPr>
      <w:r>
        <w:rPr>
          <w:rFonts w:ascii="Times New Roman" w:cs="Times New Roman" w:eastAsia="Times New Roman" w:hAnsi="Times New Roman"/>
          <w:sz w:val="18"/>
          <w:szCs w:val="18"/>
          <w:color w:val="auto"/>
        </w:rPr>
        <w:t>services rendered by CROs, CMOs and other vendors in connection with preclinical studies and clinical trials. We record the estimated costs of research and development activities based upon the estimated amount of services provided by the CRO, CMOs and other vendors but not yet invoiced and include these costs in the accrued and other current liabilities or prepaid expenses on the balance sheets and within research and development expense on the consolidated statements of operations. In estimating the duration of a clinical study, we evaluate the start-up, treatment and wrap-up periods, compensation arrangements and services received attributable to each clinical trial and fluctuations are regularly tested against payment plans and trial completion assumptions.</w:t>
      </w:r>
    </w:p>
    <w:p>
      <w:pPr>
        <w:spacing w:after="0" w:line="187" w:lineRule="exact"/>
        <w:rPr>
          <w:sz w:val="20"/>
          <w:szCs w:val="20"/>
          <w:color w:val="auto"/>
        </w:rPr>
      </w:pPr>
    </w:p>
    <w:p>
      <w:pPr>
        <w:ind w:right="120" w:firstLine="511"/>
        <w:spacing w:after="0" w:line="261" w:lineRule="auto"/>
        <w:rPr>
          <w:sz w:val="20"/>
          <w:szCs w:val="20"/>
          <w:color w:val="auto"/>
        </w:rPr>
      </w:pPr>
      <w:r>
        <w:rPr>
          <w:rFonts w:ascii="Times New Roman" w:cs="Times New Roman" w:eastAsia="Times New Roman" w:hAnsi="Times New Roman"/>
          <w:sz w:val="18"/>
          <w:szCs w:val="18"/>
          <w:color w:val="auto"/>
        </w:rPr>
        <w:t>We estimate these costs based on factors such as estimates of the work completed and budget provided, and in accordance with agreements established with our collaboration partners and third-party service providers. We make estimates in determining the accrued liabilities and prepaid expense balances in each reporting period. As actual costs become known, we adjust our accrued liabilities or prepaid expenses. We have not experienced any material differences between accrued costs and actual costs incurred since our inception.</w:t>
      </w:r>
    </w:p>
    <w:p>
      <w:pPr>
        <w:spacing w:after="0" w:line="180" w:lineRule="exact"/>
        <w:rPr>
          <w:sz w:val="20"/>
          <w:szCs w:val="20"/>
          <w:color w:val="auto"/>
        </w:rPr>
      </w:pPr>
    </w:p>
    <w:p>
      <w:pPr>
        <w:ind w:right="20" w:firstLine="511"/>
        <w:spacing w:after="0" w:line="258" w:lineRule="auto"/>
        <w:rPr>
          <w:sz w:val="20"/>
          <w:szCs w:val="20"/>
          <w:color w:val="auto"/>
        </w:rPr>
      </w:pPr>
      <w:r>
        <w:rPr>
          <w:rFonts w:ascii="Times New Roman" w:cs="Times New Roman" w:eastAsia="Times New Roman" w:hAnsi="Times New Roman"/>
          <w:sz w:val="18"/>
          <w:szCs w:val="18"/>
          <w:color w:val="auto"/>
        </w:rPr>
        <w:t>Our expenses related to clinical trials are based on estimates of patient enrollment and related expenses at clinical investigator sites as well as estimates for the services received and efforts expended pursuant to contracts with multiple research institutions and CROs that may be used to conduct and manage clinical trials on our behalf. We generally accrue expenses related to clinical trials based on contracted amounts applied to the level of patient enrollment and activity. If timelines or contracts are modified based upon changes in the clinical trial protocol or scope of work to be performed, we modify our estimates of accrued expenses accordingly on a prospective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right="160" w:firstLine="511"/>
        <w:spacing w:after="0" w:line="261" w:lineRule="auto"/>
        <w:rPr>
          <w:sz w:val="20"/>
          <w:szCs w:val="20"/>
          <w:color w:val="auto"/>
        </w:rPr>
      </w:pPr>
      <w:r>
        <w:rPr>
          <w:rFonts w:ascii="Times New Roman" w:cs="Times New Roman" w:eastAsia="Times New Roman" w:hAnsi="Times New Roman"/>
          <w:sz w:val="18"/>
          <w:szCs w:val="18"/>
          <w:color w:val="auto"/>
        </w:rPr>
        <w:t>We have issued share-based compensation awards through the granting of share awards, which generally vest over a three- to four-year period. We account for share-based compensation in accordance with Accounting Standards Codification (“ASC”) 718, Compensation-Stock Compensation (“ASC 718”). In accordance with ASC 718, compensation cost is measured at estimated fair value and is recognized as compensation expense over the vesting period during which service is provided in exchange for the award.</w:t>
      </w:r>
    </w:p>
    <w:p>
      <w:pPr>
        <w:spacing w:after="0" w:line="180"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8"/>
          <w:szCs w:val="18"/>
          <w:color w:val="auto"/>
        </w:rPr>
        <w:t>We use a Black-Scholes option pricing model to determine fair value of our share options. The Black-Scholes option pricing model includes various assumptions, including the fair value of Ordinary Shares, expected life of share options, the expected volatility based on the historical volatility of a publicly traded set of peer companies and the expected risk-free interest rate. These assumptions reflect our best estimates, but they involve inherent uncertainties based on market conditions generally outside our control. As a result, if other assumptions had been used, share-based compensation cost could have been materially impacted. Furthermore, if we use different assumptions for future grants, share-based compensation cost could be materially impacted in future periods.</w:t>
      </w:r>
    </w:p>
    <w:p>
      <w:pPr>
        <w:spacing w:after="0" w:line="187" w:lineRule="exact"/>
        <w:rPr>
          <w:sz w:val="20"/>
          <w:szCs w:val="20"/>
          <w:color w:val="auto"/>
        </w:rPr>
      </w:pPr>
    </w:p>
    <w:p>
      <w:pPr>
        <w:ind w:right="20" w:firstLine="511"/>
        <w:spacing w:after="0" w:line="261" w:lineRule="auto"/>
        <w:rPr>
          <w:sz w:val="20"/>
          <w:szCs w:val="20"/>
          <w:color w:val="auto"/>
        </w:rPr>
      </w:pPr>
      <w:r>
        <w:rPr>
          <w:rFonts w:ascii="Times New Roman" w:cs="Times New Roman" w:eastAsia="Times New Roman" w:hAnsi="Times New Roman"/>
          <w:sz w:val="18"/>
          <w:szCs w:val="18"/>
          <w:color w:val="auto"/>
        </w:rPr>
        <w:t>The fair value of our awards in the nine months ended September 30, 2026 has been estimated using Black-Scholes based on the following assumptions: term of 6.1 years; volatility of 83.8%; risk-free rate of 4.1%; and no expectation of dividends. The fair value of our awards in the nine months ended September 30, 2025 has been estimated using Black-Scholes based on the following assumptions: term of 5.9 years; volatility of 95.9%; risk-free rate of 4.4%; and no expectation of dividends.</w:t>
      </w:r>
    </w:p>
    <w:p>
      <w:pPr>
        <w:spacing w:after="0" w:line="180" w:lineRule="exact"/>
        <w:rPr>
          <w:sz w:val="20"/>
          <w:szCs w:val="20"/>
          <w:color w:val="auto"/>
        </w:rPr>
      </w:pPr>
    </w:p>
    <w:p>
      <w:pPr>
        <w:ind w:right="160" w:firstLine="511"/>
        <w:spacing w:after="0" w:line="261" w:lineRule="auto"/>
        <w:rPr>
          <w:sz w:val="20"/>
          <w:szCs w:val="20"/>
          <w:color w:val="auto"/>
        </w:rPr>
      </w:pPr>
      <w:r>
        <w:rPr>
          <w:rFonts w:ascii="Times New Roman" w:cs="Times New Roman" w:eastAsia="Times New Roman" w:hAnsi="Times New Roman"/>
          <w:sz w:val="18"/>
          <w:szCs w:val="18"/>
          <w:color w:val="auto"/>
        </w:rPr>
        <w:t>We will continue to use judgment in evaluating the assumptions utilized for our share-based compensation expense calculations on a prospective basis. In addition to the assumptions used in the Black-Scholes model, the amount of share-based compensation expense we recognize in our consolidated financial statements reflects share option forfeitures, which we recognize as they occur, and the compensation expense is reversed in the period that the forfeiture occurs.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00" w:firstLine="511"/>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their respective tax bases, and operating losses and tax credit carryforwards. Deferred tax assets and liabilities are measured using enacted statutory tax rates expected to apply to taxable income in the jurisdictions and years in which those temporary differences are expected to be recovered or settled. The effect on deferred tax assets and liabilities of a change in tax rates is recognized in income in the period that includes the enactment date.</w:t>
      </w:r>
    </w:p>
    <w:p>
      <w:pPr>
        <w:spacing w:after="0" w:line="183" w:lineRule="exact"/>
        <w:rPr>
          <w:sz w:val="20"/>
          <w:szCs w:val="20"/>
          <w:color w:val="auto"/>
        </w:rPr>
      </w:pPr>
    </w:p>
    <w:p>
      <w:pPr>
        <w:ind w:right="100" w:firstLine="511"/>
        <w:spacing w:after="0" w:line="282" w:lineRule="auto"/>
        <w:rPr>
          <w:sz w:val="20"/>
          <w:szCs w:val="20"/>
          <w:color w:val="auto"/>
        </w:rPr>
      </w:pPr>
      <w:r>
        <w:rPr>
          <w:rFonts w:ascii="Times New Roman" w:cs="Times New Roman" w:eastAsia="Times New Roman" w:hAnsi="Times New Roman"/>
          <w:sz w:val="18"/>
          <w:szCs w:val="18"/>
          <w:color w:val="auto"/>
        </w:rPr>
        <w:t>Based on the level of historical operating results and projections for the taxable income for the future, we have determined that it is more likely than not that our net deferred tax assets will not be realized. Accordingly, we have recorded a full valuation allowance to reduce our deferred tax assets.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399" w:right="318" w:bottom="1440" w:gutter="0" w:footer="0" w:header="0"/>
        </w:sectPr>
      </w:pPr>
    </w:p>
    <w:bookmarkStart w:id="34" w:name="page35"/>
    <w:bookmarkEnd w:id="34"/>
    <w:p>
      <w:pPr>
        <w:ind w:right="280" w:firstLine="511"/>
        <w:spacing w:after="0" w:line="256" w:lineRule="auto"/>
        <w:rPr>
          <w:sz w:val="20"/>
          <w:szCs w:val="20"/>
          <w:color w:val="auto"/>
        </w:rPr>
      </w:pPr>
      <w:r>
        <w:rPr>
          <w:rFonts w:ascii="Times New Roman" w:cs="Times New Roman" w:eastAsia="Times New Roman" w:hAnsi="Times New Roman"/>
          <w:sz w:val="18"/>
          <w:szCs w:val="18"/>
          <w:color w:val="auto"/>
        </w:rPr>
        <w:t>We recognize tax benefits from uncertain tax positions only if (based on the technical merits of the position) it is more likely than not that the tax positions will be sustained on examination by the tax authority. The tax benefits recognized in the financial statements from such positions are measured based on the largest amount that is more than 50% likely to be realized upon ultimate settlement. We have not recorded any uncertain tax positions as of September 30, 2026 or December 31, 2025. We do not believe there will be any material changes in our unrecognized tax positions over the next 12 months. In the event we are assessed interest or penalties at some point in the future, they will be classified in the consolidated financial statements as a component of income tax expense. We have not incurred any interest or penalties.</w:t>
      </w:r>
    </w:p>
    <w:p>
      <w:pPr>
        <w:spacing w:after="0" w:line="187" w:lineRule="exact"/>
        <w:rPr>
          <w:sz w:val="20"/>
          <w:szCs w:val="20"/>
          <w:color w:val="auto"/>
        </w:rPr>
      </w:pPr>
    </w:p>
    <w:p>
      <w:pPr>
        <w:ind w:right="400" w:firstLine="511"/>
        <w:spacing w:after="0" w:line="261" w:lineRule="auto"/>
        <w:rPr>
          <w:sz w:val="20"/>
          <w:szCs w:val="20"/>
          <w:color w:val="auto"/>
        </w:rPr>
      </w:pPr>
      <w:r>
        <w:rPr>
          <w:rFonts w:ascii="Times New Roman" w:cs="Times New Roman" w:eastAsia="Times New Roman" w:hAnsi="Times New Roman"/>
          <w:sz w:val="18"/>
          <w:szCs w:val="18"/>
          <w:color w:val="auto"/>
        </w:rPr>
        <w:t>We operate in multiple jurisdictions, both within and outside the United States, and may be subject to audits from various tax authorities. Management’s judgment is required in determining our provision for income taxes, our deferred tax assets and liabilities, liabilities for uncertain tax positions, and any valuation allowance recorded against our net deferred tax assets. We will monitor the extent to which our deferred tax assets may be realized and adjust the valuation allowance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20" w:firstLine="511"/>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in the accompanying notes to our consolidated financial statements for the three and nine months ended September 30, 2026 and 2025 for a discussion of recent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third-party service providers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 and we cannot reasonably estimate the timing of if and when they will occur. Refer to Note 3, “Related Party Transactions,” in the accompanying notes to our consolidated financial statements for the three and nine months ended September 30, 2026 and 2025 for a discussion of our obligations under the Paragon Option Agreement. In August 2026, we entered into an operating lease, which resulted in operating lease liabilities of $1.1 million as of September 30, 2026, of which $0.2 million is classified as a current liability. Refer to Note 7, “Leases,” in the accompanying notes to our consolidated financial statements for the maturities of our operating lease liabilities. We could also enter into additional research, manufacturing, supplier and other agreements in the future, which may require up-front payments and even long-term commitments of cash.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229" w:lineRule="exact"/>
        <w:rPr>
          <w:sz w:val="20"/>
          <w:szCs w:val="20"/>
          <w:color w:val="auto"/>
        </w:rPr>
      </w:pPr>
    </w:p>
    <w:p>
      <w:pPr>
        <w:ind w:firstLine="511"/>
        <w:spacing w:after="0" w:line="251" w:lineRule="auto"/>
        <w:rPr>
          <w:sz w:val="20"/>
          <w:szCs w:val="20"/>
          <w:color w:val="auto"/>
        </w:rPr>
      </w:pPr>
      <w:r>
        <w:rPr>
          <w:rFonts w:ascii="Times New Roman" w:cs="Times New Roman" w:eastAsia="Times New Roman" w:hAnsi="Times New Roman"/>
          <w:sz w:val="18"/>
          <w:szCs w:val="18"/>
          <w:color w:val="auto"/>
        </w:rPr>
        <w:t>We currently report as a “smaller reporting company” based on our prior annual determination, as of June 30, 2025, that our annual revenue was less than $100 million and the market value of our shares held by non-affiliates was less than $700 million. As a smaller reporting company, we may choose to present only the two most recent fiscal years of audited financial statements in our Annual Report on Form 10-K, and smaller reporting companies have reduced disclosure obligations regarding executive compensation. Based on the market value of our shares held by non-affiliates as of June 30, 2026, we will cease to qualify as a smaller reporting company. Under the SEC’s transition rules, we expect that the scaled disclosure accommodations available to smaller reporting companies, including with respect to executive compensation, will remain available to us through our Annual Report on Form 10-K for the year ending December 31, 2026, including the Part III information incorporated by reference from our proxy statement for our 2027 annual general meeting, and we will remain a non-accelerated filer for our periodic reports due in 2027. As a result, our Annual Report on Form 10-K for the year ending December 31, 2026 will not be required to include an attestation report of our independent registered public accounting firm on our internal control over financial reporting pursuant to Section 404(b) of the Sarbanes-Oxley Act of 2002 and will be due within 90 days after year end. We expect to reflect the loss of smaller reporting company status beginning with our Quarterly Report on Form 10-Q for the quarter ending March 31, 2027, and we expect that our proxy statement for our 2028 annual general meeting will be required to include full executive compensation disclosure. If the market value of our shares held by non-affiliates as of June 30, 2027 is $700 million or more, we expect to become a large accelerated filer as of December 31, 2027, and if it is $560 million or more but less than $700 million, we expect to become an accelerated filer as of December 31, 2027. In either case, our Annual Report on Form</w:t>
      </w:r>
    </w:p>
    <w:p>
      <w:pPr>
        <w:spacing w:after="0" w:line="1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10-K for the year ending December 31, 2027 will be required to include such an attestation report and will be due within 60 days or 75 days, respectively, after year end.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399" w:right="318"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511"/>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Item 305(e) of Regulation S-K and are not required to provide the information otherwise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229"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8"/>
          <w:szCs w:val="18"/>
          <w:color w:val="auto"/>
        </w:rPr>
        <w:t>Our assets are primarily monetary, consisting of cash, cash equivalents and marketable securities. Because of their liquidity, these assets are not directly affected by inflation. Since we intend to retain and continue to use our equipment, furniture, fixtures and office equipment, computer hardware and software and leasehold improvements, we believe that the incremental inflation related to replacement costs of such items will not materially affect our operations. However, the rate of inflation affects our expense and use of our resources. We continue to monitor the impact of inflation on these costs in order to minimize its effects through productivity improvements and cost reductions. There can be no assurance, however, that our operating results will not be affected by inflation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80" w:firstLine="511"/>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as of the end of the period covered by this Quarterly Report on Form 10-Q, the effectiveness of our disclosure controls and procedures. Based on that evaluation of our disclosure controls and procedures, our principal executive officer and principal financial officer concluded that our disclosure controls and procedures were effective at the reasonable assurance level as of September 30, 2026.</w:t>
      </w:r>
    </w:p>
    <w:p>
      <w:pPr>
        <w:spacing w:after="0" w:line="180" w:lineRule="exact"/>
        <w:rPr>
          <w:sz w:val="20"/>
          <w:szCs w:val="20"/>
          <w:color w:val="auto"/>
        </w:rPr>
      </w:pPr>
    </w:p>
    <w:p>
      <w:pPr>
        <w:ind w:right="80" w:firstLine="511"/>
        <w:spacing w:after="0" w:line="254"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our periodic and current reports we file or submit under the Exchange Act is accumulated and communicated to our management, including our principal executive officer and principal financial and accounting officer,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w:t>
      </w:r>
    </w:p>
    <w:p>
      <w:pPr>
        <w:spacing w:after="0" w:line="229" w:lineRule="exact"/>
        <w:rPr>
          <w:sz w:val="20"/>
          <w:szCs w:val="20"/>
          <w:color w:val="auto"/>
        </w:rPr>
      </w:pPr>
    </w:p>
    <w:p>
      <w:pPr>
        <w:ind w:right="20" w:firstLine="511"/>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60" w:firstLine="511"/>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and 15d-15(f) under the Exchange Act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395" w:right="338" w:bottom="1440" w:gutter="0" w:footer="0" w:header="0"/>
        </w:sectPr>
      </w:pPr>
    </w:p>
    <w:bookmarkStart w:id="36" w:name="page37"/>
    <w:bookmarkEnd w:id="36"/>
    <w:p>
      <w:pPr>
        <w:spacing w:after="0" w:line="391"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484505</wp:posOffset>
            </wp:positionV>
            <wp:extent cx="71831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9038"/>
          </w:cols>
          <w:pgMar w:left="1440" w:top="1440"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firstLine="470"/>
        <w:spacing w:after="0" w:line="266" w:lineRule="auto"/>
        <w:rPr>
          <w:sz w:val="20"/>
          <w:szCs w:val="20"/>
          <w:color w:val="auto"/>
        </w:rPr>
      </w:pPr>
      <w:r>
        <w:rPr>
          <w:rFonts w:ascii="Times New Roman" w:cs="Times New Roman" w:eastAsia="Times New Roman" w:hAnsi="Times New Roman"/>
          <w:sz w:val="18"/>
          <w:szCs w:val="18"/>
          <w:color w:val="auto"/>
        </w:rPr>
        <w:t>We are not party to any material legal matters or claims. In the future,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11"/>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summarizes the principal factors that make an investment in the Company speculative or risky, all of which are more fully described in the Risk Factors section below. This summary should be read in conjunction with the Risk Factors section and should not be relied upon as an exhaustive summary of the material risks facing our business.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 The occurrence of any of these risks could harm our business, financial condition, results of operations and/or growth prospects or cause our actual results to differ materially from those contained in forward-looking statements we have made in this Quarterly Report and those we may make from time to time. You should consider all of the risk factors described in our public filings when evaluating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Limited Operating History, Financial Position and Capital Requirements</w:t>
      </w:r>
    </w:p>
    <w:p>
      <w:pPr>
        <w:spacing w:after="0" w:line="121" w:lineRule="exact"/>
        <w:rPr>
          <w:sz w:val="20"/>
          <w:szCs w:val="20"/>
          <w:color w:val="auto"/>
        </w:rPr>
      </w:pPr>
    </w:p>
    <w:p>
      <w:pPr>
        <w:ind w:left="1760" w:right="440" w:hanging="505"/>
        <w:spacing w:after="0" w:line="266" w:lineRule="auto"/>
        <w:tabs>
          <w:tab w:leader="none" w:pos="1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biotechnology company with a limited operating history on which to assess our business; we have no products that have been administered to humans or approved for commercial sale, which may make it difficult to evaluate our current business and likelihood of success and viability.</w:t>
      </w:r>
    </w:p>
    <w:p>
      <w:pPr>
        <w:spacing w:after="0" w:line="67" w:lineRule="exact"/>
        <w:rPr>
          <w:rFonts w:ascii="Times New Roman" w:cs="Times New Roman" w:eastAsia="Times New Roman" w:hAnsi="Times New Roman"/>
          <w:sz w:val="18"/>
          <w:szCs w:val="18"/>
          <w:color w:val="auto"/>
        </w:rPr>
      </w:pPr>
    </w:p>
    <w:p>
      <w:pPr>
        <w:ind w:left="1760" w:right="60" w:hanging="505"/>
        <w:spacing w:after="0" w:line="266" w:lineRule="auto"/>
        <w:tabs>
          <w:tab w:leader="none" w:pos="1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in the future. If we are unable to raise such capital when needed, or on acceptable terms, we may be forced to delay, reduce and/or eliminate one or more of our research programs or future commercialization efforts.</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Discovery, Development and Commercialization</w:t>
      </w:r>
    </w:p>
    <w:p>
      <w:pPr>
        <w:spacing w:after="0" w:line="121" w:lineRule="exact"/>
        <w:rPr>
          <w:sz w:val="20"/>
          <w:szCs w:val="20"/>
          <w:color w:val="auto"/>
        </w:rPr>
      </w:pPr>
    </w:p>
    <w:p>
      <w:pPr>
        <w:ind w:left="1760" w:right="580" w:hanging="505"/>
        <w:spacing w:after="0" w:line="282" w:lineRule="auto"/>
        <w:tabs>
          <w:tab w:leader="none" w:pos="1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developed or may develop product candidates for the diseases addressed by our product candidates.</w:t>
      </w:r>
    </w:p>
    <w:p>
      <w:pPr>
        <w:spacing w:after="0" w:line="53" w:lineRule="exact"/>
        <w:rPr>
          <w:rFonts w:ascii="Times New Roman" w:cs="Times New Roman" w:eastAsia="Times New Roman" w:hAnsi="Times New Roman"/>
          <w:sz w:val="18"/>
          <w:szCs w:val="18"/>
          <w:color w:val="auto"/>
        </w:rPr>
      </w:pPr>
    </w:p>
    <w:p>
      <w:pPr>
        <w:ind w:left="1760" w:right="320" w:hanging="505"/>
        <w:spacing w:after="0" w:line="266" w:lineRule="auto"/>
        <w:tabs>
          <w:tab w:leader="none" w:pos="1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in the early stages of development and may fail in development or suffer delays that materially and adversely affect our viability. If we or our current or future collaborators are unable to complete development of or commercialize our product candidates,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760" w:right="120" w:hanging="505"/>
        <w:spacing w:after="0" w:line="282" w:lineRule="auto"/>
        <w:tabs>
          <w:tab w:leader="none" w:pos="1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DMR-001, and our ongoing Phase 1/1b clinical trial and any future clinical trials of such product candidate may not be successful.</w:t>
      </w:r>
    </w:p>
    <w:p>
      <w:pPr>
        <w:spacing w:after="0" w:line="53" w:lineRule="exact"/>
        <w:rPr>
          <w:rFonts w:ascii="Times New Roman" w:cs="Times New Roman" w:eastAsia="Times New Roman" w:hAnsi="Times New Roman"/>
          <w:sz w:val="18"/>
          <w:szCs w:val="18"/>
          <w:color w:val="auto"/>
        </w:rPr>
      </w:pPr>
    </w:p>
    <w:p>
      <w:pPr>
        <w:jc w:val="both"/>
        <w:ind w:left="1760" w:right="220" w:hanging="505"/>
        <w:spacing w:after="0" w:line="266" w:lineRule="auto"/>
        <w:tabs>
          <w:tab w:leader="none" w:pos="1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our projected development objectives in the time frames we announce and expect, the commercialization of our product candidates may be delayed which may harm our reputation and prospects, increase our expenses and cause our stock price to decline.</w:t>
      </w:r>
    </w:p>
    <w:p>
      <w:pPr>
        <w:spacing w:after="0" w:line="67" w:lineRule="exact"/>
        <w:rPr>
          <w:rFonts w:ascii="Times New Roman" w:cs="Times New Roman" w:eastAsia="Times New Roman" w:hAnsi="Times New Roman"/>
          <w:sz w:val="18"/>
          <w:szCs w:val="18"/>
          <w:color w:val="auto"/>
        </w:rPr>
      </w:pPr>
    </w:p>
    <w:p>
      <w:pPr>
        <w:ind w:left="1760" w:right="20" w:hanging="505"/>
        <w:spacing w:after="0" w:line="261" w:lineRule="auto"/>
        <w:tabs>
          <w:tab w:leader="none" w:pos="1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development involves a lengthy and expensive process that is subject to delays and uncertain outcomes, and results of earlier studies and trials may not be predictive of future clinical trial results.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79" w:right="318"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Reliance on Third Parties</w:t>
      </w:r>
    </w:p>
    <w:p>
      <w:pPr>
        <w:spacing w:after="0" w:line="121" w:lineRule="exact"/>
        <w:rPr>
          <w:sz w:val="20"/>
          <w:szCs w:val="20"/>
          <w:color w:val="auto"/>
        </w:rPr>
      </w:pPr>
    </w:p>
    <w:p>
      <w:pPr>
        <w:ind w:left="1400" w:right="40" w:hanging="505"/>
        <w:spacing w:after="0" w:line="266" w:lineRule="auto"/>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collaborations and licensing arrangements with third parties, including Paragon. If we are unable to maintain these collaborations or licensing arrangements, or if these collaborations or licensing arrangements are not successful, our business could be negatively impacted.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Operations</w:t>
      </w:r>
    </w:p>
    <w:p>
      <w:pPr>
        <w:spacing w:after="0" w:line="121" w:lineRule="exact"/>
        <w:rPr>
          <w:sz w:val="20"/>
          <w:szCs w:val="20"/>
          <w:color w:val="auto"/>
        </w:rPr>
      </w:pPr>
    </w:p>
    <w:p>
      <w:pPr>
        <w:ind w:left="1400" w:right="720" w:hanging="505"/>
        <w:spacing w:after="0" w:line="282" w:lineRule="auto"/>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successfully implement our plans and strategies, we will need to grow the size of our organization and we may experience difficulties in managing this growth.</w:t>
      </w:r>
    </w:p>
    <w:p>
      <w:pPr>
        <w:spacing w:after="0" w:line="53" w:lineRule="exact"/>
        <w:rPr>
          <w:rFonts w:ascii="Times New Roman" w:cs="Times New Roman" w:eastAsia="Times New Roman" w:hAnsi="Times New Roman"/>
          <w:sz w:val="18"/>
          <w:szCs w:val="18"/>
          <w:color w:val="auto"/>
        </w:rPr>
      </w:pPr>
    </w:p>
    <w:p>
      <w:pPr>
        <w:ind w:left="1400" w:right="220" w:hanging="505"/>
        <w:spacing w:after="0" w:line="282" w:lineRule="auto"/>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53" w:lineRule="exact"/>
        <w:rPr>
          <w:rFonts w:ascii="Times New Roman" w:cs="Times New Roman" w:eastAsia="Times New Roman" w:hAnsi="Times New Roman"/>
          <w:sz w:val="18"/>
          <w:szCs w:val="18"/>
          <w:color w:val="auto"/>
        </w:rPr>
      </w:pPr>
    </w:p>
    <w:p>
      <w:pPr>
        <w:ind w:left="1400" w:right="160" w:hanging="505"/>
        <w:spacing w:after="0" w:line="282" w:lineRule="auto"/>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53" w:lineRule="exact"/>
        <w:rPr>
          <w:rFonts w:ascii="Times New Roman" w:cs="Times New Roman" w:eastAsia="Times New Roman" w:hAnsi="Times New Roman"/>
          <w:sz w:val="18"/>
          <w:szCs w:val="18"/>
          <w:color w:val="auto"/>
        </w:rPr>
      </w:pPr>
    </w:p>
    <w:p>
      <w:pPr>
        <w:ind w:left="1400" w:right="180" w:hanging="505"/>
        <w:spacing w:after="0" w:line="258" w:lineRule="auto"/>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information technology systems, or those of any of our CROs, manufacturers, other contractors or consultants, third-party service providers, or existing or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5" w:lineRule="exact"/>
        <w:rPr>
          <w:rFonts w:ascii="Times New Roman" w:cs="Times New Roman" w:eastAsia="Times New Roman" w:hAnsi="Times New Roman"/>
          <w:sz w:val="18"/>
          <w:szCs w:val="18"/>
          <w:color w:val="auto"/>
        </w:rPr>
      </w:pPr>
    </w:p>
    <w:p>
      <w:pPr>
        <w:ind w:left="1400" w:hanging="505"/>
        <w:spacing w:after="0" w:line="261" w:lineRule="auto"/>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121" w:lineRule="exact"/>
        <w:rPr>
          <w:sz w:val="20"/>
          <w:szCs w:val="20"/>
          <w:color w:val="auto"/>
        </w:rPr>
      </w:pPr>
    </w:p>
    <w:p>
      <w:pPr>
        <w:ind w:left="1400" w:right="380" w:hanging="505"/>
        <w:spacing w:after="0" w:line="282" w:lineRule="auto"/>
        <w:tabs>
          <w:tab w:leader="none" w:pos="1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portfolio is at an early stage. Therefore, our ability to obtain and protect our patent rights, and protect other proprietary rights, is uncertain, exposing us to the possible loss of competitive advantage.</w:t>
      </w:r>
    </w:p>
    <w:p>
      <w:pPr>
        <w:spacing w:after="0" w:line="53" w:lineRule="exact"/>
        <w:rPr>
          <w:rFonts w:ascii="Times New Roman" w:cs="Times New Roman" w:eastAsia="Times New Roman" w:hAnsi="Times New Roman"/>
          <w:sz w:val="18"/>
          <w:szCs w:val="18"/>
          <w:color w:val="auto"/>
        </w:rPr>
      </w:pPr>
    </w:p>
    <w:p>
      <w:pPr>
        <w:ind w:left="1400" w:right="200" w:hanging="505"/>
        <w:spacing w:after="0" w:line="282" w:lineRule="auto"/>
        <w:tabs>
          <w:tab w:leader="none" w:pos="1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or maintain necessary rights to our programs through acquisitions and in-licenses, our business may be materially harmed.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Government Regulation</w:t>
      </w:r>
    </w:p>
    <w:p>
      <w:pPr>
        <w:spacing w:after="0" w:line="121" w:lineRule="exact"/>
        <w:rPr>
          <w:sz w:val="20"/>
          <w:szCs w:val="20"/>
          <w:color w:val="auto"/>
        </w:rPr>
      </w:pPr>
    </w:p>
    <w:p>
      <w:pPr>
        <w:ind w:left="1400" w:right="20" w:hanging="505"/>
        <w:spacing w:after="0" w:line="261" w:lineRule="auto"/>
        <w:tabs>
          <w:tab w:leader="none" w:pos="1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U.S. Food and Drug Administration (the “FDA”) and other comparable foreign regulatory authorities are lengthy, time-consuming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Ownership of Our Ordinary Shares</w:t>
      </w:r>
    </w:p>
    <w:p>
      <w:pPr>
        <w:spacing w:after="0" w:line="121" w:lineRule="exact"/>
        <w:rPr>
          <w:sz w:val="20"/>
          <w:szCs w:val="20"/>
          <w:color w:val="auto"/>
        </w:rPr>
      </w:pPr>
    </w:p>
    <w:p>
      <w:pPr>
        <w:ind w:left="1400" w:hanging="505"/>
        <w:spacing w:after="0"/>
        <w:tabs>
          <w:tab w:leader="none" w:pos="1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Ordinary Shares has been and is expected to continue to be volatile.</w:t>
      </w:r>
    </w:p>
    <w:p>
      <w:pPr>
        <w:spacing w:after="0" w:line="117" w:lineRule="exact"/>
        <w:rPr>
          <w:rFonts w:ascii="Times New Roman" w:cs="Times New Roman" w:eastAsia="Times New Roman" w:hAnsi="Times New Roman"/>
          <w:sz w:val="18"/>
          <w:szCs w:val="18"/>
          <w:color w:val="auto"/>
        </w:rPr>
      </w:pPr>
    </w:p>
    <w:p>
      <w:pPr>
        <w:ind w:left="1400" w:right="240" w:hanging="505"/>
        <w:spacing w:after="0" w:line="282" w:lineRule="auto"/>
        <w:tabs>
          <w:tab w:leader="none" w:pos="1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proper and effective internal controls, our ability to produce accurate financial statements on a timely basis could be impaired.</w:t>
      </w:r>
    </w:p>
    <w:p>
      <w:pPr>
        <w:spacing w:after="0" w:line="53" w:lineRule="exact"/>
        <w:rPr>
          <w:rFonts w:ascii="Times New Roman" w:cs="Times New Roman" w:eastAsia="Times New Roman" w:hAnsi="Times New Roman"/>
          <w:sz w:val="18"/>
          <w:szCs w:val="18"/>
          <w:color w:val="auto"/>
        </w:rPr>
      </w:pPr>
    </w:p>
    <w:p>
      <w:pPr>
        <w:ind w:left="1400" w:hanging="505"/>
        <w:spacing w:after="0"/>
        <w:tabs>
          <w:tab w:leader="none" w:pos="1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 may arise between us and Paragon or us and Fairmount.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1400" w:right="360" w:hanging="505"/>
        <w:spacing w:after="0" w:line="266" w:lineRule="auto"/>
        <w:tabs>
          <w:tab w:leader="none" w:pos="1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economic downturns, inflation, fluctuating interest rates, natural disasters, public health crises, political crises, geopolitical events, or other macroeconomic conditions, which could have a material and adverse effect on our results of operations and financial condition.</w:t>
      </w:r>
    </w:p>
    <w:p>
      <w:pPr>
        <w:spacing w:after="0" w:line="67" w:lineRule="exact"/>
        <w:rPr>
          <w:rFonts w:ascii="Times New Roman" w:cs="Times New Roman" w:eastAsia="Times New Roman" w:hAnsi="Times New Roman"/>
          <w:sz w:val="18"/>
          <w:szCs w:val="18"/>
          <w:color w:val="auto"/>
        </w:rPr>
      </w:pPr>
    </w:p>
    <w:p>
      <w:pPr>
        <w:ind w:left="1400" w:hanging="505"/>
        <w:spacing w:after="0"/>
        <w:tabs>
          <w:tab w:leader="none" w:pos="1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 and the outcome of litigation could have a material adverse effect on our business.</w:t>
      </w:r>
    </w:p>
    <w:p>
      <w:pPr>
        <w:spacing w:after="0" w:line="2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484505</wp:posOffset>
            </wp:positionV>
            <wp:extent cx="71831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900"/>
          </w:cols>
          <w:pgMar w:left="700" w:top="1395" w:right="318" w:bottom="1440" w:gutter="0" w:footer="0" w:header="0"/>
        </w:sectPr>
      </w:pPr>
    </w:p>
    <w:bookmarkStart w:id="39" w:name="page40"/>
    <w:bookmarkEnd w:id="39"/>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333"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biotechnology company with a limited operating history on which to assess our business; we have no products that have been administered to humans or approved for commercial sale, which may make it difficult to evaluate our current business and likelihood of success and viability.</w:t>
      </w:r>
    </w:p>
    <w:p>
      <w:pPr>
        <w:spacing w:after="0" w:line="67"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with limited operating history. Since our inception, we have incurred operating losses with no corresponding revenue and have utilized substantially all of our resources to identify, license and develop our product candidates, organize and staff our company and provide other general and administrative support for our operations. We have limited experience as a company in initiating, conducting and completing preclinical studies and clinical trials. In part because of this lack of experience, we cannot be certain that our preclinical studies or clinical trials will begin or be completed on time, if at all. In addition, we have not yet demonstrated an ability to obtain regulatory approvals, manufacture a commercial-scale product or arrange for a third party to do so on our behalf, or conduct sales, marketing and distribution activities necessary for successful product commercialization. Consequently, any predictions about our future success or viability may not be as accurate as they could be if we had a longer operating history.</w:t>
      </w:r>
    </w:p>
    <w:p>
      <w:pPr>
        <w:spacing w:after="0" w:line="192" w:lineRule="exact"/>
        <w:rPr>
          <w:sz w:val="20"/>
          <w:szCs w:val="20"/>
          <w:color w:val="auto"/>
        </w:rPr>
      </w:pPr>
    </w:p>
    <w:p>
      <w:pPr>
        <w:ind w:right="360" w:firstLine="511"/>
        <w:spacing w:after="0" w:line="266" w:lineRule="auto"/>
        <w:rPr>
          <w:sz w:val="20"/>
          <w:szCs w:val="20"/>
          <w:color w:val="auto"/>
        </w:rPr>
      </w:pPr>
      <w:r>
        <w:rPr>
          <w:rFonts w:ascii="Times New Roman" w:cs="Times New Roman" w:eastAsia="Times New Roman" w:hAnsi="Times New Roman"/>
          <w:sz w:val="18"/>
          <w:szCs w:val="18"/>
          <w:color w:val="auto"/>
        </w:rPr>
        <w:t>In addition, as our business grows, we may encounter unforeseen expenses, restrictions, difficulties, complications, delays and other known and unknown factors. We will need to transition at some point from a company with an early research and development focus to a company capable of supporting larger scale clinical trials and eventually commercial activities. We may not be successful in such a transition.</w:t>
      </w:r>
    </w:p>
    <w:p>
      <w:pPr>
        <w:spacing w:after="0" w:line="280" w:lineRule="exact"/>
        <w:rPr>
          <w:sz w:val="20"/>
          <w:szCs w:val="20"/>
          <w:color w:val="auto"/>
        </w:rPr>
      </w:pPr>
    </w:p>
    <w:p>
      <w:pPr>
        <w:ind w:right="5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will require substantial additional capital to finance our operations in the future. If we are unable to raise such capital when needed, or on acceptable terms, we may be forced to delay, reduce and/or eliminate one or more of our research programs or future commercialization efforts.</w:t>
      </w:r>
    </w:p>
    <w:p>
      <w:pPr>
        <w:spacing w:after="0" w:line="28" w:lineRule="exact"/>
        <w:rPr>
          <w:sz w:val="20"/>
          <w:szCs w:val="20"/>
          <w:color w:val="auto"/>
        </w:rPr>
      </w:pPr>
    </w:p>
    <w:p>
      <w:pPr>
        <w:ind w:right="60" w:firstLine="511"/>
        <w:spacing w:after="0" w:line="254" w:lineRule="auto"/>
        <w:rPr>
          <w:sz w:val="20"/>
          <w:szCs w:val="20"/>
          <w:color w:val="auto"/>
        </w:rPr>
      </w:pPr>
      <w:r>
        <w:rPr>
          <w:rFonts w:ascii="Times New Roman" w:cs="Times New Roman" w:eastAsia="Times New Roman" w:hAnsi="Times New Roman"/>
          <w:sz w:val="18"/>
          <w:szCs w:val="18"/>
          <w:color w:val="auto"/>
        </w:rPr>
        <w:t>Developing biotechnology products is a long, time-consuming, expensive and uncertain process that takes years to complete. We expect our expenses to increase in connection with our ongoing activities, particularly as we conduct preclinical studies and clinical trials of, and seek regulatory approval for our product candidates, advance discovery efforts with respect to our research and research programs, and advance any future programs and product candidates that we may develop or license. Even if one or more of the programs that we develop is approved for commercial sale, we anticipate incurring significant costs associated with sales, marketing, manufacturing and distribution activities to launch any such product. Our expenses could increase beyond expectations if we are required by the FDA or other regulatory agencies to perform preclinical studies or clinical trials in addition to or more expansive than those that we currently anticipate. Because the design and outcome of our planned and anticipated clinical trials are highly uncertain, we cannot reasonably estimate the actual amount of funding that will be necessary to successfully complete the development and commercialization of any program we develop. Our future capital requirements depend on many factors, including but not limited to:</w:t>
      </w:r>
    </w:p>
    <w:p>
      <w:pPr>
        <w:spacing w:after="0" w:line="80" w:lineRule="exact"/>
        <w:rPr>
          <w:sz w:val="20"/>
          <w:szCs w:val="20"/>
          <w:color w:val="auto"/>
        </w:rPr>
      </w:pPr>
    </w:p>
    <w:p>
      <w:pPr>
        <w:ind w:left="1140" w:hanging="381"/>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design, progress, results and costs of discovery, preclinical and clinical development for our product candidates;</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clinical and commercial-scale manufacturing activities;</w:t>
      </w:r>
    </w:p>
    <w:p>
      <w:pPr>
        <w:spacing w:after="0" w:line="117" w:lineRule="exact"/>
        <w:rPr>
          <w:rFonts w:ascii="Times New Roman" w:cs="Times New Roman" w:eastAsia="Times New Roman" w:hAnsi="Times New Roman"/>
          <w:sz w:val="18"/>
          <w:szCs w:val="18"/>
          <w:color w:val="auto"/>
        </w:rPr>
      </w:pPr>
    </w:p>
    <w:p>
      <w:pPr>
        <w:ind w:left="1140" w:right="60" w:hanging="381"/>
        <w:spacing w:after="0" w:line="266"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defending and enforcing our intellectual property and proprietary rights, and defending intellectual property-related claims, including claims of infringement, misappropriation or other violations of third-party intellectual property;</w:t>
      </w:r>
    </w:p>
    <w:p>
      <w:pPr>
        <w:spacing w:after="0" w:line="6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the regulatory review of our product candidates and obtaining the requisite regulatory approvals;</w:t>
      </w:r>
    </w:p>
    <w:p>
      <w:pPr>
        <w:spacing w:after="0" w:line="117" w:lineRule="exact"/>
        <w:rPr>
          <w:rFonts w:ascii="Times New Roman" w:cs="Times New Roman" w:eastAsia="Times New Roman" w:hAnsi="Times New Roman"/>
          <w:sz w:val="18"/>
          <w:szCs w:val="18"/>
          <w:color w:val="auto"/>
        </w:rPr>
      </w:pPr>
    </w:p>
    <w:p>
      <w:pPr>
        <w:ind w:left="1140" w:right="200" w:hanging="381"/>
        <w:spacing w:after="0" w:line="282"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our future commercialization activities, either on our own or in collaboration with others, including product sales, marketing, manufacturing, and distribution for any product candidate for which we receive regulatory approval;</w:t>
      </w:r>
    </w:p>
    <w:p>
      <w:pPr>
        <w:spacing w:after="0" w:line="53"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product candidates for which we receive regulatory approval;</w:t>
      </w:r>
    </w:p>
    <w:p>
      <w:pPr>
        <w:spacing w:after="0" w:line="117" w:lineRule="exact"/>
        <w:rPr>
          <w:rFonts w:ascii="Times New Roman" w:cs="Times New Roman" w:eastAsia="Times New Roman" w:hAnsi="Times New Roman"/>
          <w:sz w:val="18"/>
          <w:szCs w:val="18"/>
          <w:color w:val="auto"/>
        </w:rPr>
      </w:pPr>
    </w:p>
    <w:p>
      <w:pPr>
        <w:ind w:left="1140" w:right="20" w:hanging="381"/>
        <w:spacing w:after="0" w:line="282"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current or future collaborations, including our collaboration with Paragon pursuant to the Paragon Option Agreement and the Paragon License Agreement and any future license agreements we enter into with Paragon;</w:t>
      </w:r>
    </w:p>
    <w:p>
      <w:pPr>
        <w:spacing w:after="0" w:line="53"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products, intellectual property and technologies;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20"/>
          </w:cols>
          <w:pgMar w:left="340" w:top="1440" w:right="358" w:bottom="1440" w:gutter="0" w:footer="0" w:header="0"/>
        </w:sectPr>
      </w:pPr>
    </w:p>
    <w:bookmarkStart w:id="40" w:name="page41"/>
    <w:bookmarkEnd w:id="40"/>
    <w:p>
      <w:pPr>
        <w:ind w:left="1140" w:hanging="381"/>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operational, financial and management information systems and associated personnel; and</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both"/>
        <w:ind w:right="20" w:firstLine="511"/>
        <w:spacing w:after="0" w:line="261" w:lineRule="auto"/>
        <w:rPr>
          <w:sz w:val="20"/>
          <w:szCs w:val="20"/>
          <w:color w:val="auto"/>
        </w:rPr>
      </w:pPr>
      <w:r>
        <w:rPr>
          <w:rFonts w:ascii="Times New Roman" w:cs="Times New Roman" w:eastAsia="Times New Roman" w:hAnsi="Times New Roman"/>
          <w:sz w:val="18"/>
          <w:szCs w:val="18"/>
          <w:color w:val="auto"/>
        </w:rPr>
        <w:t>As a result, we will require substantial additional funding to continue our operations. As of September 30, 2026, we had $528.5 million of cash, cash equivalents and marketable securities. We expect that our existing cash, cash equivalents and marketable securities will be sufficient to fund our operations into the second half of 2029. We will still need to raise additional capital to continue to fund our operations in the future. If we are unable to raise additional capital when needed, that could raise substantial doubt about our ability to continue as a going concern.</w:t>
      </w:r>
    </w:p>
    <w:p>
      <w:pPr>
        <w:spacing w:after="0" w:line="180" w:lineRule="exact"/>
        <w:rPr>
          <w:sz w:val="20"/>
          <w:szCs w:val="20"/>
          <w:color w:val="auto"/>
        </w:rPr>
      </w:pPr>
    </w:p>
    <w:p>
      <w:pPr>
        <w:ind w:firstLine="511"/>
        <w:spacing w:after="0" w:line="253" w:lineRule="auto"/>
        <w:rPr>
          <w:sz w:val="20"/>
          <w:szCs w:val="20"/>
          <w:color w:val="auto"/>
        </w:rPr>
      </w:pPr>
      <w:r>
        <w:rPr>
          <w:rFonts w:ascii="Times New Roman" w:cs="Times New Roman" w:eastAsia="Times New Roman" w:hAnsi="Times New Roman"/>
          <w:sz w:val="18"/>
          <w:szCs w:val="18"/>
          <w:color w:val="auto"/>
        </w:rPr>
        <w:t>We may be required to seek additional funds sooner than planned through public or private equity offerings, debt financings, collaborations and licensing arrangements or other sources, and adequate additional financing may not be available to us on acceptable terms, or at all. Such financing may dilute our shareholders or the failure to obtain such financing may restrict our operating activities. Any additional fundraising efforts may divert our management from their day-to-day activities, which may adversely affect our business. To the extent that we raise additional capital through the sale of equity or convertible debt securities, the ownership interest of our shareholders will be diluted, and the terms may include liquidation or other preferences and anti-dilution protections that adversely affect the rights of our shareholders. Debt financing may result in the imposition of debt covenants, increased fixed payment obligations or other restrictions that may affect our business. If we raise additional funds through upfront payments or milestone payments pursuant to current or future collaborations with third parties, we may have to relinquish valuable rights to our product candidates, or grant licenses on terms that are not favorable to us. Our ability to raise additional capital may be adversely impacted by global macroeconomic conditions and volatility in the credit and financial markets in the United States and worldwide. Our failure to raise capital as and when needed or on acceptable terms would have a negative impact on our financial condition and our ability to pursue our business strategy, and we may have to delay, reduce the scope of, suspend or eliminate one or more of our product candidates, clinical trials or future commercialization efforts or cease our operations.</w:t>
      </w:r>
    </w:p>
    <w:p>
      <w:pPr>
        <w:spacing w:after="0" w:line="294" w:lineRule="exact"/>
        <w:rPr>
          <w:sz w:val="20"/>
          <w:szCs w:val="20"/>
          <w:color w:val="auto"/>
        </w:rPr>
      </w:pPr>
    </w:p>
    <w:p>
      <w:pPr>
        <w:jc w:val="both"/>
        <w:ind w:right="6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expect to continue to incur losses for the foreseeable future and may not be able to achieve or sustain profitability in the future. We have no products approved for sale, have not generated any revenue from our product candidates and may never generate revenue or become profitable.</w:t>
      </w:r>
    </w:p>
    <w:p>
      <w:pPr>
        <w:spacing w:after="0" w:line="28"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8"/>
          <w:szCs w:val="18"/>
          <w:color w:val="auto"/>
        </w:rPr>
        <w:t>Investment in biotechnology product development is a highly speculative undertaking and entails substantial upfront capital expenditures and significant risks that any product candidate will fail to demonstrate adequate efficacy or an acceptable safety profile, gain regulatory approval and become commercially viable. We have no products that have been dosed in humans or approved for commercial sale, have not generated any revenue from product sales to date, and continue to incur significant research and development and other expenses related to our ongoing operations. We do not expect to generate product revenue unless or until we successfully complete preclinical and clinical development and obtain regulatory approval of, and then successfully commercialize, at least one of our product candidates. We may never succeed in these activities and, even if we do, may never generate revenues that are significant or large enough to achieve profitability. If we are unable to raise sufficient additional capital to advance a product candidate to commercialization or generate sufficient revenue through the sale of any approved products, we may be unable to continue operations without additional funding.</w:t>
      </w:r>
    </w:p>
    <w:p>
      <w:pPr>
        <w:spacing w:after="0" w:line="188" w:lineRule="exact"/>
        <w:rPr>
          <w:sz w:val="20"/>
          <w:szCs w:val="20"/>
          <w:color w:val="auto"/>
        </w:rPr>
      </w:pPr>
    </w:p>
    <w:p>
      <w:pPr>
        <w:ind w:firstLine="511"/>
        <w:spacing w:after="0" w:line="258" w:lineRule="auto"/>
        <w:rPr>
          <w:sz w:val="20"/>
          <w:szCs w:val="20"/>
          <w:color w:val="auto"/>
        </w:rPr>
      </w:pPr>
      <w:r>
        <w:rPr>
          <w:rFonts w:ascii="Times New Roman" w:cs="Times New Roman" w:eastAsia="Times New Roman" w:hAnsi="Times New Roman"/>
          <w:sz w:val="18"/>
          <w:szCs w:val="18"/>
          <w:color w:val="auto"/>
        </w:rPr>
        <w:t>We have incurred significant net losses in each period since our inception in 2011. For the three months ended September 30, 2026 and 2025, we had net losses of $32.0 million and $3.1 million, respectively, and for the nine months ended September 30, 2026 and 2025, we had net losses of $90.9 million and $9.1 million, respectively. As of September 30, 2026, we had an accumulated deficit of $578.3 million. We expect to continue to incur losses for the foreseeable future. Our operating expenses and net losses may fluctuate significantly from quarter to quarter and year to year. We anticipate that our expenses will increase substantially if and as we:</w:t>
      </w:r>
    </w:p>
    <w:p>
      <w:pPr>
        <w:spacing w:after="0" w:line="75" w:lineRule="exact"/>
        <w:rPr>
          <w:sz w:val="20"/>
          <w:szCs w:val="20"/>
          <w:color w:val="auto"/>
        </w:rPr>
      </w:pPr>
    </w:p>
    <w:p>
      <w:pPr>
        <w:ind w:left="1140" w:hanging="381"/>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existing and future product candidates through preclinical and clinical development;</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product candidates;</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obtain and maintain regulatory and marketing approvals for our product candidates;</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establish and maintain additional collaborations and license agreements;</w:t>
      </w:r>
    </w:p>
    <w:p>
      <w:pPr>
        <w:spacing w:after="0" w:line="117" w:lineRule="exact"/>
        <w:rPr>
          <w:rFonts w:ascii="Times New Roman" w:cs="Times New Roman" w:eastAsia="Times New Roman" w:hAnsi="Times New Roman"/>
          <w:sz w:val="18"/>
          <w:szCs w:val="18"/>
          <w:color w:val="auto"/>
        </w:rPr>
      </w:pPr>
    </w:p>
    <w:p>
      <w:pPr>
        <w:ind w:left="1140" w:right="100" w:hanging="381"/>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and royalty payments to Paragon under the Paragon Option Agreement and the Paragon License Agreement and under any additional future collaboration or license agreements that we enter into;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91" w:right="318" w:bottom="1440" w:gutter="0" w:footer="0" w:header="0"/>
        </w:sectPr>
      </w:pPr>
    </w:p>
    <w:bookmarkStart w:id="41" w:name="page42"/>
    <w:bookmarkEnd w:id="41"/>
    <w:p>
      <w:pPr>
        <w:ind w:left="1140" w:right="640" w:hanging="381"/>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any drug products for which we may obtain regulatory approval, either on our own or in collaboration with others;</w:t>
      </w:r>
    </w:p>
    <w:p>
      <w:pPr>
        <w:spacing w:after="0" w:line="53"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revenue from commercial sales of product candidates for which we receive regulatory approval, if any;</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including research and development, clinical and commercial personnel;</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intellectual property and technologies; and</w:t>
      </w:r>
    </w:p>
    <w:p>
      <w:pPr>
        <w:spacing w:after="0" w:line="103" w:lineRule="exact"/>
        <w:rPr>
          <w:rFonts w:ascii="Times New Roman" w:cs="Times New Roman" w:eastAsia="Times New Roman" w:hAnsi="Times New Roman"/>
          <w:sz w:val="18"/>
          <w:szCs w:val="18"/>
          <w:color w:val="auto"/>
        </w:rPr>
      </w:pPr>
    </w:p>
    <w:p>
      <w:pPr>
        <w:ind w:left="1140" w:right="400" w:hanging="381"/>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clinical and commercial-scale current good manufacturing practices (“cGMPs”) capabilities through a third party or our own manufacturing facility.</w:t>
      </w:r>
    </w:p>
    <w:p>
      <w:pPr>
        <w:spacing w:after="0" w:line="162" w:lineRule="exact"/>
        <w:rPr>
          <w:sz w:val="20"/>
          <w:szCs w:val="20"/>
          <w:color w:val="auto"/>
        </w:rPr>
      </w:pPr>
    </w:p>
    <w:p>
      <w:pPr>
        <w:ind w:firstLine="511"/>
        <w:spacing w:after="0" w:line="261" w:lineRule="auto"/>
        <w:rPr>
          <w:sz w:val="20"/>
          <w:szCs w:val="20"/>
          <w:color w:val="auto"/>
        </w:rPr>
      </w:pPr>
      <w:r>
        <w:rPr>
          <w:rFonts w:ascii="Times New Roman" w:cs="Times New Roman" w:eastAsia="Times New Roman" w:hAnsi="Times New Roman"/>
          <w:sz w:val="18"/>
          <w:szCs w:val="18"/>
          <w:color w:val="auto"/>
        </w:rPr>
        <w:t>In addition, our expenses will increase if, among other things, we are required by the FDA or other regulatory authorities to perform clinical trials or studies in addition to, or different than, those that we currently anticipate, there are any delays in completing our clinical trials or the development of any of our product candidates, or there are any third-party challenges to our intellectual property or we need to defend against any intellectual property-related claim.</w:t>
      </w:r>
    </w:p>
    <w:p>
      <w:pPr>
        <w:spacing w:after="0" w:line="180" w:lineRule="exact"/>
        <w:rPr>
          <w:sz w:val="20"/>
          <w:szCs w:val="20"/>
          <w:color w:val="auto"/>
        </w:rPr>
      </w:pPr>
    </w:p>
    <w:p>
      <w:pPr>
        <w:ind w:right="20" w:firstLine="511"/>
        <w:spacing w:after="0" w:line="258" w:lineRule="auto"/>
        <w:rPr>
          <w:sz w:val="20"/>
          <w:szCs w:val="20"/>
          <w:color w:val="auto"/>
        </w:rPr>
      </w:pPr>
      <w:r>
        <w:rPr>
          <w:rFonts w:ascii="Times New Roman" w:cs="Times New Roman" w:eastAsia="Times New Roman" w:hAnsi="Times New Roman"/>
          <w:sz w:val="18"/>
          <w:szCs w:val="18"/>
          <w:color w:val="auto"/>
        </w:rPr>
        <w:t>Even if we obtain regulatory approval for, and are successful in commercializing, one or more of our product candidates, we expect to incur substantial additional research and development and other expenditures to develop and market additional product candidates and/or to expand the approved indications of any marketed product. We may encounter unforeseen expenses, difficulties, complications, delays and other unknown factors that may adversely affect our business. The size of our future net losses will depend, in part, on the rate of future growth of our expenses and our ability to generate revenue.</w:t>
      </w:r>
    </w:p>
    <w:p>
      <w:pPr>
        <w:spacing w:after="0" w:line="183" w:lineRule="exact"/>
        <w:rPr>
          <w:sz w:val="20"/>
          <w:szCs w:val="20"/>
          <w:color w:val="auto"/>
        </w:rPr>
      </w:pPr>
    </w:p>
    <w:p>
      <w:pPr>
        <w:jc w:val="both"/>
        <w:ind w:right="360" w:firstLine="511"/>
        <w:spacing w:after="0" w:line="266" w:lineRule="auto"/>
        <w:rPr>
          <w:sz w:val="20"/>
          <w:szCs w:val="20"/>
          <w:color w:val="auto"/>
        </w:rPr>
      </w:pPr>
      <w:r>
        <w:rPr>
          <w:rFonts w:ascii="Times New Roman" w:cs="Times New Roman" w:eastAsia="Times New Roman" w:hAnsi="Times New Roman"/>
          <w:sz w:val="18"/>
          <w:szCs w:val="18"/>
          <w:color w:val="auto"/>
        </w:rPr>
        <w:t>Our failure to become profitable would decrease our value and could impair our ability to raise capital, maintain our research and development efforts, expand our business and/or continue our operations. A decline in the value of our stock could also cause shareholders to lose all or part of their investment.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Discovery, Development and Commercialization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developed or may develop product candidates for the diseases addressed by our product candidates.</w:t>
      </w:r>
    </w:p>
    <w:p>
      <w:pPr>
        <w:spacing w:after="0" w:line="121" w:lineRule="exact"/>
        <w:rPr>
          <w:sz w:val="20"/>
          <w:szCs w:val="20"/>
          <w:color w:val="auto"/>
        </w:rPr>
      </w:pPr>
    </w:p>
    <w:p>
      <w:pPr>
        <w:ind w:right="40" w:firstLine="511"/>
        <w:spacing w:after="0" w:line="252" w:lineRule="auto"/>
        <w:rPr>
          <w:sz w:val="20"/>
          <w:szCs w:val="20"/>
          <w:color w:val="auto"/>
        </w:rPr>
      </w:pPr>
      <w:r>
        <w:rPr>
          <w:rFonts w:ascii="Times New Roman" w:cs="Times New Roman" w:eastAsia="Times New Roman" w:hAnsi="Times New Roman"/>
          <w:sz w:val="18"/>
          <w:szCs w:val="18"/>
          <w:color w:val="auto"/>
        </w:rPr>
        <w:t>The development and commercialization of drugs is highly competitive. Our product candidates, if approved, will face significant competition and our failure to effectively compete may prevent us from achieving significant market penetration. We compete with a variety of multinational biopharmaceutical companies, specialized biotechnology companies and emerging biotechnology companies. If approved for the treatment of patients with mutCALR-driven MPNs, our portfolio of products would compete with anagrelide and ropeginterferon alfa-2b (for ET) as well as hydroxyurea and ruxolitinib, which are not approved for the treatment of ET in the United States, and with ruxolitinib, momelotinib, pacritinib and fedratinib in MF. In addition, we are aware of several companies with product candidates in research and development for the treatment of patients with mutCALR-driven MPNs, including Incyte’s INCA033989 and INCA035784, Janssen Pharmaceuticals, Inc.’s JNJ-88549968, Meiji Seika Pharma’s mutCALR TCE, Prelude Therapeutics Incorporated's mCALR CDK9d DAC, and Alethio Therapeutics’ AT-02. We are also aware of several companies with product candidates in development for the treatment of ET and/or MF, including PharmaEssentia Corporation’s ropeginterferon alfa-2b (for MF), Merck &amp; Co., Inc.’s bomedemstat, Novartis AG’s pelabresib, Kartos Therapeutics, Inc.’s navtemadlin, Karyopharm Therapeutics Inc.’s selinexor, AbbVie Inc.’s navitoclax, Bristol Myers Squibb Company’s BMS-986158, Disc Medicine, Inc.’s DISC-0974 and Takeda’s elritercept. We also compete with academic institutions, governmental agencies, and public and private research institutions, among others. Many of the companies with which we are currently competing or will compete against in the future have significantly greater financial resources and expertise in research and development, manufacturing, preclinical testing, conducting clinical trials, obtaining regulatory approvals, and commercializing approved products than we do, and are further along in the clinical development and/or commercialization process.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establishing clinical trial sites, raising capital, patient registration for clinical trials, establishing and defending rights to intellectual property, as well as in acquiring technologies complementary to, or necessary for, our product candidates.</w:t>
      </w:r>
    </w:p>
    <w:p>
      <w:pPr>
        <w:spacing w:after="0" w:line="150" w:lineRule="exact"/>
        <w:rPr>
          <w:sz w:val="20"/>
          <w:szCs w:val="20"/>
          <w:color w:val="auto"/>
        </w:rPr>
      </w:pPr>
    </w:p>
    <w:p>
      <w:pPr>
        <w:ind w:right="360" w:firstLine="511"/>
        <w:spacing w:after="0" w:line="282" w:lineRule="auto"/>
        <w:rPr>
          <w:sz w:val="20"/>
          <w:szCs w:val="20"/>
          <w:color w:val="auto"/>
        </w:rPr>
      </w:pPr>
      <w:r>
        <w:rPr>
          <w:rFonts w:ascii="Times New Roman" w:cs="Times New Roman" w:eastAsia="Times New Roman" w:hAnsi="Times New Roman"/>
          <w:sz w:val="18"/>
          <w:szCs w:val="18"/>
          <w:color w:val="auto"/>
        </w:rPr>
        <w:t>Our competitors have developed or are developing, and may in the future develop, product candidates or products competitive with our product candidates. Competitive therapeutic treatments include those that have already been approved and</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00"/>
          </w:cols>
          <w:pgMar w:left="340" w:top="1291" w:right="378" w:bottom="1440" w:gutter="0" w:footer="0" w:header="0"/>
        </w:sectPr>
      </w:pPr>
    </w:p>
    <w:bookmarkStart w:id="42" w:name="page43"/>
    <w:bookmarkEnd w:id="42"/>
    <w:p>
      <w:pPr>
        <w:ind w:right="40"/>
        <w:spacing w:after="0" w:line="256" w:lineRule="auto"/>
        <w:rPr>
          <w:sz w:val="20"/>
          <w:szCs w:val="20"/>
          <w:color w:val="auto"/>
        </w:rPr>
      </w:pPr>
      <w:r>
        <w:rPr>
          <w:rFonts w:ascii="Times New Roman" w:cs="Times New Roman" w:eastAsia="Times New Roman" w:hAnsi="Times New Roman"/>
          <w:sz w:val="18"/>
          <w:szCs w:val="18"/>
          <w:color w:val="auto"/>
        </w:rPr>
        <w:t>accepted by the medical community and any potential new treatments, including those currently under clinical development. Our success will depend partially on our ability to develop and commercialize products that have a competitive safety, efficacy, dosing and/or presentation profile. Our commercial opportunity and success will be reduced or eliminated if competing products are safer, more effective, have a more attractive dosing profile or presentation or are less expensive than the products we develop, or if our competitors develop competing products or biosimilars that enter the market more quickly than we do and are able to gain market acceptance. Conversely, the lack of commercial success of other competing therapies may raise concerns about the financial viability of our product candidates.</w:t>
      </w:r>
    </w:p>
    <w:p>
      <w:pPr>
        <w:spacing w:after="0" w:line="187" w:lineRule="exact"/>
        <w:rPr>
          <w:sz w:val="20"/>
          <w:szCs w:val="20"/>
          <w:color w:val="auto"/>
        </w:rPr>
      </w:pPr>
    </w:p>
    <w:p>
      <w:pPr>
        <w:ind w:firstLine="511"/>
        <w:spacing w:after="0" w:line="258" w:lineRule="auto"/>
        <w:rPr>
          <w:sz w:val="20"/>
          <w:szCs w:val="20"/>
          <w:color w:val="auto"/>
        </w:rPr>
      </w:pPr>
      <w:r>
        <w:rPr>
          <w:rFonts w:ascii="Times New Roman" w:cs="Times New Roman" w:eastAsia="Times New Roman" w:hAnsi="Times New Roman"/>
          <w:sz w:val="18"/>
          <w:szCs w:val="18"/>
          <w:color w:val="auto"/>
        </w:rPr>
        <w:t>In addition, because of the competitive landscape for MPNs, we may also face competition for establishing trial sites and clinical trial enrollment. Patient enrollment will depend on many factors, including if potential clinical trial patients choose to undergo treatment with approved products or enroll in competitors’ ongoing clinical trials for product candidates that are under development for the same indications as our product candidates. An increase in the number of approved products for the indications we are targeting with our product candidates will likely further exacerbate this competition. Our inability to enroll a sufficient number of patients could, among other impacts, delay our development timeline, which may further harm our competitive position.</w:t>
      </w:r>
    </w:p>
    <w:p>
      <w:pPr>
        <w:spacing w:after="0" w:line="28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programs are in the early stages of development and may fail in development or suffer delays that materially and adversely affect our viability. If we or our current or future collaborators are unable to complete development of or commercialize our product candidates, or experience significant delays in doing so, our business will be materially harmed.</w:t>
      </w:r>
    </w:p>
    <w:p>
      <w:pPr>
        <w:spacing w:after="0" w:line="67" w:lineRule="exact"/>
        <w:rPr>
          <w:sz w:val="20"/>
          <w:szCs w:val="20"/>
          <w:color w:val="auto"/>
        </w:rPr>
      </w:pPr>
    </w:p>
    <w:p>
      <w:pPr>
        <w:ind w:right="60" w:firstLine="511"/>
        <w:spacing w:after="0" w:line="254" w:lineRule="auto"/>
        <w:rPr>
          <w:sz w:val="20"/>
          <w:szCs w:val="20"/>
          <w:color w:val="auto"/>
        </w:rPr>
      </w:pPr>
      <w:r>
        <w:rPr>
          <w:rFonts w:ascii="Times New Roman" w:cs="Times New Roman" w:eastAsia="Times New Roman" w:hAnsi="Times New Roman"/>
          <w:sz w:val="18"/>
          <w:szCs w:val="18"/>
          <w:color w:val="auto"/>
        </w:rPr>
        <w:t>We have no commercially approved products. DMR-001 is in early clinical development, DMR-002 and DMR-003 are in preclinical development, and we have not completed any clinical trials for our product candidates. As a result, we expect it will be many years before we commercialize any product candidate, if ever. Our ability to achieve and sustain profitability depends on obtaining regulatory approvals for, and successfully commercializing, our product candidates, either alone or with third parties, and we cannot guarantee you that we will ever obtain regulatory approval for any of our product candidates. We have not yet demonstrated our ability to obtain regulatory approvals, manufacture a commercial-scale product or arrange for a third party to do so on our behalf, or conduct sales and marketing activities necessary for successful product commercialization. Before obtaining regulatory approval for the commercial distribution of any product candidate, we or an existing or future collaborator must conduct extensive preclinical tests and clinical trials to demonstrate the safety and efficacy in humans of the product candidate.</w:t>
      </w:r>
    </w:p>
    <w:p>
      <w:pPr>
        <w:spacing w:after="0" w:line="192" w:lineRule="exact"/>
        <w:rPr>
          <w:sz w:val="20"/>
          <w:szCs w:val="20"/>
          <w:color w:val="auto"/>
        </w:rPr>
      </w:pPr>
    </w:p>
    <w:p>
      <w:pPr>
        <w:ind w:right="320" w:firstLine="511"/>
        <w:spacing w:after="0" w:line="266" w:lineRule="auto"/>
        <w:rPr>
          <w:sz w:val="20"/>
          <w:szCs w:val="20"/>
          <w:color w:val="auto"/>
        </w:rPr>
      </w:pPr>
      <w:r>
        <w:rPr>
          <w:rFonts w:ascii="Times New Roman" w:cs="Times New Roman" w:eastAsia="Times New Roman" w:hAnsi="Times New Roman"/>
          <w:sz w:val="18"/>
          <w:szCs w:val="18"/>
          <w:color w:val="auto"/>
        </w:rPr>
        <w:t>We or our collaborators may experience delays in initiating or completing preclinical studies or clinical trials. We or our collaborators also may experience numerous unforeseen events during, or as a result of, any future preclinical studies or clinical trials that we could conduct that could delay or prevent our ability to receive regulatory approval or commercialize our product candidates, including:</w:t>
      </w:r>
    </w:p>
    <w:p>
      <w:pPr>
        <w:spacing w:after="0" w:line="68" w:lineRule="exact"/>
        <w:rPr>
          <w:sz w:val="20"/>
          <w:szCs w:val="20"/>
          <w:color w:val="auto"/>
        </w:rPr>
      </w:pPr>
    </w:p>
    <w:p>
      <w:pPr>
        <w:ind w:left="1140" w:right="140" w:hanging="381"/>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such as the FDA, institutional review boards (“IRBs”) or comparable foreign regulatory authorities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140" w:hanging="381"/>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CROs,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1140" w:right="200" w:hanging="381"/>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may deviate from the trial protocol, fail to conduct trials in a compliant manner or drop out of a trial, which may require that we add new clinical trial sites or investigators or otherwise negatively impact the timing or integrity of our clinical trial(s);</w:t>
      </w:r>
    </w:p>
    <w:p>
      <w:pPr>
        <w:spacing w:after="0" w:line="40" w:lineRule="exact"/>
        <w:rPr>
          <w:rFonts w:ascii="Times New Roman" w:cs="Times New Roman" w:eastAsia="Times New Roman" w:hAnsi="Times New Roman"/>
          <w:sz w:val="18"/>
          <w:szCs w:val="18"/>
          <w:color w:val="auto"/>
        </w:rPr>
      </w:pPr>
    </w:p>
    <w:p>
      <w:pPr>
        <w:ind w:left="1140" w:right="280" w:hanging="381"/>
        <w:spacing w:after="0" w:line="266"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any product candidates may fail to show safety or efficacy, or may produce negative or inconclusive results and we may decide, or regulators may require us, to conduct additional preclinical studies or clinical trials or we may decide to abandon a product research program;</w:t>
      </w:r>
    </w:p>
    <w:p>
      <w:pPr>
        <w:spacing w:after="0" w:line="67" w:lineRule="exact"/>
        <w:rPr>
          <w:rFonts w:ascii="Times New Roman" w:cs="Times New Roman" w:eastAsia="Times New Roman" w:hAnsi="Times New Roman"/>
          <w:sz w:val="18"/>
          <w:szCs w:val="18"/>
          <w:color w:val="auto"/>
        </w:rPr>
      </w:pPr>
    </w:p>
    <w:p>
      <w:pPr>
        <w:ind w:left="1140" w:right="80" w:hanging="381"/>
        <w:spacing w:after="0" w:line="266"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of any product candidates may be larger than we anticipate, and enrollment in these clinical trials may be slower than we anticipate or subjects may drop out of these clinical trials or fail to return for post-treatment follow-up at a higher rate than we anticipate;</w:t>
      </w:r>
    </w:p>
    <w:p>
      <w:pPr>
        <w:spacing w:after="0" w:line="67" w:lineRule="exact"/>
        <w:rPr>
          <w:rFonts w:ascii="Times New Roman" w:cs="Times New Roman" w:eastAsia="Times New Roman" w:hAnsi="Times New Roman"/>
          <w:sz w:val="18"/>
          <w:szCs w:val="18"/>
          <w:color w:val="auto"/>
        </w:rPr>
      </w:pPr>
    </w:p>
    <w:p>
      <w:pPr>
        <w:ind w:left="1140" w:hanging="381"/>
        <w:spacing w:after="0" w:line="266"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 or may deviate from the clinical trial protocol or suffer other quality or performance issues that negatively impact the timing or integrity of our clinical trial(s);</w:t>
      </w:r>
    </w:p>
    <w:p>
      <w:pPr>
        <w:spacing w:after="0" w:line="67" w:lineRule="exact"/>
        <w:rPr>
          <w:rFonts w:ascii="Times New Roman" w:cs="Times New Roman" w:eastAsia="Times New Roman" w:hAnsi="Times New Roman"/>
          <w:sz w:val="18"/>
          <w:szCs w:val="18"/>
          <w:color w:val="auto"/>
        </w:rPr>
      </w:pPr>
    </w:p>
    <w:p>
      <w:pPr>
        <w:ind w:left="1140" w:right="60" w:hanging="381"/>
        <w:spacing w:after="0" w:line="266"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IRBs or ethics committees may require that we or our investigators, suspend or terminate clinical research or trials for various reasons, including noncompliance with regulatory requirements or a finding that the participants in our clinical trials are being exposed to unacceptable health risks;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83" w:right="318" w:bottom="1440" w:gutter="0" w:footer="0" w:header="0"/>
        </w:sectPr>
      </w:pPr>
    </w:p>
    <w:bookmarkStart w:id="43" w:name="page44"/>
    <w:bookmarkEnd w:id="43"/>
    <w:p>
      <w:pPr>
        <w:ind w:left="1147" w:hanging="381"/>
        <w:spacing w:after="0"/>
        <w:tabs>
          <w:tab w:leader="none" w:pos="114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any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1147" w:right="180" w:hanging="381"/>
        <w:spacing w:after="0" w:line="282" w:lineRule="auto"/>
        <w:tabs>
          <w:tab w:leader="none" w:pos="114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product candidates or other materials necessary to conduct clinical trials of our product candidates may be inadequate to initiate or successfully complete a given clinical trial;</w:t>
      </w:r>
    </w:p>
    <w:p>
      <w:pPr>
        <w:spacing w:after="0" w:line="53" w:lineRule="exact"/>
        <w:rPr>
          <w:rFonts w:ascii="Times New Roman" w:cs="Times New Roman" w:eastAsia="Times New Roman" w:hAnsi="Times New Roman"/>
          <w:sz w:val="18"/>
          <w:szCs w:val="18"/>
          <w:color w:val="auto"/>
        </w:rPr>
      </w:pPr>
    </w:p>
    <w:p>
      <w:pPr>
        <w:ind w:left="1147" w:hanging="381"/>
        <w:spacing w:after="0"/>
        <w:tabs>
          <w:tab w:leader="none" w:pos="114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manufacture sufficient quantities of our product candidates for use in clinical trials;</w:t>
      </w:r>
    </w:p>
    <w:p>
      <w:pPr>
        <w:spacing w:after="0" w:line="117" w:lineRule="exact"/>
        <w:rPr>
          <w:rFonts w:ascii="Times New Roman" w:cs="Times New Roman" w:eastAsia="Times New Roman" w:hAnsi="Times New Roman"/>
          <w:sz w:val="18"/>
          <w:szCs w:val="18"/>
          <w:color w:val="auto"/>
        </w:rPr>
      </w:pPr>
    </w:p>
    <w:p>
      <w:pPr>
        <w:ind w:left="1147" w:hanging="381"/>
        <w:spacing w:after="0"/>
        <w:tabs>
          <w:tab w:leader="none" w:pos="114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of other therapies may raise safety or efficacy concerns about our product candidates;</w:t>
      </w:r>
    </w:p>
    <w:p>
      <w:pPr>
        <w:spacing w:after="0" w:line="117" w:lineRule="exact"/>
        <w:rPr>
          <w:rFonts w:ascii="Times New Roman" w:cs="Times New Roman" w:eastAsia="Times New Roman" w:hAnsi="Times New Roman"/>
          <w:sz w:val="18"/>
          <w:szCs w:val="18"/>
          <w:color w:val="auto"/>
        </w:rPr>
      </w:pPr>
    </w:p>
    <w:p>
      <w:pPr>
        <w:ind w:left="1147" w:hanging="381"/>
        <w:spacing w:after="0" w:line="282" w:lineRule="auto"/>
        <w:tabs>
          <w:tab w:leader="none" w:pos="114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establish an appropriate safety profile for a product candidate based on clinical or preclinical data for such product candidates as well as data emerging from other therapies in the same class as our product candidates; and</w:t>
      </w:r>
    </w:p>
    <w:p>
      <w:pPr>
        <w:spacing w:after="0" w:line="53" w:lineRule="exact"/>
        <w:rPr>
          <w:rFonts w:ascii="Times New Roman" w:cs="Times New Roman" w:eastAsia="Times New Roman" w:hAnsi="Times New Roman"/>
          <w:sz w:val="18"/>
          <w:szCs w:val="18"/>
          <w:color w:val="auto"/>
        </w:rPr>
      </w:pPr>
    </w:p>
    <w:p>
      <w:pPr>
        <w:ind w:left="1147" w:right="400" w:hanging="381"/>
        <w:spacing w:after="0" w:line="282" w:lineRule="auto"/>
        <w:tabs>
          <w:tab w:leader="none" w:pos="114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such as long-term toxicology studies, or impose other requirements before permitting us to initiate a clinical trial.</w:t>
      </w:r>
    </w:p>
    <w:p>
      <w:pPr>
        <w:spacing w:after="0" w:line="162" w:lineRule="exact"/>
        <w:rPr>
          <w:sz w:val="20"/>
          <w:szCs w:val="20"/>
          <w:color w:val="auto"/>
        </w:rPr>
      </w:pPr>
    </w:p>
    <w:p>
      <w:pPr>
        <w:ind w:left="7" w:right="40" w:firstLine="511"/>
        <w:spacing w:after="0" w:line="253" w:lineRule="auto"/>
        <w:rPr>
          <w:sz w:val="20"/>
          <w:szCs w:val="20"/>
          <w:color w:val="auto"/>
        </w:rPr>
      </w:pPr>
      <w:r>
        <w:rPr>
          <w:rFonts w:ascii="Times New Roman" w:cs="Times New Roman" w:eastAsia="Times New Roman" w:hAnsi="Times New Roman"/>
          <w:sz w:val="18"/>
          <w:szCs w:val="18"/>
          <w:color w:val="auto"/>
        </w:rPr>
        <w:t>Commencing clinical trials in the United States is subject to acceptance by the FDA of an Investigational New Drug Application (“IND”) and finalizing the trial design based on discussions with the FDA. Commencing clinical trials in jurisdictions outside of the United States is similarly subject to acceptance by the applicable regulatory authority of clinical trial documentation following discussions with such authority. In the event that the FDA or other applicable regulatory authority requires us to complete additional preclinical studies or we are required to satisfy other FDA or foreign regulatory authority requests prior to commencing clinical trials, the start of clinical trials for DMR-002 or DMR-003, or the expansion of our Phase 1/1b clinical trial of DMR-001 into other jurisdictions, may be delayed. Even after we receive and incorporate guidance from these regulatory authorities, the FDA or other regulatory authorities could disagree as to whether we have satisfied their requirements to commence any clinical trial or change their position on the acceptability of our trial design or the clinical endpoints selected, which may require us to complete additional preclinical studies or clinical trials, delay the enrollment of our clinical trials or impose stricter approval conditions than we currently expect. There are analogous processes and risks applicable to clinical trial applications in other countries, including but not limited to Canada, New Zealand, Australia, countries in the EU and countries in Asia.</w:t>
      </w:r>
    </w:p>
    <w:p>
      <w:pPr>
        <w:spacing w:after="0" w:line="194" w:lineRule="exact"/>
        <w:rPr>
          <w:sz w:val="20"/>
          <w:szCs w:val="20"/>
          <w:color w:val="auto"/>
        </w:rPr>
      </w:pPr>
    </w:p>
    <w:p>
      <w:pPr>
        <w:ind w:left="7" w:right="520" w:firstLine="511"/>
        <w:spacing w:after="0" w:line="261" w:lineRule="auto"/>
        <w:rPr>
          <w:sz w:val="20"/>
          <w:szCs w:val="20"/>
          <w:color w:val="auto"/>
        </w:rPr>
      </w:pPr>
      <w:r>
        <w:rPr>
          <w:rFonts w:ascii="Times New Roman" w:cs="Times New Roman" w:eastAsia="Times New Roman" w:hAnsi="Times New Roman"/>
          <w:sz w:val="18"/>
          <w:szCs w:val="18"/>
          <w:color w:val="auto"/>
        </w:rPr>
        <w:t>We may not have the financial resources to continue development of our product candidates if we experience any issues that delay or prevent regulatory approval of, or our ability to commercialize, our product candidates. Our or our current or future collaborators’ inability to complete development of, or commercialize our product candidates, or significant delays in doing so, could have a material and adverse effect on our business, financial condition, results of operations and prospects.</w:t>
      </w:r>
    </w:p>
    <w:p>
      <w:pPr>
        <w:spacing w:after="0" w:line="216" w:lineRule="exact"/>
        <w:rPr>
          <w:sz w:val="20"/>
          <w:szCs w:val="20"/>
          <w:color w:val="auto"/>
        </w:rPr>
      </w:pPr>
    </w:p>
    <w:p>
      <w:pPr>
        <w:ind w:left="7"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DMR-001, and our ongoing Phase 1/1b clinical trial and any future clinical trial of such product candidates may not be successful.</w:t>
      </w:r>
    </w:p>
    <w:p>
      <w:pPr>
        <w:spacing w:after="0" w:line="51" w:lineRule="exact"/>
        <w:rPr>
          <w:sz w:val="20"/>
          <w:szCs w:val="20"/>
          <w:color w:val="auto"/>
        </w:rPr>
      </w:pPr>
    </w:p>
    <w:p>
      <w:pPr>
        <w:ind w:left="507"/>
        <w:spacing w:after="0"/>
        <w:rPr>
          <w:sz w:val="20"/>
          <w:szCs w:val="20"/>
          <w:color w:val="auto"/>
        </w:rPr>
      </w:pPr>
      <w:r>
        <w:rPr>
          <w:rFonts w:ascii="Times New Roman" w:cs="Times New Roman" w:eastAsia="Times New Roman" w:hAnsi="Times New Roman"/>
          <w:sz w:val="18"/>
          <w:szCs w:val="18"/>
          <w:color w:val="auto"/>
        </w:rPr>
        <w:t>Our future success is substantially dependent on our ability to timely obtain regulatory approval for, and then successfully commercialize, DMR-</w:t>
      </w:r>
    </w:p>
    <w:p>
      <w:pPr>
        <w:spacing w:after="0" w:line="27" w:lineRule="exact"/>
        <w:rPr>
          <w:sz w:val="20"/>
          <w:szCs w:val="20"/>
          <w:color w:val="auto"/>
        </w:rPr>
      </w:pPr>
    </w:p>
    <w:p>
      <w:pPr>
        <w:ind w:left="7" w:right="20" w:hanging="7"/>
        <w:spacing w:after="0" w:line="251" w:lineRule="auto"/>
        <w:tabs>
          <w:tab w:leader="none" w:pos="36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initially investing a majority of our efforts and financial resources into the research and development of this program. We recently initiated our Phase 1/1b trial of DMR-001 in ET and MF patients, with receipt of health authority approval in Australia and clearance from the FDA to begin the trial in the United States. We plan to complete additional regulatory submissions for DMR-001 in the fourth quarter of 2026 to expand the Phase 1/1b trial globally. The success of DMR-001 is dependent on observing rapid and sustained reduction in excess platelets, the key pathology in ET, and, in MF, improvements in spleen volume and symptom burden, in each case compared to other anti-mutCALR antibody product candidates in clinical development. This is based in part on the assumption that the increased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potency and improved pharmacokinetics observed in non-human primates (“NHPs”) will translate into inhibition of Type 1 and Type 2 mutCALR-dependent cell proliferation and improved pharmacokinetic properties of DMR-001 in humans, resulting in a more convenient dosing regimen. To the extent we do not observe this inhibition of Type 1 and Type 2 mutCALR-dependent cell proliferation or improved pharmacokinetic properties in our global Phase 1/1b clinical trial of DMR-001 or in additional clinical trials, it would significantly and adversely affect the clinical and commercial potential of DMR-001.</w:t>
      </w:r>
    </w:p>
    <w:p>
      <w:pPr>
        <w:spacing w:after="0" w:line="193" w:lineRule="exact"/>
        <w:rPr>
          <w:sz w:val="20"/>
          <w:szCs w:val="20"/>
          <w:color w:val="auto"/>
        </w:rPr>
      </w:pPr>
    </w:p>
    <w:p>
      <w:pPr>
        <w:ind w:left="7" w:right="120" w:firstLine="511"/>
        <w:spacing w:after="0" w:line="261" w:lineRule="auto"/>
        <w:rPr>
          <w:sz w:val="20"/>
          <w:szCs w:val="20"/>
          <w:color w:val="auto"/>
        </w:rPr>
      </w:pPr>
      <w:r>
        <w:rPr>
          <w:rFonts w:ascii="Times New Roman" w:cs="Times New Roman" w:eastAsia="Times New Roman" w:hAnsi="Times New Roman"/>
          <w:sz w:val="18"/>
          <w:szCs w:val="18"/>
          <w:color w:val="auto"/>
        </w:rPr>
        <w:t>Our product candidates will require additional clinical development, evaluation of clinical, preclinical and manufacturing activities, regulatory approval in multiple jurisdictions, substantial investment and significant marketing efforts before we generate any revenues from product sales. We are not permitted to market or promote these product candidates, or any other product candidates, before we receive regulatory approval from the FDA and comparable foreign regulatory authorities, and we may never receive such regulatory approvals.</w:t>
      </w:r>
    </w:p>
    <w:p>
      <w:pPr>
        <w:spacing w:after="0" w:line="180" w:lineRule="exact"/>
        <w:rPr>
          <w:sz w:val="20"/>
          <w:szCs w:val="20"/>
          <w:color w:val="auto"/>
        </w:rPr>
      </w:pPr>
    </w:p>
    <w:p>
      <w:pPr>
        <w:ind w:left="7" w:right="100" w:firstLine="511"/>
        <w:spacing w:after="0" w:line="266" w:lineRule="auto"/>
        <w:rPr>
          <w:sz w:val="20"/>
          <w:szCs w:val="20"/>
          <w:color w:val="auto"/>
        </w:rPr>
      </w:pPr>
      <w:r>
        <w:rPr>
          <w:rFonts w:ascii="Times New Roman" w:cs="Times New Roman" w:eastAsia="Times New Roman" w:hAnsi="Times New Roman"/>
          <w:sz w:val="18"/>
          <w:szCs w:val="18"/>
          <w:color w:val="auto"/>
        </w:rPr>
        <w:t>The success of our product candidates will depend on a variety of factors. We do not have complete control over many of these factors, including certain aspects of clinical development and the regulatory submission process, potential threats to our intellectual property rights, potential threats from the intellectual property rights of third parties and the manufacturing, marketing,</w:t>
      </w:r>
    </w:p>
    <w:p>
      <w:pPr>
        <w:spacing w:after="0" w:line="17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291" w:right="318" w:bottom="1440" w:gutter="0" w:footer="0" w:header="0"/>
        </w:sectPr>
      </w:pPr>
    </w:p>
    <w:bookmarkStart w:id="44" w:name="page45"/>
    <w:bookmarkEnd w:id="44"/>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distribution and sales efforts of any current or future collaborator. Accordingly, we cannot assure you that we will ever be able to generate revenue through the sale of these product candidates, even if approved. If we are not successful in obtaining regulatory approval and commercializing DMR-001, DMR-002, DMR-003 or future product candidates, or are significantly delayed in doing so, our business will be materially harmed.</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objectives in the time frames we announce and expect, the commercialization of our product candidates may be delayed which may harm our reputation and prospects, increase our expenses and cause our stock price to decline.</w:t>
      </w:r>
    </w:p>
    <w:p>
      <w:pPr>
        <w:spacing w:after="0" w:line="51"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such as the expected timing for the global expansion of our Phase 1/1b clinical trial of DMR-001 and the initiation of clinical trials of DMR-002 and DMR-003, the timing for receipt of clinical data, and the timing for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many cases for reasons beyond our control. If we do not meet these milestones as publicly announced, or at all, our prospects and reputation may be adversely affected and our stock price may decline. Additionally, delays relative to our projected timelines are likely to cause overall expenses to increase, which may require us to raise additional capital sooner than expected and prior to achieving targeted development milestones.</w:t>
      </w:r>
    </w:p>
    <w:p>
      <w:pPr>
        <w:spacing w:after="0" w:line="29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target patient population for the treatment of MPNs is small and has not been definitively determined, and if estimates of the number of treatable patients are lower than expected, our potential revenues from sales of our product candidates, if approved, and our ability to achieve profitability would be compromised.</w:t>
      </w:r>
    </w:p>
    <w:p>
      <w:pPr>
        <w:spacing w:after="0" w:line="67" w:lineRule="exact"/>
        <w:rPr>
          <w:sz w:val="20"/>
          <w:szCs w:val="20"/>
          <w:color w:val="auto"/>
        </w:rPr>
      </w:pPr>
    </w:p>
    <w:p>
      <w:pPr>
        <w:ind w:right="80" w:firstLine="511"/>
        <w:spacing w:after="0" w:line="252" w:lineRule="auto"/>
        <w:rPr>
          <w:sz w:val="20"/>
          <w:szCs w:val="20"/>
          <w:color w:val="auto"/>
        </w:rPr>
      </w:pPr>
      <w:r>
        <w:rPr>
          <w:rFonts w:ascii="Times New Roman" w:cs="Times New Roman" w:eastAsia="Times New Roman" w:hAnsi="Times New Roman"/>
          <w:sz w:val="18"/>
          <w:szCs w:val="18"/>
          <w:color w:val="auto"/>
        </w:rPr>
        <w:t>The estimates of both the number of patients who have MPNs, as well as the subset of patients with the disease in a position to receive treatment from DMR-001, if approved, may prove to be incorrect. These estimates have been derived from a variety of sources, including scientific literature, input from physicians that treat patients with the diseases we are targeting, patient foundations, secondary market research databases, healthcare claims data, and patient registry data. For example, estimates of the prevalence of MPNs in certain geographies are based in part on the published prevalence of MPNs among patient populations in the United States split across ethnicities, and our own analyses of prevalence in Europe, and on published disease incidence rates for certain geographies and estimated for the populations of such geographies. Further, new studies may change the estimated incidence or prevalence of MPNs. Each of these sources has limitations. Claims data may not capture patients who are untreated or treated outside the databases reviewed, rely on diagnosis and procedure codes that may not accurately distinguish MPN subtype, disease severity or line of therapy, and do not identify CALR mutation status. Registry data may be subject to selection bias, under-reporting and inconsistent diagnostic criteria, and physician input and market research are subjective and may not be representative. In addition, because CALR mutation testing is not yet universal, the proportion of ET and MF patients with mutCALR-driven disease, and the number who ultimately have access to treatment, may be lower than we estimate. Similar considerations would apply to estimates of patient population for target indications we select for DMR-002, DMR-003 and any future product candidates. Accordingly, our target patient populations may turn out to be lower than expected, in which case the potential revenues from sales of our product candidates, if approved, would be lower than expected.</w:t>
      </w:r>
    </w:p>
    <w:p>
      <w:pPr>
        <w:spacing w:after="0" w:line="30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DMR-001, DMR-002 and DMR-003 is unproven, and we may not be successful in our efforts to build a pipeline of product candidates with commercial value.</w:t>
      </w:r>
    </w:p>
    <w:p>
      <w:pPr>
        <w:spacing w:after="0" w:line="51" w:lineRule="exact"/>
        <w:rPr>
          <w:sz w:val="20"/>
          <w:szCs w:val="20"/>
          <w:color w:val="auto"/>
        </w:rPr>
      </w:pPr>
    </w:p>
    <w:p>
      <w:pPr>
        <w:ind w:right="160" w:firstLine="511"/>
        <w:spacing w:after="0" w:line="254" w:lineRule="auto"/>
        <w:rPr>
          <w:sz w:val="20"/>
          <w:szCs w:val="20"/>
          <w:color w:val="auto"/>
        </w:rPr>
      </w:pPr>
      <w:r>
        <w:rPr>
          <w:rFonts w:ascii="Times New Roman" w:cs="Times New Roman" w:eastAsia="Times New Roman" w:hAnsi="Times New Roman"/>
          <w:sz w:val="18"/>
          <w:szCs w:val="18"/>
          <w:color w:val="auto"/>
        </w:rPr>
        <w:t>Our approach to the discovery and development of our product candidates uses antibody mechanisms of action that have been applied in other diseases and incorporates antibody engineering intended to optimize half-life and other properties, including increased binding affinity. Our product candidates are designed to target mutCALR, a target against which no therapy has been approved, and incorporate modifications intended to extend half-life. However, the scientific research that forms the basis of our efforts to develop DMR-001, DMR-002 and DMR-003 using half-life extension technologies and to enhance efficacy through improved binding affinity, including monoclonal antibodies, is ongoing and may not result in viable product candidates. We have limited clinical data on product candidates utilizing monoclonal antibody half-life extension technologies, especially in hematologic disorders such as MPNs, demonstrating whether they are safe or effective for long-term treatment in humans. We also have no clinical data to indicate whether our modifications to enhance binding affinity translate into improved efficacy in humans. The long-term safety and efficacy of DMR-001, DMR-002 and DMR-003 compared to currently approved therapies for ET and MF is unknown.</w:t>
      </w:r>
    </w:p>
    <w:p>
      <w:pPr>
        <w:spacing w:after="0" w:line="188" w:lineRule="exact"/>
        <w:rPr>
          <w:sz w:val="20"/>
          <w:szCs w:val="20"/>
          <w:color w:val="auto"/>
        </w:rPr>
      </w:pPr>
    </w:p>
    <w:p>
      <w:pPr>
        <w:ind w:right="640" w:firstLine="511"/>
        <w:spacing w:after="0" w:line="282" w:lineRule="auto"/>
        <w:rPr>
          <w:sz w:val="20"/>
          <w:szCs w:val="20"/>
          <w:color w:val="auto"/>
        </w:rPr>
      </w:pPr>
      <w:r>
        <w:rPr>
          <w:rFonts w:ascii="Times New Roman" w:cs="Times New Roman" w:eastAsia="Times New Roman" w:hAnsi="Times New Roman"/>
          <w:sz w:val="18"/>
          <w:szCs w:val="18"/>
          <w:color w:val="auto"/>
        </w:rPr>
        <w:t>We may ultimately discover that utilizing half-life extension technologies for our specific targets and indications and any product candidates resulting therefrom do not possess certain properties required for therapeutic effectiveness. We currently have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399" w:right="318" w:bottom="1440" w:gutter="0" w:footer="0" w:header="0"/>
        </w:sectPr>
      </w:pPr>
    </w:p>
    <w:bookmarkStart w:id="45" w:name="page46"/>
    <w:bookmarkEnd w:id="45"/>
    <w:p>
      <w:pPr>
        <w:spacing w:after="0" w:line="258" w:lineRule="auto"/>
        <w:rPr>
          <w:sz w:val="20"/>
          <w:szCs w:val="20"/>
          <w:color w:val="auto"/>
        </w:rPr>
      </w:pPr>
      <w:r>
        <w:rPr>
          <w:rFonts w:ascii="Times New Roman" w:cs="Times New Roman" w:eastAsia="Times New Roman" w:hAnsi="Times New Roman"/>
          <w:sz w:val="18"/>
          <w:szCs w:val="18"/>
          <w:color w:val="auto"/>
        </w:rPr>
        <w:t>only preclinical data regarding the increased half-life properties of DMR-001, DMR-002 and DMR-003, and the same results may not be seen in humans. In addition, product candidates using half-life extension technologies may demonstrate different chemical and pharmacological properties in patients than they do in laboratory studies. This technology and any product candidates resulting therefrom may not demonstrate the same chemical and pharmacological properties in humans and may interact with human biological systems in unforeseen, ineffective or harmful ways. Many product candidates that appeared highly promising in preclinical studies or in early-stage clinical trials have failed when advanced into, or further in, clinical development.</w:t>
      </w:r>
    </w:p>
    <w:p>
      <w:pPr>
        <w:spacing w:after="0" w:line="143" w:lineRule="exact"/>
        <w:rPr>
          <w:sz w:val="20"/>
          <w:szCs w:val="20"/>
          <w:color w:val="auto"/>
        </w:rPr>
      </w:pPr>
    </w:p>
    <w:p>
      <w:pPr>
        <w:ind w:right="20" w:firstLine="511"/>
        <w:spacing w:after="0" w:line="266" w:lineRule="auto"/>
        <w:rPr>
          <w:sz w:val="20"/>
          <w:szCs w:val="20"/>
          <w:color w:val="auto"/>
        </w:rPr>
      </w:pPr>
      <w:r>
        <w:rPr>
          <w:rFonts w:ascii="Times New Roman" w:cs="Times New Roman" w:eastAsia="Times New Roman" w:hAnsi="Times New Roman"/>
          <w:sz w:val="18"/>
          <w:szCs w:val="18"/>
          <w:color w:val="auto"/>
        </w:rPr>
        <w:t>In addition, other companies are developing drug products that utilize half-life extension technology in other targets and indications. The failure of those companies to demonstrate the safety and efficacy of their product candidates may be harmful to our business, financial condition, results of operations and prospects.</w:t>
      </w:r>
    </w:p>
    <w:p>
      <w:pPr>
        <w:spacing w:after="0" w:line="176" w:lineRule="exact"/>
        <w:rPr>
          <w:sz w:val="20"/>
          <w:szCs w:val="20"/>
          <w:color w:val="auto"/>
        </w:rPr>
      </w:pPr>
    </w:p>
    <w:p>
      <w:pPr>
        <w:ind w:right="40" w:firstLine="511"/>
        <w:spacing w:after="0" w:line="254" w:lineRule="auto"/>
        <w:rPr>
          <w:sz w:val="20"/>
          <w:szCs w:val="20"/>
          <w:color w:val="auto"/>
        </w:rPr>
      </w:pPr>
      <w:r>
        <w:rPr>
          <w:rFonts w:ascii="Times New Roman" w:cs="Times New Roman" w:eastAsia="Times New Roman" w:hAnsi="Times New Roman"/>
          <w:sz w:val="18"/>
          <w:szCs w:val="18"/>
          <w:color w:val="auto"/>
        </w:rPr>
        <w:t>In addition, we may in the future seek to discover and develop product candidates that are based on novel targets and technologies that are unproven. If our discovery or business development activities fail to identify novel targets or technologies for drug development, or such targets or technologies prove to be unsuitable for treating human disease, we may not be able to develop viable additional product candidates. We and our existing or future collaborators may never receive approval to market and commercialize any product candidate. Even if we or an existing or future collaborator obtains regulatory approval, the approval may be for targets, disease indications or patient populations that are not as broad as we intended or desired or may require labeling that includes significant use or distribution restrictions or safety warnings. If the products resulting from our product candidates prove to be ineffective, unsafe or commercially unviable, our product candidates and pipeline would have little, if any, value, which would have a material and adverse effect on our business, financial condition, results of operations and prospects.</w:t>
      </w:r>
    </w:p>
    <w:p>
      <w:pPr>
        <w:spacing w:after="0" w:line="29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that is subject to delays and uncertain outcomes, and results of earlier studies and trials may not be predictive of future clinical trial results.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72" w:lineRule="exact"/>
        <w:rPr>
          <w:sz w:val="20"/>
          <w:szCs w:val="20"/>
          <w:color w:val="auto"/>
        </w:rPr>
      </w:pPr>
    </w:p>
    <w:p>
      <w:pPr>
        <w:ind w:right="20" w:firstLine="511"/>
        <w:spacing w:after="0" w:line="255" w:lineRule="auto"/>
        <w:rPr>
          <w:sz w:val="20"/>
          <w:szCs w:val="20"/>
          <w:color w:val="auto"/>
        </w:rPr>
      </w:pPr>
      <w:r>
        <w:rPr>
          <w:rFonts w:ascii="Times New Roman" w:cs="Times New Roman" w:eastAsia="Times New Roman" w:hAnsi="Times New Roman"/>
          <w:sz w:val="18"/>
          <w:szCs w:val="18"/>
          <w:color w:val="auto"/>
        </w:rPr>
        <w:t>Before obtaining regulatory approval from regulatory authorities for the sale of any product candidate, we must complete preclinical studies and then conduct extensive clinical trials to demonstrate the safety and efficacy of our product candidate in humans. Our clinical trials may not be conducted as planned or completed on schedule, if at all, and failure can occur at any time during the preclinical study or clinical trial process. For example, we depend on the availability of NHPs to conduct certain preclinical studies that we are required to complete prior to submitting an IND and initiating clinical development. There is currently a global shortage of NHPs available for drug development. While we currently do not anticipate that this shortage will materially impact our costs or timelines, a continuing or future shortage could cause the cost of obtaining NHPs for our future preclinical studies to increase significantly or result in delays to our development timelines.</w:t>
      </w:r>
    </w:p>
    <w:p>
      <w:pPr>
        <w:spacing w:after="0" w:line="189" w:lineRule="exact"/>
        <w:rPr>
          <w:sz w:val="20"/>
          <w:szCs w:val="20"/>
          <w:color w:val="auto"/>
        </w:rPr>
      </w:pPr>
    </w:p>
    <w:p>
      <w:pPr>
        <w:ind w:firstLine="511"/>
        <w:spacing w:after="0" w:line="253" w:lineRule="auto"/>
        <w:rPr>
          <w:sz w:val="20"/>
          <w:szCs w:val="20"/>
          <w:color w:val="auto"/>
        </w:rPr>
      </w:pPr>
      <w:r>
        <w:rPr>
          <w:rFonts w:ascii="Times New Roman" w:cs="Times New Roman" w:eastAsia="Times New Roman" w:hAnsi="Times New Roman"/>
          <w:sz w:val="18"/>
          <w:szCs w:val="18"/>
          <w:color w:val="auto"/>
        </w:rPr>
        <w:t>Moreover, enrolling patients in clinical trials for MPNs is challenging, as patients with ET or MF will typically first receive the applicable standard of care. Many patients who respond adequately to or tolerate the standard of care therapy (and thus do not enroll in clinical trials) may have disease that would have responded well to our product candidates. This may limit the number of eligible patients able to enroll in our clinical trials and could extend development timelines or increase costs for these programs. Patients whose disease does not adequately respond to, or who are intolerant of, the standard of care treatment may be eligible for clinical trials of unapproved drug candidates. However, these patients may have received prior cytoreductive therapies, such as hydroxyurea, anagrelide or interferon, or JAK inhibitors, which may affect their disease biology, blood counts or ability to tolerate additional therapy. Any of these prior treatment regimens may render our therapies less effective in clinical trials or make the results of our clinical trials more difficult to interpret. We have sought and may continue to seek to mitigate these effects in the future through modification of enrollment eligibility criteria. Additionally, patients whose disease has not responded to, or has progressed after, approved therapies will typically have more advanced disease, and patients with MF in particular may have a poorer long-term prognosis. If we are unable to adequately enroll patients in our clinical trials, our clinical trial timelines may be delayed.</w:t>
      </w:r>
    </w:p>
    <w:p>
      <w:pPr>
        <w:spacing w:after="0" w:line="192" w:lineRule="exact"/>
        <w:rPr>
          <w:sz w:val="20"/>
          <w:szCs w:val="20"/>
          <w:color w:val="auto"/>
        </w:rPr>
      </w:pPr>
    </w:p>
    <w:p>
      <w:pPr>
        <w:ind w:right="20" w:firstLine="511"/>
        <w:spacing w:after="0" w:line="256" w:lineRule="auto"/>
        <w:rPr>
          <w:sz w:val="20"/>
          <w:szCs w:val="20"/>
          <w:color w:val="auto"/>
        </w:rPr>
      </w:pPr>
      <w:r>
        <w:rPr>
          <w:rFonts w:ascii="Times New Roman" w:cs="Times New Roman" w:eastAsia="Times New Roman" w:hAnsi="Times New Roman"/>
          <w:sz w:val="18"/>
          <w:szCs w:val="18"/>
          <w:color w:val="auto"/>
        </w:rPr>
        <w:t>Furthermore, a failure of one or more clinical trials can occur at any clinical trial phase.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In addition, we expect to rely on patients to provide feedback on measures such as measures of disease and quality of life, which are subjective and inherently difficult to evaluate. These measures can be influenced by factors outside of our control and can vary widely from day to day for a particular patient, and from patient to patient and from site to site within a clinical trial.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399" w:right="318" w:bottom="1440" w:gutter="0" w:footer="0" w:header="0"/>
        </w:sectPr>
      </w:pPr>
    </w:p>
    <w:bookmarkStart w:id="46" w:name="page47"/>
    <w:bookmarkEnd w:id="46"/>
    <w:p>
      <w:pPr>
        <w:ind w:right="60" w:firstLine="511"/>
        <w:spacing w:after="0" w:line="252" w:lineRule="auto"/>
        <w:rPr>
          <w:sz w:val="20"/>
          <w:szCs w:val="20"/>
          <w:color w:val="auto"/>
        </w:rPr>
      </w:pPr>
      <w:r>
        <w:rPr>
          <w:rFonts w:ascii="Times New Roman" w:cs="Times New Roman" w:eastAsia="Times New Roman" w:hAnsi="Times New Roman"/>
          <w:sz w:val="18"/>
          <w:szCs w:val="18"/>
          <w:color w:val="auto"/>
        </w:rPr>
        <w:t xml:space="preserve">We cannot be sure that the FDA or comparable foreign regulatory authorities will agree with our clinical development plans, and there is no guarantee that data from our Phase 1/1b trial will support additional trials. If the FDA or comparable foreign regulatory authorities require us to conduct additional trials or enroll additional patients, our development timelines may be delayed. We cannot be sure that submission of an IND or similar foreign application will result in the FDA or comparable foreign regulatory authorities, as applicable, allowing clinical trials to begin in a timely manner, if at all. Moreover, even if these trials begin, issues may arise that could cause regulatory authorities to suspend or terminate such clinical trials. Events that may prevent successful or timely initiation or completion of clinical trials include: 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data to support the initiation or continuation of clinical trials; delays in reaching a consensus with regulatory authorities on study design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of the clinical trials; delays or failure in obtaining regulatory authorization to commence a trial; delays in reaching agreement on acceptable terms with prospective CROs and clinical trial sites, the terms of which can be subject to extensive negotiation and may vary significantly among different CROs and clinical trial sites; delays in identifying, recruiting and training suitable clinical investigators; delays in obtaining required IRB approval or positive ethics committee opinions at each clinical trial site; delays in manufacturing, testing, releasing, validating or importing/exporting sufficient stable quantities of our product candidates for use in clinical trials or the inability to do any of the foregoing; failure by our CROs, other third parties or us to adhere to clinical trial protocols; failure to perform in accordance with the FDA’s or any other regulatory authority’s good clinical practice (“GCP”) requirements or regulatory guidelines; changes to the clinical trial protocols; clinical sites deviating from trial protocol or dropping out of a trial; changes in regulatory requirements, guidance or clinical trial plans that require amending or submitting new clinical protocols; selection of clinical endpoints that require prolonged periods of observation or analyses of resulting data; transfer of manufacturing processes to new or larger-scale facilities and delays or failure by our CMOs or us to make any necessary changes to such manufacturing process; and third parties being unwilling or unable to satisfy their contractual obligations to us.</w:t>
      </w:r>
    </w:p>
    <w:p>
      <w:pPr>
        <w:spacing w:after="0" w:line="192"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or ethics committees of the institutions in which such clinical trials are being conducted, by the Data Safety Monitoring Board, if any, for such clinical trial or by the FDA or comparable foreign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comparable foreign regulatory authorities resulting in the imposition of a clinical hold, unforeseen safety issues or adverse side effects, failure to demonstrate a benefit from the product candidate, changes in governmental regulations or administrative actions or lack of adequate funding to continue the clinical trial. If we are required to conduct additional clinical trials or other testing of our product candidates beyond those that we currently contemplate, if we are unable to successfully complete clinical trials of our product candidates, if the results of these trials are not positive or are only moderately positive or if there are safety concerns, our business and results of operations would be adversely affected.</w:t>
      </w:r>
    </w:p>
    <w:p>
      <w:pPr>
        <w:spacing w:after="0" w:line="29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particularly given the relatively small patient population. If we encounter difficulties enrolling patients in our ongoing and future clinical trials of DMR-001 or our other programs, our clinical development activities could be delayed or otherwise adversely affected.</w:t>
      </w:r>
    </w:p>
    <w:p>
      <w:pPr>
        <w:spacing w:after="0" w:line="67" w:lineRule="exact"/>
        <w:rPr>
          <w:sz w:val="20"/>
          <w:szCs w:val="20"/>
          <w:color w:val="auto"/>
        </w:rPr>
      </w:pPr>
    </w:p>
    <w:p>
      <w:pPr>
        <w:jc w:val="both"/>
        <w:ind w:right="80" w:firstLine="511"/>
        <w:spacing w:after="0" w:line="266"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current or future clinical trials for a variety of reasons. The timely completion of clinical trials in accordance with their protocols depends, among other things, on our ability to enroll a sufficient number of patients who remain in the trial until its conclusion.</w:t>
      </w:r>
    </w:p>
    <w:p>
      <w:pPr>
        <w:spacing w:after="0" w:line="176" w:lineRule="exact"/>
        <w:rPr>
          <w:sz w:val="20"/>
          <w:szCs w:val="20"/>
          <w:color w:val="auto"/>
        </w:rPr>
      </w:pPr>
    </w:p>
    <w:p>
      <w:pPr>
        <w:ind w:right="240" w:firstLine="511"/>
        <w:spacing w:after="0" w:line="258" w:lineRule="auto"/>
        <w:rPr>
          <w:sz w:val="20"/>
          <w:szCs w:val="20"/>
          <w:color w:val="auto"/>
        </w:rPr>
      </w:pPr>
      <w:r>
        <w:rPr>
          <w:rFonts w:ascii="Times New Roman" w:cs="Times New Roman" w:eastAsia="Times New Roman" w:hAnsi="Times New Roman"/>
          <w:sz w:val="18"/>
          <w:szCs w:val="18"/>
          <w:color w:val="auto"/>
        </w:rPr>
        <w:t>In addition, cancer therapies are sometimes characterized by line of therapy (first, second, third, fourth, etc.), and the FDA often initially approves new therapies only for use in a particular line or lines of therapy. For example, we may initially seek approval of our product candidates as a third-line therapy for patients who have failed other approved treatments. We may subsequently seek approval as a second- and first-line therapy. There is no guarantee that our product candidates, even if initially approved, would be subsequently approved as a second or first line therapy, which may further reduce the number of patients available to us.</w:t>
      </w:r>
    </w:p>
    <w:p>
      <w:pPr>
        <w:spacing w:after="0" w:line="183" w:lineRule="exact"/>
        <w:rPr>
          <w:sz w:val="20"/>
          <w:szCs w:val="20"/>
          <w:color w:val="auto"/>
        </w:rPr>
      </w:pPr>
    </w:p>
    <w:p>
      <w:pPr>
        <w:jc w:val="both"/>
        <w:ind w:firstLine="511"/>
        <w:spacing w:after="0" w:line="266" w:lineRule="auto"/>
        <w:rPr>
          <w:sz w:val="20"/>
          <w:szCs w:val="20"/>
          <w:color w:val="auto"/>
        </w:rPr>
      </w:pPr>
      <w:r>
        <w:rPr>
          <w:rFonts w:ascii="Times New Roman" w:cs="Times New Roman" w:eastAsia="Times New Roman" w:hAnsi="Times New Roman"/>
          <w:sz w:val="18"/>
          <w:szCs w:val="18"/>
          <w:color w:val="auto"/>
        </w:rPr>
        <w:t>Currently, many lower-risk ET patients are treated with aspirin alone, which may reduce the number of patients eligible for, or motivated to enroll in, our clinical trials. Higher-risk ET patients carry a greater risk of clotting and bleeding and are generally treated with hydroxyurea, which is not approved for the treatment of ET in the United States, anagrelide or interferon.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enrollment of patients in future trials for any of our product candidates will depend on many factors, including:</w:t>
      </w:r>
    </w:p>
    <w:p>
      <w:pPr>
        <w:spacing w:after="0" w:line="117" w:lineRule="exact"/>
        <w:rPr>
          <w:sz w:val="20"/>
          <w:szCs w:val="20"/>
          <w:color w:val="auto"/>
        </w:rPr>
      </w:pPr>
    </w:p>
    <w:p>
      <w:pPr>
        <w:ind w:left="1140" w:hanging="381"/>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399" w:right="318" w:bottom="1440" w:gutter="0" w:footer="0" w:header="0"/>
        </w:sectPr>
      </w:pPr>
    </w:p>
    <w:bookmarkStart w:id="47" w:name="page48"/>
    <w:bookmarkEnd w:id="47"/>
    <w:p>
      <w:pPr>
        <w:ind w:left="1140" w:hanging="381"/>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drugs for the disease under investigation;</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and exclusion criteria for the trial in question;</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and clinicians’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140" w:hanging="381"/>
        <w:spacing w:after="0" w:line="266"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patients choose to enroll in clinical trials, rather than using approved products, or if our competitors have ongoing clinical trials for product candidates that are under development for the same indications as our product candidates, and patients instead enroll in such clinical trials;</w:t>
      </w:r>
    </w:p>
    <w:p>
      <w:pPr>
        <w:spacing w:after="0" w:line="6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 and</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enrollment of prospective patients by clinical trial sites.</w:t>
      </w:r>
    </w:p>
    <w:p>
      <w:pPr>
        <w:spacing w:after="0" w:line="225" w:lineRule="exact"/>
        <w:rPr>
          <w:sz w:val="20"/>
          <w:szCs w:val="20"/>
          <w:color w:val="auto"/>
        </w:rPr>
      </w:pPr>
    </w:p>
    <w:p>
      <w:pPr>
        <w:ind w:right="40" w:firstLine="511"/>
        <w:spacing w:after="0" w:line="258" w:lineRule="auto"/>
        <w:rPr>
          <w:sz w:val="20"/>
          <w:szCs w:val="20"/>
          <w:color w:val="auto"/>
        </w:rPr>
      </w:pPr>
      <w:r>
        <w:rPr>
          <w:rFonts w:ascii="Times New Roman" w:cs="Times New Roman" w:eastAsia="Times New Roman" w:hAnsi="Times New Roman"/>
          <w:sz w:val="18"/>
          <w:szCs w:val="18"/>
          <w:color w:val="auto"/>
        </w:rPr>
        <w:t>Additionally, the number of patients required for clinical trials of our product candidates may be larger than we anticipate. Even if we are able to enroll a sufficient number of patients for our future clinical trials, we may have difficulty maintaining patients in our clinical trials. Our inability to enroll or maintain a sufficient number of patients would result in significant delays in completing clinical trials or receipt of regulatory approvals and increased development costs or may require us to abandon one or more clinical trials altogether, which could cause our value to decline, limit our ability to obtain additional financing and otherwise harm our prospects.</w:t>
      </w:r>
    </w:p>
    <w:p>
      <w:pPr>
        <w:spacing w:after="0" w:line="28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“topline” or interim data from our clinical trials that we announce or publish from time to time may change as more patient data become available and are subject to audit and verification procedures.</w:t>
      </w:r>
    </w:p>
    <w:p>
      <w:pPr>
        <w:spacing w:after="0" w:line="51" w:lineRule="exact"/>
        <w:rPr>
          <w:sz w:val="20"/>
          <w:szCs w:val="20"/>
          <w:color w:val="auto"/>
        </w:rPr>
      </w:pPr>
    </w:p>
    <w:p>
      <w:pPr>
        <w:ind w:right="80" w:firstLine="511"/>
        <w:spacing w:after="0" w:line="256"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are based on a preliminary analysis of then-available data. The results and related findings and conclusions are subject to change following a more comprehensive review of the data. We also make assumptions, estimations, calculations and conclusions as part of our analyses of these data without the opportunity to fully and carefully evaluate complete data. As a result, the preliminary or topline results that we report may differ from future results of the same studies, or different conclusions or considerations may qualify such results, once additional data have been received and fully evaluated or subsequently made subject to audit and verification procedures.</w:t>
      </w:r>
    </w:p>
    <w:p>
      <w:pPr>
        <w:spacing w:after="0" w:line="187" w:lineRule="exact"/>
        <w:rPr>
          <w:sz w:val="20"/>
          <w:szCs w:val="20"/>
          <w:color w:val="auto"/>
        </w:rPr>
      </w:pPr>
    </w:p>
    <w:p>
      <w:pPr>
        <w:ind w:firstLine="511"/>
        <w:spacing w:after="0" w:line="253" w:lineRule="auto"/>
        <w:rPr>
          <w:sz w:val="20"/>
          <w:szCs w:val="20"/>
          <w:color w:val="auto"/>
        </w:rPr>
      </w:pPr>
      <w:r>
        <w:rPr>
          <w:rFonts w:ascii="Times New Roman" w:cs="Times New Roman" w:eastAsia="Times New Roman" w:hAnsi="Times New Roman"/>
          <w:sz w:val="18"/>
          <w:szCs w:val="18"/>
          <w:color w:val="auto"/>
        </w:rPr>
        <w:t>Any preliminary or topline data should be viewed with caution until the final data are available. From time to time, we may also disclose interim data from our preclinical studies and clinical trials. Interim data are subject to the risk that one or more of the clinical outcomes may materially change as patient enrollment continues and more patient data become available or as patients from our clinical trials continue other treatments. Further, others, including regulatory authorities, may not accept or agree with our assumptions, estimates, calculations, conclusions or analyses or may interpret or weigh the importance of data differently, which could impact the value of the particular product candidate, the approvability or commercialization of the particular product candidate and of us as a company. In addition, the information we choose to publicly disclose regarding a particular preclinical study or clinical trial is based on what is typically extensive information, and you or others may not agree with what we determine is material or otherwise appropriate information to include in our disclosure. As a result, you or others may have reached different conclusions based on such extensive information in comparison to our publicly disclosed conclusion regarding a particular preclinical study or clinical trial. If the preliminary, topline or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9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clinical trials or those of our current or future collaborators may reveal significant adverse events or undesirable side effects not seen in our preclinical studies and may result in a safety profile that could halt clinical development, inhibit regulatory approval or limit commercial potential or market acceptance of any of our product candidates.</w:t>
      </w:r>
    </w:p>
    <w:p>
      <w:pPr>
        <w:spacing w:after="0" w:line="67" w:lineRule="exact"/>
        <w:rPr>
          <w:sz w:val="20"/>
          <w:szCs w:val="20"/>
          <w:color w:val="auto"/>
        </w:rPr>
      </w:pPr>
    </w:p>
    <w:p>
      <w:pPr>
        <w:ind w:right="40" w:firstLine="511"/>
        <w:spacing w:after="0" w:line="256" w:lineRule="auto"/>
        <w:rPr>
          <w:sz w:val="20"/>
          <w:szCs w:val="20"/>
          <w:color w:val="auto"/>
        </w:rPr>
      </w:pPr>
      <w:r>
        <w:rPr>
          <w:rFonts w:ascii="Times New Roman" w:cs="Times New Roman" w:eastAsia="Times New Roman" w:hAnsi="Times New Roman"/>
          <w:sz w:val="18"/>
          <w:szCs w:val="18"/>
          <w:color w:val="auto"/>
        </w:rPr>
        <w:t>Results of our clinical trials could reveal a high or unacceptable severity and prevalence of side effects, adverse events or unexpected characteristics. If significant adverse events or other side effects are observed in our ongoing or future clinical trials, we may have difficulty recruiting patients to such trials, patients may drop out of our trials, or we may be required to abandon the trials or our development efforts of one or more product candidates altogether. For example, in June 2026, Incyte reported six discontinuations among 114 patients, one of which was due to a treatment-emergent adverse event (“TEAE”), in its Phase 1 trial investigating INCA033989 in ET patients resistant or intolerant to prior cytoreductive therapy. The most frequent grade ≥ 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91" w:right="318" w:bottom="1440" w:gutter="0" w:footer="0" w:header="0"/>
        </w:sectPr>
      </w:pPr>
    </w:p>
    <w:bookmarkStart w:id="48" w:name="page49"/>
    <w:bookmarkEnd w:id="48"/>
    <w:p>
      <w:pPr>
        <w:ind w:right="20"/>
        <w:spacing w:after="0" w:line="269" w:lineRule="auto"/>
        <w:rPr>
          <w:sz w:val="20"/>
          <w:szCs w:val="20"/>
          <w:color w:val="auto"/>
        </w:rPr>
      </w:pPr>
      <w:r>
        <w:rPr>
          <w:rFonts w:ascii="Times New Roman" w:cs="Times New Roman" w:eastAsia="Times New Roman" w:hAnsi="Times New Roman"/>
          <w:sz w:val="17"/>
          <w:szCs w:val="17"/>
          <w:color w:val="auto"/>
        </w:rPr>
        <w:t>TEAEs were fatigue, headache, lipase increase and constipation. Because DMR-001 targets the same mutant protein, it is possible that patients in our clinical trials could exhibit similar grade TEAEs as well. We, the FDA or other applicable regulatory authorities, or an IRB or ethics committee, may suspend any clinical trials of any product candidate at any time for various reasons, including a belief that subjects or patients in such trials are being exposed to unacceptable health risks or adverse side effects. Some potential products developed in the biotechnology industry that initially showed therapeutic promise in early-stage studies and trials have later been found to cause side effects that prevented their further development. Other potential products have shown side effects in preclinical studies, which side effects do not present themselves in clinical trials in humans. Even if the side effects do not preclude the product candidate from obtaining or maintaining regulatory approval, undesirable side effects may inhibit market acceptance of the approved product due to its tolerability versus other therapies. In addition, an extended half-life could prolong the duration of undesirable side effects, which could also inhibit market acceptance. TEAEs could also affect patient recruitment or the ability of enrolled subjects to complete our clinical trials or could result in potential product liability claims. Potential side effects associated with our product candidates may not be appropriately recognized or managed by the treating medical staff, as toxicities resulting from our product candidates may not be normally encountered in the general patient population and by medical personnel. Any of these occurrences could harm our business, financial condition, results of operations and prospects significantly.</w:t>
      </w:r>
    </w:p>
    <w:p>
      <w:pPr>
        <w:spacing w:after="0" w:line="179" w:lineRule="exact"/>
        <w:rPr>
          <w:sz w:val="20"/>
          <w:szCs w:val="20"/>
          <w:color w:val="auto"/>
        </w:rPr>
      </w:pPr>
    </w:p>
    <w:p>
      <w:pPr>
        <w:ind w:firstLine="511"/>
        <w:spacing w:after="0" w:line="261" w:lineRule="auto"/>
        <w:rPr>
          <w:sz w:val="20"/>
          <w:szCs w:val="20"/>
          <w:color w:val="auto"/>
        </w:rPr>
      </w:pPr>
      <w:r>
        <w:rPr>
          <w:rFonts w:ascii="Times New Roman" w:cs="Times New Roman" w:eastAsia="Times New Roman" w:hAnsi="Times New Roman"/>
          <w:sz w:val="18"/>
          <w:szCs w:val="18"/>
          <w:color w:val="auto"/>
        </w:rPr>
        <w:t>In addition, even if we successfully advance our product candidates or any future product candidate through clinical trials, such trials will only include a limited number of patients and limited duration of exposure to our product candidates. As a result, we cannot be assured that adverse effects of our product candidates will not be uncovered when a significantly larger number of patients are exposed to the product candidate after approval. Further, any clinical trials may not be sufficient to determine the effect and safety consequences of using our product candidates over a multi-year period.</w:t>
      </w:r>
    </w:p>
    <w:p>
      <w:pPr>
        <w:spacing w:after="0" w:line="180" w:lineRule="exact"/>
        <w:rPr>
          <w:sz w:val="20"/>
          <w:szCs w:val="20"/>
          <w:color w:val="auto"/>
        </w:rPr>
      </w:pPr>
    </w:p>
    <w:p>
      <w:pPr>
        <w:ind w:right="420" w:firstLine="511"/>
        <w:spacing w:after="0" w:line="282" w:lineRule="auto"/>
        <w:rPr>
          <w:sz w:val="20"/>
          <w:szCs w:val="20"/>
          <w:color w:val="auto"/>
        </w:rPr>
      </w:pPr>
      <w:r>
        <w:rPr>
          <w:rFonts w:ascii="Times New Roman" w:cs="Times New Roman" w:eastAsia="Times New Roman" w:hAnsi="Times New Roman"/>
          <w:sz w:val="18"/>
          <w:szCs w:val="18"/>
          <w:color w:val="auto"/>
        </w:rPr>
        <w:t>If any of the foregoing events occur or if one or more of our product candidates prove to be unsafe, our entire pipeline could be affected, any of which would have a material adverse effect on our business, financial condition, results of operations and prospects.</w:t>
      </w:r>
    </w:p>
    <w:p>
      <w:pPr>
        <w:spacing w:after="0" w:line="26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resources to pursue a particular program and fail to capitalize on programs that may be more profitable or for which there is a greater likelihood of success.</w:t>
      </w:r>
    </w:p>
    <w:p>
      <w:pPr>
        <w:spacing w:after="0" w:line="51" w:lineRule="exact"/>
        <w:rPr>
          <w:sz w:val="20"/>
          <w:szCs w:val="20"/>
          <w:color w:val="auto"/>
        </w:rPr>
      </w:pPr>
    </w:p>
    <w:p>
      <w:pPr>
        <w:ind w:right="40" w:firstLine="511"/>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our research and development efforts on certain selected programs. For example, we are currently focused primarily on DMR-001. As a result, we may forgo or delay pursuit of opportunities with other programs that later prove to have greater commercial potential. Our resource allocation decisions may cause us to fail to capitalize on viable commercial products or profitable market opportunities. Our spending on current and future research and development of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In addition, we select product candidates among a variety of potential product candidates from Paragon, and the product candidates we select may fail to be viable commercial products or the product candidates we do not select may have a greater likelihood of success.</w:t>
      </w:r>
    </w:p>
    <w:p>
      <w:pPr>
        <w:spacing w:after="0" w:line="292"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approved products resulting from our current programs or any future program may not achieve adequate market acceptance among clinicians, patients, healthcare third-party payors and others in the medical community necessary for commercial success and we may not generate any future revenue from the sale or licensing of such products.</w:t>
      </w:r>
    </w:p>
    <w:p>
      <w:pPr>
        <w:spacing w:after="0" w:line="67" w:lineRule="exact"/>
        <w:rPr>
          <w:sz w:val="20"/>
          <w:szCs w:val="20"/>
          <w:color w:val="auto"/>
        </w:rPr>
      </w:pPr>
    </w:p>
    <w:p>
      <w:pPr>
        <w:ind w:firstLine="511"/>
        <w:spacing w:after="0" w:line="253" w:lineRule="auto"/>
        <w:rPr>
          <w:sz w:val="20"/>
          <w:szCs w:val="20"/>
          <w:color w:val="auto"/>
        </w:rPr>
      </w:pPr>
      <w:r>
        <w:rPr>
          <w:rFonts w:ascii="Times New Roman" w:cs="Times New Roman" w:eastAsia="Times New Roman" w:hAnsi="Times New Roman"/>
          <w:sz w:val="18"/>
          <w:szCs w:val="18"/>
          <w:color w:val="auto"/>
        </w:rPr>
        <w:t>Even if regulatory approval is obtained for a product candidate resulting from one of our current or future programs, we may not gain market acceptance among physicians, healthcare professionals, patients, healthcare payors or the medical community. We may not generate or sustain revenue from sales of the product due to factors such as whether the product can be sold at a competitive cost and whether it will otherwise be accepted in the market. Market acceptance will depend on many factors, including factors that are not within our control. Several products have been approved for the treatment of MPNs, including ropeginterferon alfa-2b (approved in 2026 for ET), momelotinib (approved in 2023) and pacritinib (approved in 2022), and additional product candidates are in later stages of development, including pelabresib, bomedemstat, and navtemadlin. DMR-001 is designed to have improved potency against both Type 1 and Type 2 mutCALR and contains modifications intended to increase the half-life of antibodies in circulation. No therapy that selectively targets mutCALR has been approved by the FDA. Several agents for ET and MF are in late-stage development and could be approved before our product candidates, and physicians may continue to rely on existing cytoreductive therapies such as anagrelide and hydroxyurea. Market participants with significant influence over acceptance of new treatments, such as clinicians and third-party payors, may not adopt a biologic that incorporates anti-mutCALR antibodies and half-life extension for our targeted indication, and we may not be able to convince the medical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91" w:right="318" w:bottom="1440" w:gutter="0" w:footer="0" w:header="0"/>
        </w:sectPr>
      </w:pPr>
    </w:p>
    <w:bookmarkStart w:id="49" w:name="page50"/>
    <w:bookmarkEnd w:id="49"/>
    <w:p>
      <w:pPr>
        <w:ind w:right="40"/>
        <w:spacing w:after="0" w:line="254" w:lineRule="auto"/>
        <w:rPr>
          <w:sz w:val="20"/>
          <w:szCs w:val="20"/>
          <w:color w:val="auto"/>
        </w:rPr>
      </w:pPr>
      <w:r>
        <w:rPr>
          <w:rFonts w:ascii="Times New Roman" w:cs="Times New Roman" w:eastAsia="Times New Roman" w:hAnsi="Times New Roman"/>
          <w:sz w:val="18"/>
          <w:szCs w:val="18"/>
          <w:color w:val="auto"/>
        </w:rPr>
        <w:t>community and third-party payors to accept and use, or to provide favorable reimbursement for, any programs developed by us or our existing or future collaborators. Market acceptance of our product candidates may be negatively impacted by potential poor performance of our competitors, including the occurrence of serious adverse events in such competitors’ clinical trials or failure by such competitors to obtain and maintain regulatory approval for their product candidates. Additionally, our product candidates may not demonstrate the dosing convenience or efficacy we are seeking, and even if they do, these attributes may not result in market acceptance, and other competitive products may instead gain and hold the applicable market. Sales of medical products also depend on the willingness of clinicians to prescribe the treatment. We cannot predict whether clinicians, clinicians’ organizations, hospitals, other healthcare providers, government agencies or private insurers will determine that our product is safe, therapeutically effective, cost effective or less burdensome as compared with competing treatments. If any current or future product candidate is approved but does not achieve an adequate level of acceptance by such parties, we may not generate or derive sufficient revenue from that product candidate and may not become or remain profitable.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programs may compete with our other programs, which could negatively impact our business and reduce our future revenue.</w:t>
      </w:r>
    </w:p>
    <w:p>
      <w:pPr>
        <w:spacing w:after="0" w:line="121" w:lineRule="exact"/>
        <w:rPr>
          <w:sz w:val="20"/>
          <w:szCs w:val="20"/>
          <w:color w:val="auto"/>
        </w:rPr>
      </w:pPr>
    </w:p>
    <w:p>
      <w:pPr>
        <w:ind w:right="80" w:firstLine="511"/>
        <w:spacing w:after="0" w:line="258" w:lineRule="auto"/>
        <w:rPr>
          <w:sz w:val="20"/>
          <w:szCs w:val="20"/>
          <w:color w:val="auto"/>
        </w:rPr>
      </w:pPr>
      <w:r>
        <w:rPr>
          <w:rFonts w:ascii="Times New Roman" w:cs="Times New Roman" w:eastAsia="Times New Roman" w:hAnsi="Times New Roman"/>
          <w:sz w:val="18"/>
          <w:szCs w:val="18"/>
          <w:color w:val="auto"/>
        </w:rPr>
        <w:t>We are developing DMR-001 for the treatment of ET and MF and intend to develop DMR-002 and DMR-003 for mutCALR-driven MPNs, including ET and MF, and we may in the future develop programs for additional MPNs. However, developing multiple product candidates for MPNs may negatively impact our business if the product candidates compete with each other. For example, if multiple product candidates are conducting clinical trials at the same time, they could compete for the enrollment of patients. In addition, if multiple product candidates are approved for the same indication, they may compete for market share, which could limit our future revenue.</w:t>
      </w:r>
    </w:p>
    <w:p>
      <w:pPr>
        <w:spacing w:after="0" w:line="28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conduct clinical trials for product candidates at sites outside the United States, and the FDA may not accept data from trials conducted in such locations.</w:t>
      </w:r>
    </w:p>
    <w:p>
      <w:pPr>
        <w:spacing w:after="0" w:line="51" w:lineRule="exact"/>
        <w:rPr>
          <w:sz w:val="20"/>
          <w:szCs w:val="20"/>
          <w:color w:val="auto"/>
        </w:rPr>
      </w:pPr>
    </w:p>
    <w:p>
      <w:pPr>
        <w:ind w:firstLine="511"/>
        <w:spacing w:after="0" w:line="252" w:lineRule="auto"/>
        <w:rPr>
          <w:sz w:val="20"/>
          <w:szCs w:val="20"/>
          <w:color w:val="auto"/>
        </w:rPr>
      </w:pPr>
      <w:r>
        <w:rPr>
          <w:rFonts w:ascii="Times New Roman" w:cs="Times New Roman" w:eastAsia="Times New Roman" w:hAnsi="Times New Roman"/>
          <w:sz w:val="18"/>
          <w:szCs w:val="18"/>
          <w:color w:val="auto"/>
        </w:rPr>
        <w:t>We are planning to conduct our Phase 1/1b clinical trial of DMR-001 in several geographies, including the United States and Australia, and we may choose to conduct one or more of our future clinical trials outside the United States in whole or in part. Although the FDA may accept data from clinical trials conducted outside the United States, acceptance of this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our determination that the trials also complied with all applicable U.S. laws and regulations.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relevant jurisdiction, as applicable. If the FDA or any comparable foreign regulatory authority does not accept such data, it would likely result in the need for additional trials, which would be costly and time-consuming and would delay or permanently halt our development of the applicable product candidates or delay or prevent regulatory approval for commercialization in the applicable jurisdiction. Even if the FDA or any comparable foreign regulatory authority accepted such data, it could require us to modify our planned clinical trials to receive clearance to initiate such trials in the United States or the relevant jurisdiction, as applicable, or to continue such trials once initiated.</w:t>
      </w:r>
    </w:p>
    <w:p>
      <w:pPr>
        <w:spacing w:after="0" w:line="197" w:lineRule="exact"/>
        <w:rPr>
          <w:sz w:val="20"/>
          <w:szCs w:val="20"/>
          <w:color w:val="auto"/>
        </w:rPr>
      </w:pPr>
    </w:p>
    <w:p>
      <w:pPr>
        <w:ind w:right="220" w:firstLine="511"/>
        <w:spacing w:after="0" w:line="258" w:lineRule="auto"/>
        <w:rPr>
          <w:sz w:val="20"/>
          <w:szCs w:val="20"/>
          <w:color w:val="auto"/>
        </w:rPr>
      </w:pPr>
      <w:r>
        <w:rPr>
          <w:rFonts w:ascii="Times New Roman" w:cs="Times New Roman" w:eastAsia="Times New Roman" w:hAnsi="Times New Roman"/>
          <w:sz w:val="18"/>
          <w:szCs w:val="18"/>
          <w:color w:val="auto"/>
        </w:rPr>
        <w:t>Further, conducting international clinical trials presents additional risks that may delay completion of our clinical trials. These risks include the failure of enrolled patients in foreign countries to adhere to clinical protocol as a result of differences in healthcare services or cultural customs that could restrict or limit our ability to conduct our clinical trials, the administrative burdens of conducting clinical trials under multiple sets of foreign regulations, foreign exchange fluctuations, diminished protection of intellectual property in some countries, as well as political and economic risks relevant to foreign countries.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collaborations and licensing arrangements with third parties, including Paragon. If we are unable to maintain these collaborations or licensing arrangements, or if these collaborations or licensing arrangements are not successful, our business could be negatively impacted.</w:t>
      </w:r>
    </w:p>
    <w:p>
      <w:pPr>
        <w:spacing w:after="0" w:line="51" w:lineRule="exact"/>
        <w:rPr>
          <w:sz w:val="20"/>
          <w:szCs w:val="20"/>
          <w:color w:val="auto"/>
        </w:rPr>
      </w:pPr>
    </w:p>
    <w:p>
      <w:pPr>
        <w:ind w:right="200" w:firstLine="511"/>
        <w:spacing w:after="0" w:line="266" w:lineRule="auto"/>
        <w:rPr>
          <w:sz w:val="20"/>
          <w:szCs w:val="20"/>
          <w:color w:val="auto"/>
        </w:rPr>
      </w:pPr>
      <w:r>
        <w:rPr>
          <w:rFonts w:ascii="Times New Roman" w:cs="Times New Roman" w:eastAsia="Times New Roman" w:hAnsi="Times New Roman"/>
          <w:sz w:val="18"/>
          <w:szCs w:val="18"/>
          <w:color w:val="auto"/>
        </w:rPr>
        <w:t>We rely on our collaboration with a third party, Paragon, for a substantial portion of our discovery capabilities and for the rights necessary to develop and commercialize our product candidates. In the future, we could also rely on additional licensing arrangements with third parties. For example, we have entered into the Paragon Option Agreement and, with respect to DMR-001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91" w:right="318" w:bottom="1440" w:gutter="0" w:footer="0" w:header="0"/>
        </w:sectPr>
      </w:pPr>
    </w:p>
    <w:bookmarkStart w:id="50" w:name="page51"/>
    <w:bookmarkEnd w:id="50"/>
    <w:p>
      <w:pPr>
        <w:spacing w:after="0" w:line="258" w:lineRule="auto"/>
        <w:rPr>
          <w:sz w:val="20"/>
          <w:szCs w:val="20"/>
          <w:color w:val="auto"/>
        </w:rPr>
      </w:pPr>
      <w:r>
        <w:rPr>
          <w:rFonts w:ascii="Times New Roman" w:cs="Times New Roman" w:eastAsia="Times New Roman" w:hAnsi="Times New Roman"/>
          <w:sz w:val="18"/>
          <w:szCs w:val="18"/>
          <w:color w:val="auto"/>
        </w:rPr>
        <w:t>and DMR-002, the Paragon License Agreement, and our rights to DMR-003 remain subject to an unexercised option under the Paragon Option Agreement. The Paragon License Agreement imposes milestone, royalty and diligence obligations on us. However, Paragon could terminate the Paragon Option Agreement or the Paragon License Agreement under certain circumstances, including our failure to make any payments owed to Paragon under the applicable agreement or any uncured material breach of the applicable agreement by us, in which event we may lose intellectual property rights and may not be able to develop or commercialize the product candidates covered by that agreement, including DMR-001, DMR-002 or DMR-003, as applicable.</w:t>
      </w:r>
    </w:p>
    <w:p>
      <w:pPr>
        <w:spacing w:after="0" w:line="183" w:lineRule="exact"/>
        <w:rPr>
          <w:sz w:val="20"/>
          <w:szCs w:val="20"/>
          <w:color w:val="auto"/>
        </w:rPr>
      </w:pPr>
    </w:p>
    <w:p>
      <w:pPr>
        <w:ind w:right="20" w:firstLine="511"/>
        <w:spacing w:after="0" w:line="253" w:lineRule="auto"/>
        <w:rPr>
          <w:sz w:val="20"/>
          <w:szCs w:val="20"/>
          <w:color w:val="auto"/>
        </w:rPr>
      </w:pPr>
      <w:r>
        <w:rPr>
          <w:rFonts w:ascii="Times New Roman" w:cs="Times New Roman" w:eastAsia="Times New Roman" w:hAnsi="Times New Roman"/>
          <w:sz w:val="18"/>
          <w:szCs w:val="18"/>
          <w:color w:val="auto"/>
        </w:rPr>
        <w:t>Collaborations or licensing arrangements that we enter into may not be successful, and any success will depend heavily on the efforts and activities of such collaborators or licensors. If any of our collaborators or licensors experiences delays in performance of, or fails to perform, its obligations under its agreement with us, disagrees with our interpretation of the terms of such agreement or terminates its agreement with us, our pipeline and product candidates and development timeline could be adversely affected. If we fail to comply with any of the obligations under our collaborations or license agreements, including payment terms and diligence terms, our collaborators or licensors may have the right to terminate such agreements, in which event we may lose intellectual property rights and may not be able to develop, manufacture, market or sell the products covered by our agreements or may face other penalties under our agreements. Our collaborators and licensors may also fail to properly maintain or defend the intellectual property we have licensed from them, if required by our agreement with them, leading to the potential invalidation of our intellectual property, or they may even infringe upon our intellectual property rights, any of which could subject us to litigation or arbitration, which would be time-consuming and expensive and could harm our ability to commercialize our product candidates. In addition, 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190" w:lineRule="exact"/>
        <w:rPr>
          <w:sz w:val="20"/>
          <w:szCs w:val="20"/>
          <w:color w:val="auto"/>
        </w:rPr>
      </w:pPr>
    </w:p>
    <w:p>
      <w:pPr>
        <w:ind w:right="100" w:firstLine="511"/>
        <w:spacing w:after="0" w:line="261" w:lineRule="auto"/>
        <w:rPr>
          <w:sz w:val="20"/>
          <w:szCs w:val="20"/>
          <w:color w:val="auto"/>
        </w:rPr>
      </w:pPr>
      <w:r>
        <w:rPr>
          <w:rFonts w:ascii="Times New Roman" w:cs="Times New Roman" w:eastAsia="Times New Roman" w:hAnsi="Times New Roman"/>
          <w:sz w:val="18"/>
          <w:szCs w:val="18"/>
          <w:color w:val="auto"/>
        </w:rPr>
        <w:t>As part of our strategy, we plan to evaluate additional opportunities to enhance our capabilities and expand our development pipeline or add development or commercialization capabilities. We may not realize the benefits of such collaborations, alliances or licensing arrangements. Any of these relationships may require us to incur non-recurring and other charges, increase our near and long-term expenditures, issue securities that dilute our existing shareholders or disrupt our management and business.</w:t>
      </w:r>
    </w:p>
    <w:p>
      <w:pPr>
        <w:spacing w:after="0" w:line="180" w:lineRule="exact"/>
        <w:rPr>
          <w:sz w:val="20"/>
          <w:szCs w:val="20"/>
          <w:color w:val="auto"/>
        </w:rPr>
      </w:pPr>
    </w:p>
    <w:p>
      <w:pPr>
        <w:ind w:right="60" w:firstLine="511"/>
        <w:spacing w:after="0" w:line="253" w:lineRule="auto"/>
        <w:rPr>
          <w:sz w:val="20"/>
          <w:szCs w:val="20"/>
          <w:color w:val="auto"/>
        </w:rPr>
      </w:pPr>
      <w:r>
        <w:rPr>
          <w:rFonts w:ascii="Times New Roman" w:cs="Times New Roman" w:eastAsia="Times New Roman" w:hAnsi="Times New Roman"/>
          <w:sz w:val="18"/>
          <w:szCs w:val="18"/>
          <w:color w:val="auto"/>
        </w:rPr>
        <w:t>We may face significant competition in attracting appropriate collaborators, and more established companies may also be pursuing strategies to license or acquire third-party intellectual property rights that we consider attractive. These companies may have a competitive advantage over us due to their size, financial resources and greater clinical development and commercialization capabilities. In addition, companies may be unwilling to assign or license rights to us, whether they perceive us to be a competitor or for other reasons. Whether we reach a definitive agreement for a collaboration will depend, among other things, upon our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We may not be able to negotiate additional collaborations on a timely basis,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spacing w:after="0" w:line="29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the in-licensing or acquisition of product candidates could cause substantial delays in the preclinical and clinical development of our product candidates.</w:t>
      </w:r>
    </w:p>
    <w:p>
      <w:pPr>
        <w:spacing w:after="0" w:line="51" w:lineRule="exact"/>
        <w:rPr>
          <w:sz w:val="20"/>
          <w:szCs w:val="20"/>
          <w:color w:val="auto"/>
        </w:rPr>
      </w:pPr>
    </w:p>
    <w:p>
      <w:pPr>
        <w:ind w:right="60" w:firstLine="511"/>
        <w:spacing w:after="0" w:line="256" w:lineRule="auto"/>
        <w:rPr>
          <w:sz w:val="20"/>
          <w:szCs w:val="20"/>
          <w:color w:val="auto"/>
        </w:rPr>
      </w:pPr>
      <w:r>
        <w:rPr>
          <w:rFonts w:ascii="Times New Roman" w:cs="Times New Roman" w:eastAsia="Times New Roman" w:hAnsi="Times New Roman"/>
          <w:sz w:val="18"/>
          <w:szCs w:val="18"/>
          <w:color w:val="auto"/>
        </w:rPr>
        <w:t>We have relied and continue to rely on Paragon, and expect to rely on our future licensing partners, to (i) conduct research and development in accordance with the applicable protocol, legal, regulatory and scientific standards, (ii) accurately report the results of all preclinical trials conducted prior to our licensing or acquisition of the relevant product candidates and (iii) correctly collect and interpret the data from these trials. If the research and development processes or the results of the research programs prior to our licensing or acquisition of our product candidates prove to be unreliable, this could result in increased costs and delays in the development of our product candidates, which could adversely affect any future revenue from such product candidates, if approved.</w:t>
      </w:r>
    </w:p>
    <w:p>
      <w:pPr>
        <w:spacing w:after="0" w:line="187" w:lineRule="exact"/>
        <w:rPr>
          <w:sz w:val="20"/>
          <w:szCs w:val="20"/>
          <w:color w:val="auto"/>
        </w:rPr>
      </w:pPr>
    </w:p>
    <w:p>
      <w:pPr>
        <w:ind w:right="20" w:firstLine="511"/>
        <w:spacing w:after="0" w:line="258" w:lineRule="auto"/>
        <w:rPr>
          <w:sz w:val="20"/>
          <w:szCs w:val="20"/>
          <w:color w:val="auto"/>
        </w:rPr>
      </w:pPr>
      <w:r>
        <w:rPr>
          <w:rFonts w:ascii="Times New Roman" w:cs="Times New Roman" w:eastAsia="Times New Roman" w:hAnsi="Times New Roman"/>
          <w:sz w:val="18"/>
          <w:szCs w:val="18"/>
          <w:color w:val="auto"/>
        </w:rPr>
        <w:t>We may also acquire or in-license additional product candidates for preclinical or clinical development in the future as we continue to build our pipeline. The risks associated with acquiring or in-licensing product candidates could result in delays in the commencement or completion of our preclinical studies and clinical trials, if they are ever commenced or completed, and our ability to generate revenues from our product candidates may be delayed. Please see the section titled “</w:t>
      </w:r>
      <w:r>
        <w:rPr>
          <w:rFonts w:ascii="Times New Roman" w:cs="Times New Roman" w:eastAsia="Times New Roman" w:hAnsi="Times New Roman"/>
          <w:sz w:val="18"/>
          <w:szCs w:val="18"/>
          <w:i w:val="1"/>
          <w:iCs w:val="1"/>
          <w:color w:val="auto"/>
        </w:rPr>
        <w:t>Risk Factors-Risks Related to Our Intellectual Property-If we are unable to obtain or maintain necessary rights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programs through acquisitions and in-licenses, our business may be materially harmed</w:t>
      </w:r>
      <w:r>
        <w:rPr>
          <w:rFonts w:ascii="Times New Roman" w:cs="Times New Roman" w:eastAsia="Times New Roman" w:hAnsi="Times New Roman"/>
          <w:sz w:val="18"/>
          <w:szCs w:val="18"/>
          <w:color w:val="auto"/>
        </w:rPr>
        <w:t>” below for additional information regarding such risks.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91" w:right="318" w:bottom="1440" w:gutter="0" w:footer="0" w:header="0"/>
        </w:sectPr>
      </w:pPr>
    </w:p>
    <w:bookmarkStart w:id="51" w:name="page52"/>
    <w:bookmarkEnd w:id="51"/>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67" w:lineRule="exact"/>
        <w:rPr>
          <w:sz w:val="20"/>
          <w:szCs w:val="20"/>
          <w:color w:val="auto"/>
        </w:rPr>
      </w:pPr>
    </w:p>
    <w:p>
      <w:pPr>
        <w:ind w:right="60" w:firstLine="511"/>
        <w:spacing w:after="0" w:line="252" w:lineRule="auto"/>
        <w:rPr>
          <w:sz w:val="20"/>
          <w:szCs w:val="20"/>
          <w:color w:val="auto"/>
        </w:rPr>
      </w:pPr>
      <w:r>
        <w:rPr>
          <w:rFonts w:ascii="Times New Roman" w:cs="Times New Roman" w:eastAsia="Times New Roman" w:hAnsi="Times New Roman"/>
          <w:sz w:val="18"/>
          <w:szCs w:val="18"/>
          <w:color w:val="auto"/>
        </w:rPr>
        <w:t>We have utilized and plan to continue to utilize and depend upon independent investigators and collaborators, such as medical institutions, CROs, contract testing labs and strategic partners, to conduct and support our preclinical studies and clinical trials under agreements with us.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which are regulations and guidelines enforced by the FDA and comparable foreign regulatory authorities for all of our product candidates in clinical development.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In addition, our clinical trials must be conducted with products manufactured in accordance with cGMPs. Our failure to comply with these requirements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 and foreign equivalents.</w:t>
      </w:r>
    </w:p>
    <w:p>
      <w:pPr>
        <w:spacing w:after="0" w:line="196" w:lineRule="exact"/>
        <w:rPr>
          <w:sz w:val="20"/>
          <w:szCs w:val="20"/>
          <w:color w:val="auto"/>
        </w:rPr>
      </w:pPr>
    </w:p>
    <w:p>
      <w:pPr>
        <w:ind w:right="80" w:firstLine="511"/>
        <w:spacing w:after="0" w:line="254" w:lineRule="auto"/>
        <w:rPr>
          <w:sz w:val="20"/>
          <w:szCs w:val="20"/>
          <w:color w:val="auto"/>
        </w:rPr>
      </w:pPr>
      <w:r>
        <w:rPr>
          <w:rFonts w:ascii="Times New Roman" w:cs="Times New Roman" w:eastAsia="Times New Roman" w:hAnsi="Times New Roman"/>
          <w:sz w:val="18"/>
          <w:szCs w:val="18"/>
          <w:color w:val="auto"/>
        </w:rPr>
        <w:t>Any third parties conducting our clinical trials will not be our employees and, except for remedies available to us under our agreements with such third parties, we cannot control whether they devote sufficient time and resources to our programs. These third parties may encounter challenges hiring and retaining sufficient qualified personnel or they may be involved in mergers, acquisitions or similar transactions and may have relationships with other commercial entities, including our competitors, for whom they may also be conducting clinical trials or other product development activities, which could negatively affect their performance on our behalf and the timing thereof and could lead to products that compete directly or indirectly with our current or future product candidates.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w:t>
      </w:r>
    </w:p>
    <w:p>
      <w:pPr>
        <w:spacing w:after="0" w:line="188" w:lineRule="exact"/>
        <w:rPr>
          <w:sz w:val="20"/>
          <w:szCs w:val="20"/>
          <w:color w:val="auto"/>
        </w:rPr>
      </w:pPr>
    </w:p>
    <w:p>
      <w:pPr>
        <w:ind w:firstLine="511"/>
        <w:spacing w:after="0" w:line="252" w:lineRule="auto"/>
        <w:rPr>
          <w:sz w:val="20"/>
          <w:szCs w:val="20"/>
          <w:color w:val="auto"/>
        </w:rPr>
      </w:pPr>
      <w:r>
        <w:rPr>
          <w:rFonts w:ascii="Times New Roman" w:cs="Times New Roman" w:eastAsia="Times New Roman" w:hAnsi="Times New Roman"/>
          <w:sz w:val="18"/>
          <w:szCs w:val="18"/>
          <w:color w:val="auto"/>
        </w:rPr>
        <w:t>In addition, we rely on foreign CROs and CMOs, including WuXi Biologics (Hong Kong) Limited (“WuXi Biologics (Hong Kong)”), for formulation and manufacturing of our Phase 1 clinical trial materials, and will likely continue to rely on foreign CROs and CMOs in the future. WuXi Biologics (Hong Kong) is a subsidiary or affiliate of WuXi Biologics, which was previously identified in the U.S. legislation proposed in 2024 known as the BIOSECURE Act as a biotechnology “company of concern.” The BIOSECURE Act as enacted into law on December 18, 2025 will prohibit U.S. federal agencies from entering into, extending or renewing procurement contracts with, as well as providing grants and loans to, an entity that uses biotechnology equipment or services from a “biotechnology company of concern,” and includes a grandfathering provision allowing biotechnology equipment and services provided or produced by named biotechnology companies of concern under a contract or agreement entered into before the effective date of revisions to the Federal Acquisition Regulation designating an entity a biotechnology company of concern until five years from such effective date. The BIOSECURE Act does not name specific companies; instead, the Office of Management and Budget is required to publish an initial list of biotechnology companies of concern by December 2026, and we cannot predict whether WuXi Biologics (Hong Kong) or any of our other vendors will be included. Depending on how the BIOSECURE Act is implemented by U.S. federal agencies, we could be potentially restricted from pursuing U.S. federal government business or grants in the future if we continue to use WuXi Biologics (Hong Kong) and if WuXi Biologics (Hong Kong) or other parties we contract with are identified as “biotechnology companies of concern” beyond the grandfathering period. Foreign CMOs may be the target of U.S. legislation, including the BIOSECURE Act, trade restrictions and other foreign regulatory requirements which could increase the cost or reduce the supply of material available to us, delay the procurement or supply of such material, restrict or even prohibit our ability to work with such CMOs, or have an adverse effect on our ability to secure significant commitments from governments to purchase potential therapies.</w:t>
      </w:r>
    </w:p>
    <w:p>
      <w:pPr>
        <w:spacing w:after="0" w:line="154" w:lineRule="exact"/>
        <w:rPr>
          <w:sz w:val="20"/>
          <w:szCs w:val="20"/>
          <w:color w:val="auto"/>
        </w:rPr>
      </w:pPr>
    </w:p>
    <w:p>
      <w:pPr>
        <w:ind w:right="20" w:firstLine="511"/>
        <w:spacing w:after="0" w:line="261" w:lineRule="auto"/>
        <w:rPr>
          <w:sz w:val="20"/>
          <w:szCs w:val="20"/>
          <w:color w:val="auto"/>
        </w:rPr>
      </w:pPr>
      <w:r>
        <w:rPr>
          <w:rFonts w:ascii="Times New Roman" w:cs="Times New Roman" w:eastAsia="Times New Roman" w:hAnsi="Times New Roman"/>
          <w:sz w:val="18"/>
          <w:szCs w:val="18"/>
          <w:color w:val="auto"/>
        </w:rPr>
        <w:t>The biopharmaceutical industry in China is strictly regulated by the Chinese government. Changes to Chinese regulations or government policies affecting biopharmaceutical companies are unpredictable and may have a material adverse effect on our collaborators in China which could have an adverse effect on our business, financial condition, results of operations and prospects. In addition, the United States government has imposed significant tariffs on imports from China and other countries and may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79" w:right="318" w:bottom="1440" w:gutter="0" w:footer="0" w:header="0"/>
        </w:sectPr>
      </w:pPr>
    </w:p>
    <w:bookmarkStart w:id="52" w:name="page53"/>
    <w:bookmarkEnd w:id="52"/>
    <w:p>
      <w:pPr>
        <w:spacing w:after="0" w:line="254" w:lineRule="auto"/>
        <w:rPr>
          <w:sz w:val="20"/>
          <w:szCs w:val="20"/>
          <w:color w:val="auto"/>
        </w:rPr>
      </w:pPr>
      <w:r>
        <w:rPr>
          <w:rFonts w:ascii="Times New Roman" w:cs="Times New Roman" w:eastAsia="Times New Roman" w:hAnsi="Times New Roman"/>
          <w:sz w:val="18"/>
          <w:szCs w:val="18"/>
          <w:color w:val="auto"/>
        </w:rPr>
        <w:t>impose more restrictions on goods, including biologically derived substances, manufactured in or imported from China or other countries or impose other restrictions on companies’ ability to work with Chinese or other foreign counterparties. Evolving changes in China’s public health, economic, political, and social conditions and uncertainty around China’s relationship with other governments, such as the United States and the UK, could also negatively impact our ability to manufacture our product candidates for our planned clinical trials or have an adverse effect on our ability to secure government funding, which could adversely affect our financial condition and cause us to delay our clinical research programs. Furthermore, if one or more of our collaborators or vendors in China, including WuXi Biologics (Hong Kong), is named a biotechnology company of concern, our operations and financial condition may be negatively impacted as a result of any delays or increased costs arising from the trade restrictions and other foreign regulatory requirements affecting such collaborators. In addition, while we have established relationships with CROs and CMOs outside of China, moving to those suppliers in the event of a geopolitical instability affecting our collaborators in China could introduce delays into the research program.</w:t>
      </w:r>
    </w:p>
    <w:p>
      <w:pPr>
        <w:spacing w:after="0" w:line="29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the use of third-party CMOs to manufacture our product candidates, and we expect to continue to rely on third-party CMOs to produce our products, if approved. Our business could be adversely affected if we are unable to use third-party manufacturing suites or if the third-party manufacturers encounter difficulties in production.</w:t>
      </w:r>
    </w:p>
    <w:p>
      <w:pPr>
        <w:spacing w:after="0" w:line="67" w:lineRule="exact"/>
        <w:rPr>
          <w:sz w:val="20"/>
          <w:szCs w:val="20"/>
          <w:color w:val="auto"/>
        </w:rPr>
      </w:pPr>
    </w:p>
    <w:p>
      <w:pPr>
        <w:ind w:firstLine="511"/>
        <w:spacing w:after="0" w:line="252" w:lineRule="auto"/>
        <w:rPr>
          <w:sz w:val="20"/>
          <w:szCs w:val="20"/>
          <w:color w:val="auto"/>
        </w:rPr>
      </w:pPr>
      <w:r>
        <w:rPr>
          <w:rFonts w:ascii="Times New Roman" w:cs="Times New Roman" w:eastAsia="Times New Roman" w:hAnsi="Times New Roman"/>
          <w:sz w:val="18"/>
          <w:szCs w:val="18"/>
          <w:color w:val="auto"/>
        </w:rPr>
        <w:t>We do not currently own any facility that may be used as our clinical-scale manufacturing and processing facility and must rely on CMOs to manufacture our product candidates. We have not yet caused our product candidates to be manufactured on a commercial scale and may not be able to do so for any of our product candidates, if approved. We currently rely on a single source for our supply of our product candidates. If there should be any disruption in such supply arrangement, including any adverse events affecting our sole supplier, or if we experience delays or difficulties in transferring, or are unable to successfully transfer, our manufacturing processes, it could have a negative effect on the clinical development of our product candidates and other operations while we work to identify and qualify an alternate supply source. We have limited control over the manufacturing process of, and may be dependent on, our contract manufacturing partners for compliance with cGMP requirements and any other regulatory requirements of the FDA or comparable foreign regulatory authorities for the manufacture of our product candidates. Beyond periodic audits, we have limited control over the ability of our CMOs to maintain adequate quality control, quality assurance and qualified personnel. If the FDA or another applicable regulatory authority does not approve these facilities for the manufacture of our product candidates or withdraws any approval in the future, we may need to find alternative manufacturing facilities, which would require the incurrence of significant additional costs and delays and materially adversely affect our ability to develop, obtain regulatory approval for or market our product candidates, if approved. We, or our future contract manufacturers, any current or future collaborators and their contract manufacturers could be subject to periodic unannounced inspections by the FDA, competent authorities of the EU Member States or other comparable foreign regulatory authorities, to monitor and ensure compliance with cGMPs. Despite our efforts to audit and verify regulatory compliance, one or more of our third-party manufacturing vendors may be found on regulatory inspection by the FDA, competent authorities of EU Member States or other comparable foreign regulatory authorities to be noncompliant with cGMP regulations. Our failure, or the failure of our CMOs, to comply with applicable regulations could result in sanctions being imposed on us, including fines, injunctions, civil penalties, delays, suspension, variation or withdrawal of approvals, license revocation, seizures or recalls of product candidates or drugs, operating restrictions and criminal prosecutions, any of which could significantly and adversely affect supplies of our product candidates or products, if approved, and harm our business and results of operations.</w:t>
      </w:r>
    </w:p>
    <w:p>
      <w:pPr>
        <w:spacing w:after="0" w:line="150" w:lineRule="exact"/>
        <w:rPr>
          <w:sz w:val="20"/>
          <w:szCs w:val="20"/>
          <w:color w:val="auto"/>
        </w:rPr>
      </w:pPr>
    </w:p>
    <w:p>
      <w:pPr>
        <w:ind w:right="20" w:firstLine="511"/>
        <w:spacing w:after="0" w:line="253" w:lineRule="auto"/>
        <w:rPr>
          <w:sz w:val="20"/>
          <w:szCs w:val="20"/>
          <w:color w:val="auto"/>
        </w:rPr>
      </w:pPr>
      <w:r>
        <w:rPr>
          <w:rFonts w:ascii="Times New Roman" w:cs="Times New Roman" w:eastAsia="Times New Roman" w:hAnsi="Times New Roman"/>
          <w:sz w:val="18"/>
          <w:szCs w:val="18"/>
          <w:color w:val="auto"/>
        </w:rPr>
        <w:t>Moreover, our CMOs may experience manufacturing difficulties due to resource constraints, supply chain issues, intellectual property disputes or as a result of labor disputes or unstable political environments. If any CMOs on which we will rely fail to manufacture quantities of our product candidates at quality levels necessary to meet regulatory requirements and at a scale sufficient to meet anticipated demand at a commercially reasonable cost, our business, financial condition and prospects could be materially and adversely affected. In addition, our CMOs are responsible for transporting temperature-controlled materials that can be inadvertently degraded during transport due to several factors, rendering certain batches unsuitable for trial use for failure to meet, among others, our integrity and purity specifications. We and any of our CMOs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or comparable foreign regulatory authorities, result in higher costs or adversely impact commercialization of our product candidates.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83" w:right="318" w:bottom="1440" w:gutter="0" w:footer="0" w:header="0"/>
        </w:sectPr>
      </w:pPr>
    </w:p>
    <w:bookmarkStart w:id="53" w:name="page54"/>
    <w:bookmarkEnd w:id="53"/>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51" w:lineRule="exact"/>
        <w:rPr>
          <w:sz w:val="20"/>
          <w:szCs w:val="20"/>
          <w:color w:val="auto"/>
        </w:rPr>
      </w:pPr>
    </w:p>
    <w:p>
      <w:pPr>
        <w:ind w:firstLine="511"/>
        <w:spacing w:after="0" w:line="277" w:lineRule="auto"/>
        <w:rPr>
          <w:sz w:val="20"/>
          <w:szCs w:val="20"/>
          <w:color w:val="auto"/>
        </w:rPr>
      </w:pPr>
      <w:r>
        <w:rPr>
          <w:rFonts w:ascii="Times New Roman" w:cs="Times New Roman" w:eastAsia="Times New Roman" w:hAnsi="Times New Roman"/>
          <w:sz w:val="17"/>
          <w:szCs w:val="17"/>
          <w:color w:val="auto"/>
        </w:rPr>
        <w:t>We expect to experience significant growth in the number of our employees and the scope of our operations, particularly in the areas of preclinical and clinical drug development, technical operations, clinical operations and regulatory affairs. To manage our anticipated future growth, we must continue to implement and improve our managerial, operational and financial personnel and systems, expand our facilities and continue to recruit and train additional qualified personnel. Due to our limited financial resources and the limited experience of our management team working together in managing a company with such anticipated growth, we may not be able to effectively manage the expansion of our operations or recruit and train additional qualified personnel.</w:t>
      </w:r>
    </w:p>
    <w:p>
      <w:pPr>
        <w:spacing w:after="0" w:line="27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51" w:lineRule="exact"/>
        <w:rPr>
          <w:sz w:val="20"/>
          <w:szCs w:val="20"/>
          <w:color w:val="auto"/>
        </w:rPr>
      </w:pPr>
    </w:p>
    <w:p>
      <w:pPr>
        <w:ind w:right="60" w:firstLine="511"/>
        <w:spacing w:after="0" w:line="253"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managerial, scientific and medical personnel, including Jennifer Jarrett, our President and Chief Executive Officer, Becker Hewes, M.D., our Chief Medical Officer, and Sherwin Sattarzadeh, our Chief Operating Officer. Although we have entered into employment agreements with our executive officers, each of them may terminate their employment with us at any time. We do not maintain “key person” insurance for any of our executives or other employees.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personnel may be difficult and may take an extended period of time. If we do not succeed in attracting and retaining qualified personnel,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w:t>
      </w:r>
    </w:p>
    <w:p>
      <w:pPr>
        <w:spacing w:after="0" w:line="29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51" w:lineRule="exact"/>
        <w:rPr>
          <w:sz w:val="20"/>
          <w:szCs w:val="20"/>
          <w:color w:val="auto"/>
        </w:rPr>
      </w:pPr>
    </w:p>
    <w:p>
      <w:pPr>
        <w:ind w:firstLine="511"/>
        <w:spacing w:after="0" w:line="253"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our product candidates, if approved, in foreign markets for which we may rely on collaboration with third parties. Recent and ongoing changes in the United States trade policy with foreign countries, including the continued uncertainty surrounding U.S. tariffs and potential retaliatory measures by foreign governments, may disrupt the global supply chain for biopharmaceutical products. For example, in April 2026, the U.S. Administration imposed tariffs of up to 100% on imports of patented pharmaceuticals and associated pharmaceutical ingredients under Section 232 of the Trade Expansion Act of 1962, which took effect on July 31, 2026 for certain large pharmaceutical companies and on September 29, 2026 for all other importers, as described further under “Our business could be adversely affected by economic downturns, inflation, fluctuating interest rates, natural disasters, public health crises, political crises, geopolitical events, or other macroeconomic conditions” below. Although the U.S. Department of Commerce has established a zero tariff rate for covered products imported solely for use in clinical trials, research and development or other non-commercial purposes, the scope and duration of this exemption could change, and these or future tariffs could increase the costs of materials for our clinical trials and, if any of our product candidates is approved, the cost of our commercial supply. Any direct tariffs, if imposed on pharmaceutical products, may result in increased costs for raw materials and contract manufacturing services, reduced ability to source critical CMOs, and a delay in our development timelines.</w:t>
      </w:r>
    </w:p>
    <w:p>
      <w:pPr>
        <w:spacing w:after="0" w:line="190" w:lineRule="exact"/>
        <w:rPr>
          <w:sz w:val="20"/>
          <w:szCs w:val="20"/>
          <w:color w:val="auto"/>
        </w:rPr>
      </w:pPr>
    </w:p>
    <w:p>
      <w:pPr>
        <w:ind w:right="40" w:firstLine="511"/>
        <w:spacing w:after="0" w:line="254" w:lineRule="auto"/>
        <w:rPr>
          <w:sz w:val="20"/>
          <w:szCs w:val="20"/>
          <w:color w:val="auto"/>
        </w:rPr>
      </w:pPr>
      <w:r>
        <w:rPr>
          <w:rFonts w:ascii="Times New Roman" w:cs="Times New Roman" w:eastAsia="Times New Roman" w:hAnsi="Times New Roman"/>
          <w:sz w:val="18"/>
          <w:szCs w:val="18"/>
          <w:color w:val="auto"/>
        </w:rPr>
        <w:t>We are not permitted to market or promote any of our product candidates before we receive regulatory approval from the applicable foreign regulatory authority,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if approved, and we cannot predict success in these jurisdictions. If we fail to comply with the regulatory requirements in international markets and receive applicable regulatory approvals, our target market will be reduced and our ability to realize the full market potential of our product candidates will be harmed and our business will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440" w:right="338" w:bottom="1440" w:gutter="0" w:footer="0" w:header="0"/>
        </w:sectPr>
      </w:pPr>
    </w:p>
    <w:bookmarkStart w:id="54" w:name="page55"/>
    <w:bookmarkEnd w:id="54"/>
    <w:p>
      <w:pPr>
        <w:spacing w:after="0" w:line="6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51" w:lineRule="exact"/>
        <w:rPr>
          <w:sz w:val="20"/>
          <w:szCs w:val="20"/>
          <w:color w:val="auto"/>
        </w:rPr>
      </w:pPr>
    </w:p>
    <w:p>
      <w:pPr>
        <w:ind w:right="80" w:firstLine="511"/>
        <w:spacing w:after="0" w:line="261"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180" w:lineRule="exact"/>
        <w:rPr>
          <w:sz w:val="20"/>
          <w:szCs w:val="20"/>
          <w:color w:val="auto"/>
        </w:rPr>
      </w:pPr>
    </w:p>
    <w:p>
      <w:pPr>
        <w:ind w:right="40" w:firstLine="511"/>
        <w:spacing w:after="0" w:line="281" w:lineRule="auto"/>
        <w:rPr>
          <w:sz w:val="20"/>
          <w:szCs w:val="20"/>
          <w:color w:val="auto"/>
        </w:rPr>
      </w:pPr>
      <w:r>
        <w:rPr>
          <w:rFonts w:ascii="Times New Roman" w:cs="Times New Roman" w:eastAsia="Times New Roman" w:hAnsi="Times New Roman"/>
          <w:sz w:val="17"/>
          <w:szCs w:val="17"/>
          <w:color w:val="auto"/>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26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CMOs, suppliers and vendors may engage in misconduct or other improper activities, including noncompliance with regulatory standards and requirements.</w:t>
      </w:r>
    </w:p>
    <w:p>
      <w:pPr>
        <w:spacing w:after="0" w:line="51" w:lineRule="exact"/>
        <w:rPr>
          <w:sz w:val="20"/>
          <w:szCs w:val="20"/>
          <w:color w:val="auto"/>
        </w:rPr>
      </w:pPr>
    </w:p>
    <w:p>
      <w:pPr>
        <w:ind w:right="20" w:firstLine="511"/>
        <w:spacing w:after="0" w:line="253"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principal investigators, CROs, CMOs, suppliers and vendors acting for or on our behalf may engage in misconduct or other improper activities. Misconduct by these parties could include intentional, reckless or negligent conduct or disclosure of unauthorized activities to us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spacing w:after="0" w:line="29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any of our CROs, manufacturers, other contractors or consultants, third-party service providers, or existing or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2" w:lineRule="exact"/>
        <w:rPr>
          <w:sz w:val="20"/>
          <w:szCs w:val="20"/>
          <w:color w:val="auto"/>
        </w:rPr>
      </w:pPr>
    </w:p>
    <w:p>
      <w:pPr>
        <w:jc w:val="both"/>
        <w:ind w:right="200" w:firstLine="511"/>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intellectual property, trade secrets, and other sensitive data (collectively, “Sensitive Information”).</w:t>
      </w:r>
    </w:p>
    <w:p>
      <w:pPr>
        <w:spacing w:after="0" w:line="176" w:lineRule="exact"/>
        <w:rPr>
          <w:sz w:val="20"/>
          <w:szCs w:val="20"/>
          <w:color w:val="auto"/>
        </w:rPr>
      </w:pPr>
    </w:p>
    <w:p>
      <w:pPr>
        <w:ind w:right="40" w:firstLine="511"/>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third-party service providers and supply chain companies,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which may compromise our system infrastructure or lead to the loss, destruction, alteration or dissemination of, or damage to, our data.</w:t>
      </w:r>
    </w:p>
    <w:p>
      <w:pPr>
        <w:spacing w:after="0" w:line="189" w:lineRule="exact"/>
        <w:rPr>
          <w:sz w:val="20"/>
          <w:szCs w:val="20"/>
          <w:color w:val="auto"/>
        </w:rPr>
      </w:pPr>
    </w:p>
    <w:p>
      <w:pPr>
        <w:ind w:firstLine="511"/>
        <w:spacing w:after="0" w:line="261"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In particular, severe ransomware attacks are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sectPr>
      </w:pPr>
    </w:p>
    <w:bookmarkStart w:id="55" w:name="page56"/>
    <w:bookmarkEnd w:id="55"/>
    <w:p>
      <w:pPr>
        <w:ind w:right="580"/>
        <w:spacing w:after="0" w:line="266" w:lineRule="auto"/>
        <w:rPr>
          <w:sz w:val="20"/>
          <w:szCs w:val="20"/>
          <w:color w:val="auto"/>
        </w:rPr>
      </w:pPr>
      <w:r>
        <w:rPr>
          <w:rFonts w:ascii="Times New Roman" w:cs="Times New Roman" w:eastAsia="Times New Roman" w:hAnsi="Times New Roman"/>
          <w:sz w:val="18"/>
          <w:szCs w:val="18"/>
          <w:color w:val="auto"/>
        </w:rPr>
        <w:t>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76" w:lineRule="exact"/>
        <w:rPr>
          <w:sz w:val="20"/>
          <w:szCs w:val="20"/>
          <w:color w:val="auto"/>
        </w:rPr>
      </w:pPr>
    </w:p>
    <w:p>
      <w:pPr>
        <w:ind w:firstLine="511"/>
        <w:spacing w:after="0" w:line="258" w:lineRule="auto"/>
        <w:rPr>
          <w:sz w:val="20"/>
          <w:szCs w:val="20"/>
          <w:color w:val="auto"/>
        </w:rPr>
      </w:pPr>
      <w:r>
        <w:rPr>
          <w:rFonts w:ascii="Times New Roman" w:cs="Times New Roman" w:eastAsia="Times New Roman" w:hAnsi="Times New Roman"/>
          <w:sz w:val="18"/>
          <w:szCs w:val="18"/>
          <w:color w:val="auto"/>
        </w:rPr>
        <w:t>To the extent that any disruption or security breach were to result in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Further, our insurance policies may not be adequate to compensate us for the potential losses arising from any such disruption in, or failure or security breach of, our systems or third-party systems where information important to our business operations or commercial development is stored.</w:t>
      </w:r>
    </w:p>
    <w:p>
      <w:pPr>
        <w:spacing w:after="0" w:line="183" w:lineRule="exact"/>
        <w:rPr>
          <w:sz w:val="20"/>
          <w:szCs w:val="20"/>
          <w:color w:val="auto"/>
        </w:rPr>
      </w:pPr>
    </w:p>
    <w:p>
      <w:pPr>
        <w:ind w:right="20" w:firstLine="511"/>
        <w:spacing w:after="0" w:line="261" w:lineRule="auto"/>
        <w:rPr>
          <w:sz w:val="20"/>
          <w:szCs w:val="20"/>
          <w:color w:val="auto"/>
        </w:rPr>
      </w:pPr>
      <w:r>
        <w:rPr>
          <w:rFonts w:ascii="Times New Roman" w:cs="Times New Roman" w:eastAsia="Times New Roman" w:hAnsi="Times New Roman"/>
          <w:sz w:val="18"/>
          <w:szCs w:val="18"/>
          <w:color w:val="auto"/>
        </w:rPr>
        <w:t>Our remote workforce may create additional risks for our information technology systems and data because our employees work remotely and utilize network connections, computers, and devices working at home, while in transit and in public locations. Additionally,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39" w:lineRule="exact"/>
        <w:rPr>
          <w:sz w:val="20"/>
          <w:szCs w:val="20"/>
          <w:color w:val="auto"/>
        </w:rPr>
      </w:pPr>
    </w:p>
    <w:p>
      <w:pPr>
        <w:ind w:right="140" w:firstLine="511"/>
        <w:spacing w:after="0" w:line="25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 or the failure to comply with such requirements could lead to adverse consequences.</w:t>
      </w:r>
    </w:p>
    <w:p>
      <w:pPr>
        <w:spacing w:after="0" w:line="187" w:lineRule="exact"/>
        <w:rPr>
          <w:sz w:val="20"/>
          <w:szCs w:val="20"/>
          <w:color w:val="auto"/>
        </w:rPr>
      </w:pPr>
    </w:p>
    <w:p>
      <w:pPr>
        <w:ind w:right="60" w:firstLine="511"/>
        <w:spacing w:after="0" w:line="255" w:lineRule="auto"/>
        <w:rPr>
          <w:sz w:val="20"/>
          <w:szCs w:val="20"/>
          <w:color w:val="auto"/>
        </w:rPr>
      </w:pPr>
      <w:r>
        <w:rPr>
          <w:rFonts w:ascii="Times New Roman" w:cs="Times New Roman" w:eastAsia="Times New Roman" w:hAnsi="Times New Roman"/>
          <w:sz w:val="18"/>
          <w:szCs w:val="18"/>
          <w:color w:val="auto"/>
        </w:rPr>
        <w:t>We rely on third-party service providers and technologies to operate critical business systems to Process Sensitive Information in a variety of contexts.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89" w:lineRule="exact"/>
        <w:rPr>
          <w:sz w:val="20"/>
          <w:szCs w:val="20"/>
          <w:color w:val="auto"/>
        </w:rPr>
      </w:pPr>
    </w:p>
    <w:p>
      <w:pPr>
        <w:ind w:right="20" w:firstLine="511"/>
        <w:spacing w:after="0" w:line="274" w:lineRule="auto"/>
        <w:rPr>
          <w:sz w:val="20"/>
          <w:szCs w:val="20"/>
          <w:color w:val="auto"/>
        </w:rPr>
      </w:pPr>
      <w:r>
        <w:rPr>
          <w:rFonts w:ascii="Times New Roman" w:cs="Times New Roman" w:eastAsia="Times New Roman" w:hAnsi="Times New Roman"/>
          <w:sz w:val="17"/>
          <w:szCs w:val="17"/>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stakeholders (including investors and potential customers) to stop supporting our platform, deter new customers from purchasing our products, and negatively impact our ability to grow and operate our business.</w:t>
      </w:r>
    </w:p>
    <w:p>
      <w:pPr>
        <w:spacing w:after="0" w:line="173" w:lineRule="exact"/>
        <w:rPr>
          <w:sz w:val="20"/>
          <w:szCs w:val="20"/>
          <w:color w:val="auto"/>
        </w:rPr>
      </w:pPr>
    </w:p>
    <w:p>
      <w:pPr>
        <w:ind w:right="140" w:firstLine="511"/>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84"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67" w:lineRule="exact"/>
        <w:rPr>
          <w:sz w:val="20"/>
          <w:szCs w:val="20"/>
          <w:color w:val="auto"/>
        </w:rPr>
      </w:pPr>
    </w:p>
    <w:p>
      <w:pPr>
        <w:ind w:right="340" w:firstLine="511"/>
        <w:spacing w:after="0" w:line="261" w:lineRule="auto"/>
        <w:rPr>
          <w:sz w:val="20"/>
          <w:szCs w:val="20"/>
          <w:color w:val="auto"/>
        </w:rPr>
      </w:pPr>
      <w:r>
        <w:rPr>
          <w:rFonts w:ascii="Times New Roman" w:cs="Times New Roman" w:eastAsia="Times New Roman" w:hAnsi="Times New Roman"/>
          <w:sz w:val="18"/>
          <w:szCs w:val="18"/>
          <w:color w:val="auto"/>
        </w:rPr>
        <w:t>We, and third parties we work with, are or may become subject to numerous domestic and foreign laws, regulations, and standards relating to privacy, data protection, and data security, the scope of which is changing, subject to differing applications and interpretations, and may be inconsistent among countries, or conflict with other rules. In addition, we are and may become subject to the terms of contractual obligations related to privacy, data protection, and data security. Our obligations may also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399" w:right="318" w:bottom="1440" w:gutter="0" w:footer="0" w:header="0"/>
        </w:sectPr>
      </w:pPr>
    </w:p>
    <w:bookmarkStart w:id="56" w:name="page57"/>
    <w:bookmarkEnd w:id="56"/>
    <w:p>
      <w:pPr>
        <w:ind w:right="60"/>
        <w:spacing w:after="0" w:line="261" w:lineRule="auto"/>
        <w:rPr>
          <w:sz w:val="20"/>
          <w:szCs w:val="20"/>
          <w:color w:val="auto"/>
        </w:rPr>
      </w:pPr>
      <w:r>
        <w:rPr>
          <w:rFonts w:ascii="Times New Roman" w:cs="Times New Roman" w:eastAsia="Times New Roman" w:hAnsi="Times New Roman"/>
          <w:sz w:val="18"/>
          <w:szCs w:val="18"/>
          <w:color w:val="auto"/>
        </w:rPr>
        <w:t>change or expand as our business grows. The actual or perceived failure by us or third parties related to us to comply with such laws, regulations and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spacing w:after="0" w:line="21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firstLine="511"/>
        <w:spacing w:after="0" w:line="258"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121" w:lineRule="exact"/>
        <w:rPr>
          <w:sz w:val="20"/>
          <w:szCs w:val="20"/>
          <w:color w:val="auto"/>
        </w:rPr>
      </w:pPr>
    </w:p>
    <w:p>
      <w:pPr>
        <w:ind w:right="60" w:firstLine="511"/>
        <w:spacing w:after="0" w:line="256" w:lineRule="auto"/>
        <w:rPr>
          <w:sz w:val="20"/>
          <w:szCs w:val="20"/>
          <w:color w:val="auto"/>
        </w:rPr>
      </w:pPr>
      <w:r>
        <w:rPr>
          <w:rFonts w:ascii="Times New Roman" w:cs="Times New Roman" w:eastAsia="Times New Roman" w:hAnsi="Times New Roman"/>
          <w:sz w:val="18"/>
          <w:szCs w:val="18"/>
          <w:color w:val="auto"/>
        </w:rPr>
        <w:t>The rules governing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our shareholders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w:t>
      </w:r>
    </w:p>
    <w:p>
      <w:pPr>
        <w:spacing w:after="0" w:line="187" w:lineRule="exact"/>
        <w:rPr>
          <w:sz w:val="20"/>
          <w:szCs w:val="20"/>
          <w:color w:val="auto"/>
        </w:rPr>
      </w:pPr>
    </w:p>
    <w:p>
      <w:pPr>
        <w:ind w:right="100" w:firstLine="511"/>
        <w:spacing w:after="0" w:line="254" w:lineRule="auto"/>
        <w:rPr>
          <w:sz w:val="20"/>
          <w:szCs w:val="20"/>
          <w:color w:val="auto"/>
        </w:rPr>
      </w:pPr>
      <w:r>
        <w:rPr>
          <w:rFonts w:ascii="Times New Roman" w:cs="Times New Roman" w:eastAsia="Times New Roman" w:hAnsi="Times New Roman"/>
          <w:sz w:val="18"/>
          <w:szCs w:val="18"/>
          <w:color w:val="auto"/>
        </w:rPr>
        <w:t>For example, the United States enacted the Inflation Reduction Act of 2022, which implements, among other changes, a 1% excise tax on certain stock buybacks. In addition, beginning in 2022, the Tax Cuts and Jobs Act eliminated the previously available option to deduct research and development expenditures and requires taxpayers to amortize them generally over five years for research activities conducted in the United States and over fifteen years for research activities conducted outside the United States. On July 4, 2025, the U.S. Congress enacted the One Big Beautiful Bill Act, which includes a provision restoring the immediate deductibility of domestic research and development expenditures. The impact of this newly enacted law on our tax position will depend on how the provision is implemented and interpreted by the IRS and other regulatory authorities. In addition, we have no assurance as to whether, when and how this provision may be subject to further amendment or repeal. Such changes, among others, may adversely affect our effective tax rate,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Although we are incorporated in the Cayman Islands, we expect to continue to be treated as a U.S. corporation for U.S. federal income tax purposes.</w:t>
      </w:r>
    </w:p>
    <w:p>
      <w:pPr>
        <w:spacing w:after="0" w:line="121" w:lineRule="exact"/>
        <w:rPr>
          <w:sz w:val="20"/>
          <w:szCs w:val="20"/>
          <w:color w:val="auto"/>
        </w:rPr>
      </w:pPr>
    </w:p>
    <w:p>
      <w:pPr>
        <w:ind w:right="40" w:firstLine="511"/>
        <w:spacing w:after="0" w:line="258" w:lineRule="auto"/>
        <w:rPr>
          <w:sz w:val="20"/>
          <w:szCs w:val="20"/>
          <w:color w:val="auto"/>
        </w:rPr>
      </w:pPr>
      <w:r>
        <w:rPr>
          <w:rFonts w:ascii="Times New Roman" w:cs="Times New Roman" w:eastAsia="Times New Roman" w:hAnsi="Times New Roman"/>
          <w:sz w:val="18"/>
          <w:szCs w:val="18"/>
          <w:color w:val="auto"/>
        </w:rPr>
        <w:t>We expect to continue to be treated as a U.S. domestic corporation for U.S. federal income tax purposes notwithstanding the Redomestication. As a result, we will remain subject to U.S. federal income tax on our worldwide income, distributions to non-U.S. holders of our Ordinary Shares may be subject to U.S. withholding tax, and we will also incur costs of complying with Cayman Islands law. We could also be treated as a tax resident of more than one jurisdiction. Changes in U.S. or Cayman Islands tax law, or a different interpretation of applicable law by a taxing authority, could adversely affect us and our shareholders.</w:t>
      </w:r>
    </w:p>
    <w:p>
      <w:pPr>
        <w:spacing w:after="0" w:line="287"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product candidates or products, or form strategic alliances, in the future, and may not realize the benefits of such acquisitions.</w:t>
      </w:r>
    </w:p>
    <w:p>
      <w:pPr>
        <w:spacing w:after="0" w:line="51" w:lineRule="exact"/>
        <w:rPr>
          <w:sz w:val="20"/>
          <w:szCs w:val="20"/>
          <w:color w:val="auto"/>
        </w:rPr>
      </w:pPr>
    </w:p>
    <w:p>
      <w:pPr>
        <w:ind w:right="20" w:firstLine="511"/>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or products resulting from a strategic alliance or acquisition that delay or prevent us from realizing their expected benefits or enhancing our business. There is no assurance that, following any such acquisition, we will achieve the synergies expected in order to justify the transaction, which could result in a material adverse effect on our business and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91" w:right="318" w:bottom="1440" w:gutter="0" w:footer="0" w:header="0"/>
        </w:sectPr>
      </w:pPr>
    </w:p>
    <w:bookmarkStart w:id="57" w:name="page58"/>
    <w:bookmarkEnd w:id="57"/>
    <w:p>
      <w:pPr>
        <w:spacing w:after="0" w:line="63" w:lineRule="exact"/>
        <w:rPr>
          <w:sz w:val="20"/>
          <w:szCs w:val="20"/>
          <w:color w:val="auto"/>
        </w:rPr>
      </w:pPr>
    </w:p>
    <w:p>
      <w:pPr>
        <w:ind w:left="7"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federally-insured limits. The failure of financial institutions could adversely affect our ability to pay our operational expenses or make other payments.</w:t>
      </w:r>
    </w:p>
    <w:p>
      <w:pPr>
        <w:spacing w:after="0" w:line="51" w:lineRule="exact"/>
        <w:rPr>
          <w:sz w:val="20"/>
          <w:szCs w:val="20"/>
          <w:color w:val="auto"/>
        </w:rPr>
      </w:pPr>
    </w:p>
    <w:p>
      <w:pPr>
        <w:ind w:left="7" w:right="20" w:firstLine="511"/>
        <w:spacing w:after="0" w:line="255" w:lineRule="auto"/>
        <w:rPr>
          <w:sz w:val="20"/>
          <w:szCs w:val="20"/>
          <w:color w:val="auto"/>
        </w:rPr>
      </w:pPr>
      <w:r>
        <w:rPr>
          <w:rFonts w:ascii="Times New Roman" w:cs="Times New Roman" w:eastAsia="Times New Roman" w:hAnsi="Times New Roman"/>
          <w:sz w:val="18"/>
          <w:szCs w:val="18"/>
          <w:color w:val="auto"/>
        </w:rPr>
        <w:t>Our cash held in non-interest-bearing and interest-bearing accounts exceeds the Federal Deposit Insurance Corporation (“FDIC”) insurance limits. If such banking institutions were to fail, we could lose all or a portion of those amounts held in excess of such insurance limitations. For example, the FDIC took control of Silicon Valley Bank in March 2023. The Federal Reserve subsequently announced that account holders would be made whole. However,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and cash equivalents could have an adverse effect on our ability to pay our operational expenses or make other payments, which could adversely affect our business.</w:t>
      </w:r>
    </w:p>
    <w:p>
      <w:pPr>
        <w:spacing w:after="0" w:line="29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7"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portfolio is at an early stage. Therefore, our ability to obtain and protect our patent rights, and protect other proprietary rights, is uncertain, exposing us to the possible loss of competitive advantage.</w:t>
      </w:r>
    </w:p>
    <w:p>
      <w:pPr>
        <w:spacing w:after="0" w:line="51" w:lineRule="exact"/>
        <w:rPr>
          <w:sz w:val="20"/>
          <w:szCs w:val="20"/>
          <w:color w:val="auto"/>
        </w:rPr>
      </w:pPr>
    </w:p>
    <w:p>
      <w:pPr>
        <w:ind w:left="7" w:right="40" w:firstLine="511"/>
        <w:spacing w:after="0" w:line="268" w:lineRule="auto"/>
        <w:rPr>
          <w:sz w:val="20"/>
          <w:szCs w:val="20"/>
          <w:color w:val="auto"/>
        </w:rPr>
      </w:pPr>
      <w:r>
        <w:rPr>
          <w:rFonts w:ascii="Times New Roman" w:cs="Times New Roman" w:eastAsia="Times New Roman" w:hAnsi="Times New Roman"/>
          <w:sz w:val="17"/>
          <w:szCs w:val="17"/>
          <w:color w:val="auto"/>
        </w:rPr>
        <w:t>We will rely upon a combination of patents, trademarks, trade secret protection, copyrights and confidentiality agreements, licenses, including the Paragon License Agreement, and the Paragon Option Agreement to protect the intellectual property related to our programs and technologies and to prevent third parties from competing unfairly with us. Our success depends in large part on our ability to obtain and maintain patent protection for our product candidates and their uses, as well as our ability to operate without infringing on or violating the proprietary rights of others. We do not currently own or license any issued patents with respect to DMR-001, DMR-002 or DMR-003. Paragon has filed patent applications directed to anti-mutCALR monoclonal antibodies, including applications covering composition of matter, pharmaceutical formulations, and methods of using such antibodies, including DMR-</w:t>
      </w:r>
    </w:p>
    <w:p>
      <w:pPr>
        <w:spacing w:after="0" w:line="5" w:lineRule="exact"/>
        <w:rPr>
          <w:sz w:val="20"/>
          <w:szCs w:val="20"/>
          <w:color w:val="auto"/>
        </w:rPr>
      </w:pPr>
    </w:p>
    <w:p>
      <w:pPr>
        <w:ind w:left="7" w:right="80" w:hanging="7"/>
        <w:spacing w:after="0" w:line="255" w:lineRule="auto"/>
        <w:tabs>
          <w:tab w:leader="none" w:pos="36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licensed Paragon’s patent applications relating to DMR-001 and DMR-002 under the Paragon License Agreement, and we have the option to license those relating to DMR-003 pursuant to the Paragon Option Agreement. In the future, we expect to prosecute underlying intellectual property for DMR-001, DMR-002, DMR-003, and some or all of the in-licensed or owned product candidates that we develop.</w:t>
      </w:r>
    </w:p>
    <w:p>
      <w:pPr>
        <w:spacing w:after="0" w:line="186" w:lineRule="exact"/>
        <w:rPr>
          <w:sz w:val="20"/>
          <w:szCs w:val="20"/>
          <w:color w:val="auto"/>
        </w:rPr>
      </w:pPr>
    </w:p>
    <w:p>
      <w:pPr>
        <w:ind w:left="7" w:right="40" w:firstLine="511"/>
        <w:spacing w:after="0" w:line="255" w:lineRule="auto"/>
        <w:rPr>
          <w:sz w:val="20"/>
          <w:szCs w:val="20"/>
          <w:color w:val="auto"/>
        </w:rPr>
      </w:pPr>
      <w:r>
        <w:rPr>
          <w:rFonts w:ascii="Times New Roman" w:cs="Times New Roman" w:eastAsia="Times New Roman" w:hAnsi="Times New Roman"/>
          <w:sz w:val="18"/>
          <w:szCs w:val="18"/>
          <w:color w:val="auto"/>
        </w:rPr>
        <w:t>We may not be able to obtain or protect our intellectual property rights throughout the world and the legal systems in certain countries may not favor enforcement or protection of at least certain patents, trade secrets or other intellectual property. Filing, prosecuting, maintaining and defending patents on product candidates and other related inventions worldwide would be expensive and our intellectual property rights in some foreign jurisdictions can be less extensive than those in the United States; the reverse may also occur. As such, we may not have patents in all countries or all major markets and may not be able to obtain patents in all jurisdictions even if we or our licensor files patent applications to obtain such rights. Our competitors may operate in countries where we do not have patent protection and may be able to freely use our technologies and discoveries in such countries, at least to the extent not forbidden by law.</w:t>
      </w:r>
    </w:p>
    <w:p>
      <w:pPr>
        <w:spacing w:after="0" w:line="189" w:lineRule="exact"/>
        <w:rPr>
          <w:sz w:val="20"/>
          <w:szCs w:val="20"/>
          <w:color w:val="auto"/>
        </w:rPr>
      </w:pPr>
    </w:p>
    <w:p>
      <w:pPr>
        <w:ind w:left="7" w:firstLine="511"/>
        <w:spacing w:after="0" w:line="253" w:lineRule="auto"/>
        <w:rPr>
          <w:sz w:val="20"/>
          <w:szCs w:val="20"/>
          <w:color w:val="auto"/>
        </w:rPr>
      </w:pPr>
      <w:r>
        <w:rPr>
          <w:rFonts w:ascii="Times New Roman" w:cs="Times New Roman" w:eastAsia="Times New Roman" w:hAnsi="Times New Roman"/>
          <w:sz w:val="18"/>
          <w:szCs w:val="18"/>
          <w:color w:val="auto"/>
        </w:rPr>
        <w:t>Our intellectual property portfolio is at an early stage. Except as described above, we do not currently own or license any issued patents or pending patent applications. Our future optioned, in-licensed or owned patent applications may not result in patents being issued. Any issued patents may not afford sufficient protection of our product candidates or their intended uses against competitors, nor can there be any assurance that the patents issued will not be infringed, designed around, or invalidated by third parties, or effectively prevent others from commercializing competitive technologies, products or product candidates. Even if these patents are granted, they may be difficult to enforce. Further, any issued patents that we may license or own covering our product candidates could be narrowed or found invalid or unenforceable if challenged in court or before administrative bodies in the United States or abroad, including the United States Patent and Trademark Office (“USPTO”). If we do not obtain patent coverage for the work we are conducting, or if we obtain such rights but they are invalidated or rendered unenforceable, we may be unable to exclude competitors from pursuing and marketing the same or similar product candidates. Other risks we face if we are not able to obtain and maintain patent coverage for our product candidates are the reduction in valuation of our product candidates, and ultimately of us as a company, by potential investors, and our inability to assert claims for infringement against third parties or counterclaim against such third parties or negotiate more advantageous settlement parameters. Further, if we encounter delays in our clinical trials or delays in obtaining regulatory approval, the period of time during which we could market our product candidates under patent protection would be reduced. Thus, the patents that we may own or license may not afford us any meaningful exclusivity period or competitive advantage.</w:t>
      </w:r>
    </w:p>
    <w:p>
      <w:pPr>
        <w:spacing w:after="0" w:line="187" w:lineRule="exact"/>
        <w:rPr>
          <w:sz w:val="20"/>
          <w:szCs w:val="20"/>
          <w:color w:val="auto"/>
        </w:rPr>
      </w:pPr>
    </w:p>
    <w:p>
      <w:pPr>
        <w:ind w:left="7" w:right="340" w:firstLine="511"/>
        <w:spacing w:after="0" w:line="261"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may also rely on trade secrets, including unpatented know-how, technology and other proprietary information,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w:t>
      </w:r>
    </w:p>
    <w:p>
      <w:pPr>
        <w:spacing w:after="0" w:line="18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440" w:right="318" w:bottom="1440" w:gutter="0" w:footer="0" w:header="0"/>
        </w:sectPr>
      </w:pPr>
    </w:p>
    <w:bookmarkStart w:id="58" w:name="page59"/>
    <w:bookmarkEnd w:id="58"/>
    <w:p>
      <w:pPr>
        <w:ind w:right="20"/>
        <w:spacing w:after="0" w:line="253" w:lineRule="auto"/>
        <w:rPr>
          <w:sz w:val="20"/>
          <w:szCs w:val="20"/>
          <w:color w:val="auto"/>
        </w:rPr>
      </w:pPr>
      <w:r>
        <w:rPr>
          <w:rFonts w:ascii="Times New Roman" w:cs="Times New Roman" w:eastAsia="Times New Roman" w:hAnsi="Times New Roman"/>
          <w:sz w:val="18"/>
          <w:szCs w:val="18"/>
          <w:color w:val="auto"/>
        </w:rPr>
        <w:t>misappropriation by third parties (such as through a cybersecurity breach) of our trade secrets or proprietary information could enable competitors to duplicate or surpass our technological achievements, thus eroding our competitive position in our market. In order to protect our proprietary technology and processes, we rely in part on confidentiality agreements with our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We may need to share our proprietary information, including trade secrets, with future business partners, collaborators, contractors and others located in countries at heightened risk of theft of trade secrets, including through direct intrusion by private parties or state actors and those affiliated with or controlled by state actors. In addition, while we undertake reasonable efforts to protect our trade secrets and other confidential information from disclosure, others may independently discover trade secrets and proprietary information, and in such cases, we may not be able to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w:t>
      </w:r>
    </w:p>
    <w:p>
      <w:pPr>
        <w:spacing w:after="0" w:line="192" w:lineRule="exact"/>
        <w:rPr>
          <w:sz w:val="20"/>
          <w:szCs w:val="20"/>
          <w:color w:val="auto"/>
        </w:rPr>
      </w:pPr>
    </w:p>
    <w:p>
      <w:pPr>
        <w:ind w:right="520" w:firstLine="511"/>
        <w:spacing w:after="0" w:line="282" w:lineRule="auto"/>
        <w:rPr>
          <w:sz w:val="20"/>
          <w:szCs w:val="20"/>
          <w:color w:val="auto"/>
        </w:rPr>
      </w:pPr>
      <w:r>
        <w:rPr>
          <w:rFonts w:ascii="Times New Roman" w:cs="Times New Roman" w:eastAsia="Times New Roman" w:hAnsi="Times New Roman"/>
          <w:sz w:val="18"/>
          <w:szCs w:val="18"/>
          <w:color w:val="auto"/>
        </w:rPr>
        <w:t>Lastly, if our trademarks and trade names are not registered or adequately protected, then we may not be able to build name recognition in our markets of interest and our business may be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necessary rights to our programs through acquisitions and in-licenses, our business may be materially harmed.</w:t>
      </w:r>
    </w:p>
    <w:p>
      <w:pPr>
        <w:spacing w:after="0" w:line="121" w:lineRule="exact"/>
        <w:rPr>
          <w:sz w:val="20"/>
          <w:szCs w:val="20"/>
          <w:color w:val="auto"/>
        </w:rPr>
      </w:pPr>
    </w:p>
    <w:p>
      <w:pPr>
        <w:ind w:right="40" w:firstLine="511"/>
        <w:spacing w:after="0" w:line="253" w:lineRule="auto"/>
        <w:rPr>
          <w:sz w:val="20"/>
          <w:szCs w:val="20"/>
          <w:color w:val="auto"/>
        </w:rPr>
      </w:pPr>
      <w:r>
        <w:rPr>
          <w:rFonts w:ascii="Times New Roman" w:cs="Times New Roman" w:eastAsia="Times New Roman" w:hAnsi="Times New Roman"/>
          <w:sz w:val="18"/>
          <w:szCs w:val="18"/>
          <w:color w:val="auto"/>
        </w:rPr>
        <w:t>Because our research programs currently do and may in the future require the use of proprietary rights held by third parties, the growth of our business will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programs.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intellectual property rights we obtain in the future, we may have to abandon development of the relevant program, which could have a material adverse effect on our business, financial condition, results of operations, and prospects.</w:t>
      </w:r>
    </w:p>
    <w:p>
      <w:pPr>
        <w:spacing w:after="0" w:line="194" w:lineRule="exact"/>
        <w:rPr>
          <w:sz w:val="20"/>
          <w:szCs w:val="20"/>
          <w:color w:val="auto"/>
        </w:rPr>
      </w:pPr>
    </w:p>
    <w:p>
      <w:pPr>
        <w:ind w:firstLine="511"/>
        <w:spacing w:after="0" w:line="252" w:lineRule="auto"/>
        <w:rPr>
          <w:sz w:val="20"/>
          <w:szCs w:val="20"/>
          <w:color w:val="auto"/>
        </w:rPr>
      </w:pPr>
      <w:r>
        <w:rPr>
          <w:rFonts w:ascii="Times New Roman" w:cs="Times New Roman" w:eastAsia="Times New Roman" w:hAnsi="Times New Roman"/>
          <w:sz w:val="18"/>
          <w:szCs w:val="18"/>
          <w:color w:val="auto"/>
        </w:rPr>
        <w:t>While we have the right to control prosecution, defense, maintenance and enforcement of patents in-licensed under the Paragon License Agreement, there may be times when rights for patents and patent applications relating to our product candidates are controlled by our future licensors or collaboration partners. For example, Paragon controls the prosecution, maintenance and enforcement of the patents it owns or controls other than the licensed antibody patents, including the patents that are non-exclusively licensed to us under the Paragon License Agreement, and Paragon currently has the right to file patent applications and control prosecution with respect to inventions arising under the Paragon Option Agreement that are not licensed to us, including those that may apply to DMR-003. If we, Paragon or any of our future licensors or collaboration partners fail to prosecute, defend, maintain and enforce such patents and patent applications in a manner consistent with our best interests,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if we have the right to control prosecution of patents and patent applications we have licensed to and from third parties, including under the Paragon License Agreement and any future license agreements with Paragon, we may still be adversely affected or prejudiced by actions or inactions of Paragon, additional licensees, or licensors and their counsel prior to the date upon which we assume control over patent prosecution. For example, Paragon was responsible for the prosecution of the patent applications related to DMR-001 and DMR-002 prior to the effective date of the Paragon License Agreement and remains responsible for the prosecution, defense, maintenance and enforcement of patents related to DMR-003. Under the Paragon License Agreement, we have the first right to control the prosecution, maintenance, enforcement and defense of the licensed antibody patents relating to DMR-001 and DMR-002, subject to Paragon’s backup rights, and we would expect to obtain similar rights with respect to DMR-003 only if we exercise our option and enter into a license agreement for that program.</w:t>
      </w:r>
    </w:p>
    <w:p>
      <w:pPr>
        <w:spacing w:after="0" w:line="193" w:lineRule="exact"/>
        <w:rPr>
          <w:sz w:val="20"/>
          <w:szCs w:val="20"/>
          <w:color w:val="auto"/>
        </w:rPr>
      </w:pPr>
    </w:p>
    <w:p>
      <w:pPr>
        <w:ind w:right="200" w:firstLine="511"/>
        <w:spacing w:after="0" w:line="266" w:lineRule="auto"/>
        <w:rPr>
          <w:sz w:val="20"/>
          <w:szCs w:val="20"/>
          <w:color w:val="auto"/>
        </w:rPr>
      </w:pPr>
      <w:r>
        <w:rPr>
          <w:rFonts w:ascii="Times New Roman" w:cs="Times New Roman" w:eastAsia="Times New Roman" w:hAnsi="Times New Roman"/>
          <w:sz w:val="18"/>
          <w:szCs w:val="18"/>
          <w:color w:val="auto"/>
        </w:rPr>
        <w:t>Our future licensors may not be the sole and exclusive owners of all rights in the patents we may in-license. If other third parties have rights to our future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399" w:right="318" w:bottom="1440" w:gutter="0" w:footer="0" w:header="0"/>
        </w:sectPr>
      </w:pPr>
    </w:p>
    <w:bookmarkStart w:id="59" w:name="page60"/>
    <w:bookmarkEnd w:id="59"/>
    <w:p>
      <w:pPr>
        <w:ind w:firstLine="511"/>
        <w:spacing w:after="0" w:line="254" w:lineRule="auto"/>
        <w:rPr>
          <w:sz w:val="20"/>
          <w:szCs w:val="20"/>
          <w:color w:val="auto"/>
        </w:rPr>
      </w:pPr>
      <w:r>
        <w:rPr>
          <w:rFonts w:ascii="Times New Roman" w:cs="Times New Roman" w:eastAsia="Times New Roman" w:hAnsi="Times New Roman"/>
          <w:sz w:val="18"/>
          <w:szCs w:val="18"/>
          <w:color w:val="auto"/>
        </w:rPr>
        <w:t>It is possible that we may be unable to obtain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product candidates, manufacturing methods or future products or methods resulting in either an injunction prohibiting our manufacture or future sales, or, with respect to our future sales, an obligation on our part to pay royalties and/or other forms of compensation to third parties, which could be significant.</w:t>
      </w:r>
    </w:p>
    <w:p>
      <w:pPr>
        <w:spacing w:after="0" w:line="192" w:lineRule="exact"/>
        <w:rPr>
          <w:sz w:val="20"/>
          <w:szCs w:val="20"/>
          <w:color w:val="auto"/>
        </w:rPr>
      </w:pPr>
    </w:p>
    <w:p>
      <w:pPr>
        <w:ind w:right="120" w:firstLine="511"/>
        <w:spacing w:after="0" w:line="255" w:lineRule="auto"/>
        <w:rPr>
          <w:sz w:val="20"/>
          <w:szCs w:val="20"/>
          <w:color w:val="auto"/>
        </w:rPr>
      </w:pPr>
      <w:r>
        <w:rPr>
          <w:rFonts w:ascii="Times New Roman" w:cs="Times New Roman" w:eastAsia="Times New Roman" w:hAnsi="Times New Roman"/>
          <w:sz w:val="18"/>
          <w:szCs w:val="18"/>
          <w:color w:val="auto"/>
        </w:rPr>
        <w:t>Disputes may arise between us and our future licensors regarding intellectual property subject to a license agreement, including (but not limited to): the scope of rights granted under the license agreement and other interpretation-related issues; whether and the extent to which our technology and processes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future licensors and us and our partners; and the priority of invention of patented technology. If we or our future licensors breach the terms of our license agreements, such breach may have a material adverse effect on our business and the commercialization efforts for our programs.</w:t>
      </w:r>
    </w:p>
    <w:p>
      <w:pPr>
        <w:spacing w:after="0" w:line="29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lawsuits or may need to file lawsuits to protect our intellectual property, which could result in substantial costs and liability and prevent us from commercializing our potential products.</w:t>
      </w:r>
    </w:p>
    <w:p>
      <w:pPr>
        <w:spacing w:after="0" w:line="51" w:lineRule="exact"/>
        <w:rPr>
          <w:sz w:val="20"/>
          <w:szCs w:val="20"/>
          <w:color w:val="auto"/>
        </w:rPr>
      </w:pPr>
    </w:p>
    <w:p>
      <w:pPr>
        <w:ind w:right="40" w:firstLine="511"/>
        <w:spacing w:after="0" w:line="253" w:lineRule="auto"/>
        <w:rPr>
          <w:sz w:val="20"/>
          <w:szCs w:val="20"/>
          <w:color w:val="auto"/>
        </w:rPr>
      </w:pPr>
      <w:r>
        <w:rPr>
          <w:rFonts w:ascii="Times New Roman" w:cs="Times New Roman" w:eastAsia="Times New Roman" w:hAnsi="Times New Roman"/>
          <w:sz w:val="18"/>
          <w:szCs w:val="18"/>
          <w:color w:val="auto"/>
        </w:rPr>
        <w:t>Because the intellectual property landscape in the biotechnology industry is rapidly evolving and interdisciplinary, it is difficult to conclusively assess our freedom to operate and guarantee that we can operate without infringing on or violating third-party rights. If certain of our product candidates are ultimately granted regulatory approval, patent rights held by third parties could be alleged to render one or more of our product candidates infringing. If a third party successfully brings a claim against us, and our rights are not held invalid or unenforceable, we may be required to pay substantial damages, be forced to abandon any affected product candidate and/or seek a license from the patent holder. In addition, any intellectual property claims (e.g., patent infringement or trade secret misappropriation) brought against us, whether or not successful, may cause us to incur significant legal expenses and divert the attention of our management and key personnel from other business concerns. We cannot be certain that future patents, if filed and issued, owned or licensed by us will not be challenged by others, whether in the course of litigation or in agencies like the USPTO. Some of our competitors may be able to sustain the costs of complex intellectual property litigation more effectively than we can because they have substantially greater resources. In addition, any uncertainties resulting from the initiation and continuation of any litigation could have a material adverse effect on our ability to raise funds.</w:t>
      </w:r>
    </w:p>
    <w:p>
      <w:pPr>
        <w:spacing w:after="0" w:line="194"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8"/>
          <w:szCs w:val="18"/>
          <w:color w:val="auto"/>
        </w:rPr>
        <w:t>Competitors may infringe or otherwise violate our future patents, trademarks, copyrights or other intellectual property. To counter infringement or other violations, we may be required to file claims, which can be expensive and time-consuming. Any such claims could provoke these parties to assert counterclaims against us, including claims alleging that we infringe their patents or other intellectual property rights.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or administrative body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spacing w:after="0" w:line="188" w:lineRule="exact"/>
        <w:rPr>
          <w:sz w:val="20"/>
          <w:szCs w:val="20"/>
          <w:color w:val="auto"/>
        </w:rPr>
      </w:pPr>
    </w:p>
    <w:p>
      <w:pPr>
        <w:ind w:right="20" w:firstLine="511"/>
        <w:spacing w:after="0" w:line="258" w:lineRule="auto"/>
        <w:rPr>
          <w:sz w:val="20"/>
          <w:szCs w:val="20"/>
          <w:color w:val="auto"/>
        </w:rPr>
      </w:pPr>
      <w:r>
        <w:rPr>
          <w:rFonts w:ascii="Times New Roman" w:cs="Times New Roman" w:eastAsia="Times New Roman" w:hAnsi="Times New Roman"/>
          <w:sz w:val="18"/>
          <w:szCs w:val="18"/>
          <w:color w:val="auto"/>
        </w:rPr>
        <w:t>Further, we may be required to protect our future patents, if filed and issued, through procedures created to attack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83" w:lineRule="exact"/>
        <w:rPr>
          <w:sz w:val="20"/>
          <w:szCs w:val="20"/>
          <w:color w:val="auto"/>
        </w:rPr>
      </w:pPr>
    </w:p>
    <w:p>
      <w:pPr>
        <w:ind w:right="80" w:firstLine="511"/>
        <w:spacing w:after="0" w:line="266" w:lineRule="auto"/>
        <w:rPr>
          <w:sz w:val="20"/>
          <w:szCs w:val="20"/>
          <w:color w:val="auto"/>
        </w:rPr>
      </w:pPr>
      <w:r>
        <w:rPr>
          <w:rFonts w:ascii="Times New Roman" w:cs="Times New Roman" w:eastAsia="Times New Roman" w:hAnsi="Times New Roman"/>
          <w:sz w:val="18"/>
          <w:szCs w:val="18"/>
          <w:color w:val="auto"/>
        </w:rPr>
        <w:t>In addition, if our product candidates are found to infringe the intellectual property rights of third parties, these third parties may assert infringement claims against our future licensees or customers and other parties with whom we have business relationships and we may be required to indemnify those parties for any damages they suffer as a result of these claims, which may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399" w:right="318" w:bottom="1440" w:gutter="0" w:footer="0" w:header="0"/>
        </w:sectPr>
      </w:pPr>
    </w:p>
    <w:bookmarkStart w:id="60" w:name="page61"/>
    <w:bookmarkEnd w:id="60"/>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require us to initiate or defend protracted and costly litigation on behalf of licensees or other parties regardless of the merits of such claims. If any of these claims succeed, we may be forced to pay damages on behalf of those parties or may be required to obtain licenses for the products they use.</w:t>
      </w:r>
    </w:p>
    <w:p>
      <w:pPr>
        <w:spacing w:after="0" w:line="162" w:lineRule="exact"/>
        <w:rPr>
          <w:sz w:val="20"/>
          <w:szCs w:val="20"/>
          <w:color w:val="auto"/>
        </w:rPr>
      </w:pPr>
    </w:p>
    <w:p>
      <w:pPr>
        <w:jc w:val="both"/>
        <w:ind w:right="100" w:firstLine="511"/>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280" w:lineRule="exact"/>
        <w:rPr>
          <w:sz w:val="20"/>
          <w:szCs w:val="20"/>
          <w:color w:val="auto"/>
        </w:rPr>
      </w:pPr>
    </w:p>
    <w:p>
      <w:pPr>
        <w:jc w:val="both"/>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will depend in part on our and our current and future licensors’ ability to obtain, maintain and enforce patent protection for our licensed intellectual property.</w:t>
      </w:r>
    </w:p>
    <w:p>
      <w:pPr>
        <w:spacing w:after="0" w:line="51" w:lineRule="exact"/>
        <w:rPr>
          <w:sz w:val="20"/>
          <w:szCs w:val="20"/>
          <w:color w:val="auto"/>
        </w:rPr>
      </w:pPr>
    </w:p>
    <w:p>
      <w:pPr>
        <w:ind w:right="20" w:firstLine="511"/>
        <w:spacing w:after="0" w:line="254" w:lineRule="auto"/>
        <w:rPr>
          <w:sz w:val="20"/>
          <w:szCs w:val="20"/>
          <w:color w:val="auto"/>
        </w:rPr>
      </w:pPr>
      <w:r>
        <w:rPr>
          <w:rFonts w:ascii="Times New Roman" w:cs="Times New Roman" w:eastAsia="Times New Roman" w:hAnsi="Times New Roman"/>
          <w:sz w:val="18"/>
          <w:szCs w:val="18"/>
          <w:color w:val="auto"/>
        </w:rPr>
        <w:t>Our success will depend in part on our and our current and future licensors’ (including Paragon’s) ability to obtain, maintain and enforce patent protection for our licensed intellectual property. Under the Paragon License Agreement, we have the first right to control the prosecution, maintenance, enforcement and defense of the licensed antibody patents relating to DMR-001 and DMR-002, subject to Paragon’s backup rights, and we would expect to hold such rights with respect to DMR-003 only if we exercise our option and enter into a license agreement for that program. We, Paragon and our future licensors may not successfully prosecute the patent applications that cover our product candidates. Even if patents are issued in respect of these patent applications, we and our future licensors (including Paragon) may fail to maintain these patents, may determine not to pursue litigation against other companies that are infringing these patents, or may pursue such litigation less aggressively than we would. Without protection for any in-licensed intellectual property, other companies might be able to offer substantially identical products for sale, which could adversely affect our competitive business position and harm our business prospects.</w:t>
      </w:r>
    </w:p>
    <w:p>
      <w:pPr>
        <w:spacing w:after="0" w:line="292"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our employees, consultants or independent contractors have wrongfully used or disclosed confidential information of third parties.</w:t>
      </w:r>
    </w:p>
    <w:p>
      <w:pPr>
        <w:spacing w:after="0" w:line="51"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8"/>
          <w:szCs w:val="18"/>
          <w:color w:val="auto"/>
        </w:rPr>
        <w:t>As is common in the biotechnology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or pharmaceutical companies including our competitors or potential competitors. We could in the future be subject to claims that we or our employees have inadvertently or otherwise used or disclosed alleged trade secrets or other confidential information of former employers or competitors. Although we try to ensure that our employees and consultants do not use the intellectual property, proprietary information, know-how or trade secrets of others in their work for us, we may become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w:t>
      </w:r>
    </w:p>
    <w:p>
      <w:pPr>
        <w:spacing w:after="0" w:line="192" w:lineRule="exact"/>
        <w:rPr>
          <w:sz w:val="20"/>
          <w:szCs w:val="20"/>
          <w:color w:val="auto"/>
        </w:rPr>
      </w:pPr>
    </w:p>
    <w:p>
      <w:pPr>
        <w:ind w:right="40" w:firstLine="511"/>
        <w:spacing w:after="0" w:line="255" w:lineRule="auto"/>
        <w:rPr>
          <w:sz w:val="20"/>
          <w:szCs w:val="20"/>
          <w:color w:val="auto"/>
        </w:rPr>
      </w:pPr>
      <w:r>
        <w:rPr>
          <w:rFonts w:ascii="Times New Roman" w:cs="Times New Roman" w:eastAsia="Times New Roman" w:hAnsi="Times New Roman"/>
          <w:sz w:val="18"/>
          <w:szCs w:val="18"/>
          <w:color w:val="auto"/>
        </w:rPr>
        <w:t>While we may litigate to defend against these claims, even if we are successful, litigation could result in substantial costs and could be a distraction to management and other employees.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w:t>
      </w:r>
    </w:p>
    <w:p>
      <w:pPr>
        <w:spacing w:after="0" w:line="29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51" w:lineRule="exact"/>
        <w:rPr>
          <w:sz w:val="20"/>
          <w:szCs w:val="20"/>
          <w:color w:val="auto"/>
        </w:rPr>
      </w:pPr>
    </w:p>
    <w:p>
      <w:pPr>
        <w:ind w:right="100" w:firstLine="511"/>
        <w:spacing w:after="0" w:line="254" w:lineRule="auto"/>
        <w:rPr>
          <w:sz w:val="20"/>
          <w:szCs w:val="20"/>
          <w:color w:val="auto"/>
        </w:rPr>
      </w:pPr>
      <w:r>
        <w:rPr>
          <w:rFonts w:ascii="Times New Roman" w:cs="Times New Roman" w:eastAsia="Times New Roman" w:hAnsi="Times New Roman"/>
          <w:sz w:val="18"/>
          <w:szCs w:val="18"/>
          <w:color w:val="auto"/>
        </w:rPr>
        <w:t>Changes in either the patent laws or interpretation of patent laws in the United States, including patent reform legislation such as the Leahy-Smith America Invents Act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00"/>
          </w:cols>
          <w:pgMar w:left="340" w:top="1399" w:right="378" w:bottom="1440" w:gutter="0" w:footer="0" w:header="0"/>
        </w:sectPr>
      </w:pPr>
    </w:p>
    <w:bookmarkStart w:id="61" w:name="page62"/>
    <w:bookmarkEnd w:id="61"/>
    <w:p>
      <w:pPr>
        <w:ind w:right="200"/>
        <w:spacing w:after="0" w:line="256" w:lineRule="auto"/>
        <w:rPr>
          <w:sz w:val="20"/>
          <w:szCs w:val="20"/>
          <w:color w:val="auto"/>
        </w:rPr>
      </w:pPr>
      <w:r>
        <w:rPr>
          <w:rFonts w:ascii="Times New Roman" w:cs="Times New Roman" w:eastAsia="Times New Roman" w:hAnsi="Times New Roman"/>
          <w:sz w:val="18"/>
          <w:szCs w:val="18"/>
          <w:color w:val="auto"/>
        </w:rPr>
        <w:t>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increased the uncertainties and costs surrounding the prosecution of our patent applications and the enforcement or defense of our issued patents, all of which could have a material adverse effect on our business, financial condition, results of operations and prospects. Additionally, there have been proposals for additional changes to the patent laws of the United States and other countries that, if adopted, could impact our ability to enforce our proprietary technology.</w:t>
      </w:r>
    </w:p>
    <w:p>
      <w:pPr>
        <w:spacing w:after="0" w:line="187" w:lineRule="exact"/>
        <w:rPr>
          <w:sz w:val="20"/>
          <w:szCs w:val="20"/>
          <w:color w:val="auto"/>
        </w:rPr>
      </w:pPr>
    </w:p>
    <w:p>
      <w:pPr>
        <w:ind w:firstLine="511"/>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the United States Supreme Court in </w:t>
      </w:r>
      <w:r>
        <w:rPr>
          <w:rFonts w:ascii="Times New Roman" w:cs="Times New Roman" w:eastAsia="Times New Roman" w:hAnsi="Times New Roman"/>
          <w:sz w:val="18"/>
          <w:szCs w:val="18"/>
          <w:i w:val="1"/>
          <w:iCs w:val="1"/>
          <w:color w:val="auto"/>
        </w:rPr>
        <w:t>Amgen, Inc. v. Sanofi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Amgen</w:t>
      </w:r>
      <w:r>
        <w:rPr>
          <w:rFonts w:ascii="Times New Roman" w:cs="Times New Roman" w:eastAsia="Times New Roman" w:hAnsi="Times New Roman"/>
          <w:sz w:val="18"/>
          <w:szCs w:val="18"/>
          <w:color w:val="auto"/>
        </w:rPr>
        <w:t xml:space="preserve">”) held in 2023 that Amgen’s patent claims to a class of antibodies functionally defined by their ability to bind a particular antigen were invalid for lack of enablement where the patent specification provided 26 exemplary antibodies, but the claimed class of antibodies covered a “vast number” of additional antibodies not disclosed in the specification. The Court stated that if patent claims are directed to an entire class of compositions of matter, then the patent specification must enable a person skilled in the art to make and use the entire class of compositions. This decision makes it unlikely that we will be granted U.S. patents with composition of matter claims as broad as Amgen’s directed to antibodies functionally defined by their ability to bind a particular antigen. Even if we are granted claims directed to functionally defined antibodies, it is possible that a third party may challenge our patents, when issued, relying on the reasoning in </w:t>
      </w:r>
      <w:r>
        <w:rPr>
          <w:rFonts w:ascii="Times New Roman" w:cs="Times New Roman" w:eastAsia="Times New Roman" w:hAnsi="Times New Roman"/>
          <w:sz w:val="18"/>
          <w:szCs w:val="18"/>
          <w:i w:val="1"/>
          <w:iCs w:val="1"/>
          <w:color w:val="auto"/>
        </w:rPr>
        <w:t>Amgen</w:t>
      </w:r>
      <w:r>
        <w:rPr>
          <w:rFonts w:ascii="Times New Roman" w:cs="Times New Roman" w:eastAsia="Times New Roman" w:hAnsi="Times New Roman"/>
          <w:sz w:val="18"/>
          <w:szCs w:val="18"/>
          <w:color w:val="auto"/>
        </w:rPr>
        <w:t xml:space="preserve"> or other precedential court decisions.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87" w:lineRule="exact"/>
        <w:rPr>
          <w:sz w:val="20"/>
          <w:szCs w:val="20"/>
          <w:color w:val="auto"/>
        </w:rPr>
      </w:pPr>
    </w:p>
    <w:p>
      <w:pPr>
        <w:ind w:right="20" w:firstLine="511"/>
        <w:spacing w:after="0" w:line="254" w:lineRule="auto"/>
        <w:rPr>
          <w:sz w:val="20"/>
          <w:szCs w:val="20"/>
          <w:color w:val="auto"/>
        </w:rPr>
      </w:pPr>
      <w:r>
        <w:rPr>
          <w:rFonts w:ascii="Times New Roman" w:cs="Times New Roman" w:eastAsia="Times New Roman" w:hAnsi="Times New Roman"/>
          <w:sz w:val="18"/>
          <w:szCs w:val="18"/>
          <w:color w:val="auto"/>
        </w:rPr>
        <w:t>In addition, the U.S. Supreme Court’s June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We cannot predict the likelihood, nature or extent of government regulation that may arise from future legislation or administrative action, either in the United States or abroad. Geopolitical instability in the United States and in foreign countries could increase the uncertainties and costs surrounding the prosecution or maintenance of patent applications and the maintenance, enforcement or defense of issued patents. In addition, the Unified Patent Court (“UPC”) entered into force on June 1, 2023. The UPC is a common patent court that hears patent infringement and revocation proceedings effective for EU Member States. This could enable third parties to seek revocation of a European patent in a single proceeding at the UPC rather than through multiple proceedings in each of the jurisdictions in which the European patent is validated.</w:t>
      </w:r>
    </w:p>
    <w:p>
      <w:pPr>
        <w:spacing w:after="0" w:line="192" w:lineRule="exact"/>
        <w:rPr>
          <w:sz w:val="20"/>
          <w:szCs w:val="20"/>
          <w:color w:val="auto"/>
        </w:rPr>
      </w:pPr>
    </w:p>
    <w:p>
      <w:pPr>
        <w:ind w:right="40" w:firstLine="511"/>
        <w:spacing w:after="0" w:line="255" w:lineRule="auto"/>
        <w:rPr>
          <w:sz w:val="20"/>
          <w:szCs w:val="20"/>
          <w:color w:val="auto"/>
        </w:rPr>
      </w:pPr>
      <w:r>
        <w:rPr>
          <w:rFonts w:ascii="Times New Roman" w:cs="Times New Roman" w:eastAsia="Times New Roman" w:hAnsi="Times New Roman"/>
          <w:sz w:val="18"/>
          <w:szCs w:val="18"/>
          <w:color w:val="auto"/>
        </w:rPr>
        <w:t>Although we do not currently own any European patents or applications, if we obtain or license such patents and applications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may decide to opt out from the UPC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w:t>
      </w:r>
    </w:p>
    <w:p>
      <w:pPr>
        <w:spacing w:after="0" w:line="293"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80" w:firstLine="511"/>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any future patents and patent applications, if filed and issued, covering our product candidates, our competitive position would be adversely affected.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91" w:right="318" w:bottom="1440" w:gutter="0" w:footer="0" w:header="0"/>
        </w:sectPr>
      </w:pPr>
    </w:p>
    <w:bookmarkStart w:id="62" w:name="page63"/>
    <w:bookmarkEnd w:id="62"/>
    <w:p>
      <w:pPr>
        <w:spacing w:after="0" w:line="6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1" w:lineRule="exact"/>
        <w:rPr>
          <w:sz w:val="20"/>
          <w:szCs w:val="20"/>
          <w:color w:val="auto"/>
        </w:rPr>
      </w:pPr>
    </w:p>
    <w:p>
      <w:pPr>
        <w:ind w:right="140" w:firstLine="511"/>
        <w:spacing w:after="0" w:line="254"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the patent’s prosecution history and in some cases certain extrinsic evidence of the meaning of terms in a claim.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spacing w:after="0" w:line="188"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future issued patents or our pending applications, if filed, or that we were the first to invent the technology. Our competitors may have filed, and may in the future file, patent applications covering our products or technology similar to ours. Any such patent application may have priority over our future patent applications or patents, if filed and issued, which could require us to obtain rights to issued patents covering such technologies.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patents, if issued, and other intellectual property.</w:t>
      </w:r>
    </w:p>
    <w:p>
      <w:pPr>
        <w:spacing w:after="0" w:line="121" w:lineRule="exact"/>
        <w:rPr>
          <w:sz w:val="20"/>
          <w:szCs w:val="20"/>
          <w:color w:val="auto"/>
        </w:rPr>
      </w:pPr>
    </w:p>
    <w:p>
      <w:pPr>
        <w:ind w:firstLine="511"/>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future patents, if filed and issued, or other intellectual property as an inventor or co-inventor. The failure to name the proper inventors on a patent application can result in the patents issuing thereon being invalid or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54" w:lineRule="exact"/>
        <w:rPr>
          <w:sz w:val="20"/>
          <w:szCs w:val="20"/>
          <w:color w:val="auto"/>
        </w:rPr>
      </w:pPr>
    </w:p>
    <w:p>
      <w:pPr>
        <w:ind w:right="80" w:firstLine="511"/>
        <w:spacing w:after="0" w:line="261"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of our product candidates for an adequate amount of time.</w:t>
      </w:r>
    </w:p>
    <w:p>
      <w:pPr>
        <w:spacing w:after="0" w:line="121" w:lineRule="exact"/>
        <w:rPr>
          <w:sz w:val="20"/>
          <w:szCs w:val="20"/>
          <w:color w:val="auto"/>
        </w:rPr>
      </w:pPr>
    </w:p>
    <w:p>
      <w:pPr>
        <w:ind w:right="20" w:firstLine="511"/>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our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sectPr>
      </w:pPr>
    </w:p>
    <w:bookmarkStart w:id="63" w:name="page64"/>
    <w:bookmarkEnd w:id="63"/>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technology licensed from various third parties may be subject to retained rights.</w:t>
      </w:r>
    </w:p>
    <w:p>
      <w:pPr>
        <w:spacing w:after="0" w:line="121" w:lineRule="exact"/>
        <w:rPr>
          <w:sz w:val="20"/>
          <w:szCs w:val="20"/>
          <w:color w:val="auto"/>
        </w:rPr>
      </w:pPr>
    </w:p>
    <w:p>
      <w:pPr>
        <w:ind w:right="40" w:firstLine="511"/>
        <w:spacing w:after="0" w:line="254" w:lineRule="auto"/>
        <w:rPr>
          <w:sz w:val="20"/>
          <w:szCs w:val="20"/>
          <w:color w:val="auto"/>
        </w:rPr>
      </w:pPr>
      <w:r>
        <w:rPr>
          <w:rFonts w:ascii="Times New Roman" w:cs="Times New Roman" w:eastAsia="Times New Roman" w:hAnsi="Times New Roman"/>
          <w:sz w:val="18"/>
          <w:szCs w:val="18"/>
          <w:color w:val="auto"/>
        </w:rPr>
        <w:t>Our future licensors may retain certain rights under the relevant agreements with us, including the right to use or license the licensed technology outside of the scope of our license,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 In addition, while there are certain restrictions on Paragon’s ability to develop products that could be competitive with ours, these restrictions may not prevent the possible future license or development by Paragon of certain technology that could lead to product candidates competitive with ours. This could have a material adverse effect on our competitive position,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other comparable foreign regulatory authorities are lengthy, time-consuming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49" w:lineRule="exact"/>
        <w:rPr>
          <w:sz w:val="20"/>
          <w:szCs w:val="20"/>
          <w:color w:val="auto"/>
        </w:rPr>
      </w:pPr>
    </w:p>
    <w:p>
      <w:pPr>
        <w:ind w:firstLine="511"/>
        <w:spacing w:after="0" w:line="251"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DMR-001, DMR-002 and DMR-003, we must demonstrate through lengthy, complex and expensive preclinical studies and clinical trials that our product candidates are both safe and effective for each targeted indication. Securing regulatory approval also requires the submission of information about the drug manufacturing process to, and inspection of manufacturing facilities by, the relevant regulatory authority. Further, our product candidates may not be effective, may be only moderately effective, may prove to have undesirable or unintended side effects, toxicities or other characteristics, or may fail to improve on the applicable standard of care, any of which may preclude our obtaining regulatory approval. The FDA and comparable foreign regulatory authorities have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FDA or comparable foreign regulatory authorities may disagree with the design or implementation of our clinical trials; we may be unable to demonstrate to the satisfaction of the FDA or comparable foreign regulatory authorities that a product candidate is safe and effective for our proposed indication; the results of clinical trials may not meet the level of statistical significance required by the FDA or comparable foreign regulatory authorities for approval; serious and unexpected drug-related side effects may be experienced by participants in our clinical trials or by individuals using drugs similar to our product candidates; we may be unable to demonstrate that a product candidate’s clinical and other benefits outweigh its safety risks; the FDA or comparable foreign regulatory authorities may disagree with our interpretation of data from preclinical studies or clinical trials; the data collected from clinical trials of our product candidates may not be acceptable or sufficient to support the submission of a biologics license application (“BLA”) or other submission or to obtain regulatory approval in the United States or elsewhere, and we may be required to conduct additional clinical trials; the FDA or the applicable foreign regulatory authority may disagree regarding the formulation, labeling and/or the specifications of our product candidates; the FDA or comparable foreign regulatory authorities may fail to approve the manufacturing processes or facilities of third-party manufacturers with which we contract for clinical and commercial supplies; and the approval policies or regulations of the FDA or comparable foreign regulatory authorities may significantly change in a manner rendering our clinical data insufficient for approval.</w:t>
      </w:r>
    </w:p>
    <w:p>
      <w:pPr>
        <w:spacing w:after="0" w:line="205" w:lineRule="exact"/>
        <w:rPr>
          <w:sz w:val="20"/>
          <w:szCs w:val="20"/>
          <w:color w:val="auto"/>
        </w:rPr>
      </w:pPr>
    </w:p>
    <w:p>
      <w:pPr>
        <w:jc w:val="both"/>
        <w:ind w:right="320" w:firstLine="511"/>
        <w:spacing w:after="0" w:line="266"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or applicable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76" w:lineRule="exact"/>
        <w:rPr>
          <w:sz w:val="20"/>
          <w:szCs w:val="20"/>
          <w:color w:val="auto"/>
        </w:rPr>
      </w:pPr>
    </w:p>
    <w:p>
      <w:pPr>
        <w:ind w:right="100" w:firstLine="511"/>
        <w:spacing w:after="0" w:line="258" w:lineRule="auto"/>
        <w:rPr>
          <w:sz w:val="20"/>
          <w:szCs w:val="20"/>
          <w:color w:val="auto"/>
        </w:rPr>
      </w:pPr>
      <w:r>
        <w:rPr>
          <w:rFonts w:ascii="Times New Roman" w:cs="Times New Roman" w:eastAsia="Times New Roman" w:hAnsi="Times New Roman"/>
          <w:sz w:val="18"/>
          <w:szCs w:val="18"/>
          <w:color w:val="auto"/>
        </w:rPr>
        <w:t>If we were to obtain approval, regulatory authorities may approve any of our product candidates for fewer or more limited indications than we request,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we are not able to obtain, or if there are delays in obtaining, required regulatory approvals for our product candidates, we will not be able to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440" w:right="338" w:bottom="1440" w:gutter="0" w:footer="0" w:header="0"/>
        </w:sectPr>
      </w:pPr>
    </w:p>
    <w:bookmarkStart w:id="64" w:name="page65"/>
    <w:bookmarkEnd w:id="64"/>
    <w:p>
      <w:pPr>
        <w:ind w:right="40"/>
        <w:spacing w:after="0" w:line="254" w:lineRule="auto"/>
        <w:rPr>
          <w:sz w:val="20"/>
          <w:szCs w:val="20"/>
          <w:color w:val="auto"/>
        </w:rPr>
      </w:pPr>
      <w:r>
        <w:rPr>
          <w:rFonts w:ascii="Times New Roman" w:cs="Times New Roman" w:eastAsia="Times New Roman" w:hAnsi="Times New Roman"/>
          <w:sz w:val="18"/>
          <w:szCs w:val="18"/>
          <w:color w:val="auto"/>
        </w:rPr>
        <w:t>commercialize, or will be delayed in commercializing, this could have a material adverse effect on our competitive position, business, financial condition, results of operations, and prospects. In addition, the FDA and foreign regulatory authorities may undergo leadership changes, change their policies, issue additional regulations or revise existing regulations, or take other actions, which may impact our clinical development plans or prevent or delay approval of our product candidates under development on a timely basis. Such policy or regulatory changes could impose additional requirements upon us that could delay our ability to obtain approvals and increase the costs of compliance. It is difficult to predict how executive actions that may be taken under the current administration may affect the FDA’s ability to exercise its regulatory authority. If any actions impose constraints on the FDA’s ability to engage in routine oversight and product review activities in the normal course, our business may be negatively impacted. Additionally, federal government could adopt legislation, regulations or policies that adversely affect our business or create a more challenging and costly environment to pursue the development, approval and commercialization of our product candidates.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meet requirements for the chemistry, manufacturing and control of our product candidates.</w:t>
      </w:r>
    </w:p>
    <w:p>
      <w:pPr>
        <w:spacing w:after="0" w:line="121" w:lineRule="exact"/>
        <w:rPr>
          <w:sz w:val="20"/>
          <w:szCs w:val="20"/>
          <w:color w:val="auto"/>
        </w:rPr>
      </w:pPr>
    </w:p>
    <w:p>
      <w:pPr>
        <w:ind w:right="180" w:firstLine="511"/>
        <w:spacing w:after="0" w:line="256" w:lineRule="auto"/>
        <w:rPr>
          <w:sz w:val="20"/>
          <w:szCs w:val="20"/>
          <w:color w:val="auto"/>
        </w:rPr>
      </w:pPr>
      <w:r>
        <w:rPr>
          <w:rFonts w:ascii="Times New Roman" w:cs="Times New Roman" w:eastAsia="Times New Roman" w:hAnsi="Times New Roman"/>
          <w:sz w:val="18"/>
          <w:szCs w:val="18"/>
          <w:color w:val="auto"/>
        </w:rPr>
        <w:t>In order to receive approval of our products by the FDA and comparable foreign regulatory authorities, we must show that we and our contract manufacturing partners are able to characterize, control and manufacture our drug products safely and in accordance with regulatory requirements. This includes manufacturing the active ingredient, developing an acceptable formulation, manufacturing the drug product, performing tests to adequately characterize the formulated product, documenting a repeatable manufacturing process, and demonstrating that our drug products meet stability requirements. Meeting these chemistry, manufacturing and control requirements is a complex task that requires specialized expertise. If we are not able to meet the chemistry, manufacturing and control requirements, we may not be successful in getting our products approved.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for which we intend to seek approval as biologics may face competition from biosimilars sooner than anticipated.</w:t>
      </w:r>
    </w:p>
    <w:p>
      <w:pPr>
        <w:spacing w:after="0" w:line="121" w:lineRule="exact"/>
        <w:rPr>
          <w:sz w:val="20"/>
          <w:szCs w:val="20"/>
          <w:color w:val="auto"/>
        </w:rPr>
      </w:pPr>
    </w:p>
    <w:p>
      <w:pPr>
        <w:ind w:firstLine="511"/>
        <w:spacing w:after="0" w:line="255" w:lineRule="auto"/>
        <w:rPr>
          <w:sz w:val="20"/>
          <w:szCs w:val="20"/>
          <w:color w:val="auto"/>
        </w:rPr>
      </w:pPr>
      <w:r>
        <w:rPr>
          <w:rFonts w:ascii="Times New Roman" w:cs="Times New Roman" w:eastAsia="Times New Roman" w:hAnsi="Times New Roman"/>
          <w:sz w:val="18"/>
          <w:szCs w:val="18"/>
          <w:color w:val="auto"/>
        </w:rPr>
        <w:t>The Patient Protection and Affordable Care Act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189" w:lineRule="exact"/>
        <w:rPr>
          <w:sz w:val="20"/>
          <w:szCs w:val="20"/>
          <w:color w:val="auto"/>
        </w:rPr>
      </w:pPr>
    </w:p>
    <w:p>
      <w:pPr>
        <w:ind w:right="140" w:firstLine="511"/>
        <w:spacing w:after="0" w:line="266" w:lineRule="auto"/>
        <w:rPr>
          <w:sz w:val="20"/>
          <w:szCs w:val="20"/>
          <w:color w:val="auto"/>
        </w:rPr>
      </w:pPr>
      <w:r>
        <w:rPr>
          <w:rFonts w:ascii="Times New Roman" w:cs="Times New Roman" w:eastAsia="Times New Roman" w:hAnsi="Times New Roman"/>
          <w:sz w:val="18"/>
          <w:szCs w:val="18"/>
          <w:color w:val="auto"/>
        </w:rPr>
        <w:t>We believe that any of our product candidates approved as biologics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w:t>
      </w:r>
    </w:p>
    <w:p>
      <w:pPr>
        <w:spacing w:after="0" w:line="200" w:lineRule="exact"/>
        <w:rPr>
          <w:sz w:val="20"/>
          <w:szCs w:val="20"/>
          <w:color w:val="auto"/>
        </w:rPr>
      </w:pPr>
    </w:p>
    <w:p>
      <w:pPr>
        <w:spacing w:after="0" w:line="296" w:lineRule="exact"/>
        <w:rPr>
          <w:sz w:val="20"/>
          <w:szCs w:val="20"/>
          <w:color w:val="auto"/>
        </w:rPr>
      </w:pPr>
    </w:p>
    <w:p>
      <w:pPr>
        <w:ind w:right="7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7" w:lineRule="exact"/>
        <w:rPr>
          <w:sz w:val="20"/>
          <w:szCs w:val="20"/>
          <w:color w:val="auto"/>
        </w:rPr>
      </w:pPr>
    </w:p>
    <w:p>
      <w:pPr>
        <w:ind w:right="40" w:firstLine="511"/>
        <w:spacing w:after="0" w:line="253" w:lineRule="auto"/>
        <w:rPr>
          <w:sz w:val="20"/>
          <w:szCs w:val="20"/>
          <w:color w:val="auto"/>
        </w:rPr>
      </w:pPr>
      <w:r>
        <w:rPr>
          <w:rFonts w:ascii="Times New Roman" w:cs="Times New Roman" w:eastAsia="Times New Roman" w:hAnsi="Times New Roman"/>
          <w:sz w:val="18"/>
          <w:szCs w:val="18"/>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or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Comparable foreign regulatory authorities may impose similar requirements. In addition, if the FDA or comparable foreign regulatory authorities approve our product candidates, our product candidates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cGMPs and GCPs for any clinical trials that we conduct following approval. In addition, manufacturers of drug products and their facilities are subject to continual review and periodic, unannounced inspections by the FDA and other regulatory authorities for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399" w:right="318" w:bottom="1440" w:gutter="0" w:footer="0" w:header="0"/>
        </w:sectPr>
      </w:pPr>
    </w:p>
    <w:bookmarkStart w:id="65" w:name="page66"/>
    <w:bookmarkEnd w:id="65"/>
    <w:p>
      <w:pPr>
        <w:ind w:right="60"/>
        <w:spacing w:after="0" w:line="253" w:lineRule="auto"/>
        <w:rPr>
          <w:sz w:val="20"/>
          <w:szCs w:val="20"/>
          <w:color w:val="auto"/>
        </w:rPr>
      </w:pPr>
      <w:r>
        <w:rPr>
          <w:rFonts w:ascii="Times New Roman" w:cs="Times New Roman" w:eastAsia="Times New Roman" w:hAnsi="Times New Roman"/>
          <w:sz w:val="18"/>
          <w:szCs w:val="18"/>
          <w:color w:val="auto"/>
        </w:rPr>
        <w:t>compliance with cGMPs. If we or a regulatory authority discovers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delays or restrictions on our ability to conduct clinical trials or delays or refusal to grant a marketing authorization, including full or partial clinical holds on ongoing or planned trials, restrictions on the manufacturing process, warning or untitled letters, civil and criminal penalties, injunctions, product seizures, detentions or import bans, suspension, withdrawal or variation of any marketing authorization that has been granted, voluntary or mandatory publicity requirements and imposition of restrictions on operations, including costly new manufacturing requirements. Similar penalties may apply in case of failure by us or by any of our third-party partners, including suppliers, manufacturers and distributors, to comply with FDA and EU laws and the related national laws of individual EU Member States and other applicable regulatory authorities governing the conduct of clinical trials, manufacturing approval, marketing authorization of medicinal products and marketing of such products, both before and after grant of a marketing authorization, statutory health insurance, bribery and anti-corruption or other applicable regulatory requirements, including administrative, civil or criminal penalties.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291"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and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right="140" w:firstLine="511"/>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regulatory filings and our ability to commence human clinical trials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3" w:lineRule="exact"/>
        <w:rPr>
          <w:sz w:val="20"/>
          <w:szCs w:val="20"/>
          <w:color w:val="auto"/>
        </w:rPr>
      </w:pPr>
    </w:p>
    <w:p>
      <w:pPr>
        <w:ind w:firstLine="511"/>
        <w:spacing w:after="0" w:line="272" w:lineRule="auto"/>
        <w:rPr>
          <w:sz w:val="20"/>
          <w:szCs w:val="20"/>
          <w:color w:val="auto"/>
        </w:rPr>
      </w:pPr>
      <w:r>
        <w:rPr>
          <w:rFonts w:ascii="Times New Roman" w:cs="Times New Roman" w:eastAsia="Times New Roman" w:hAnsi="Times New Roman"/>
          <w:sz w:val="17"/>
          <w:szCs w:val="17"/>
          <w:color w:val="auto"/>
        </w:rPr>
        <w:t>Disruptions at the FDA and other agencies or comparable foreign regulatory authorities may also slow the time necessary for the review and approval of applications for clinical trial or marketing authorization, which would adversely affect our business. For example, in recent years, including for 43 days beginning on October 1, 2025, the U.S. government shut down and certain regulatory agencies, such as the FDA and the SEC, had to furlough critical employees and stop critical activities. Actions to limit federal agency budgets or personnel may result in reductions to the FDA’s budget, employees, and operations, which may lead to slower response times and longer review periods, potentially affecting our ability to progress development of our product candidates or obtain regulatory approval for our product candidates.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2" w:lineRule="exact"/>
        <w:rPr>
          <w:sz w:val="20"/>
          <w:szCs w:val="20"/>
          <w:color w:val="auto"/>
        </w:rPr>
      </w:pPr>
    </w:p>
    <w:p>
      <w:pPr>
        <w:jc w:val="both"/>
        <w:ind w:right="440" w:firstLine="511"/>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from healthcare and regulatory legislative reform measures.</w:t>
      </w:r>
    </w:p>
    <w:p>
      <w:pPr>
        <w:spacing w:after="0" w:line="121" w:lineRule="exact"/>
        <w:rPr>
          <w:sz w:val="20"/>
          <w:szCs w:val="20"/>
          <w:color w:val="auto"/>
        </w:rPr>
      </w:pPr>
    </w:p>
    <w:p>
      <w:pPr>
        <w:ind w:right="200" w:firstLine="511"/>
        <w:spacing w:after="0" w:line="258"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91" w:right="318" w:bottom="1440" w:gutter="0" w:footer="0" w:header="0"/>
        </w:sectPr>
      </w:pPr>
    </w:p>
    <w:bookmarkStart w:id="66" w:name="page67"/>
    <w:bookmarkEnd w:id="66"/>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arrangements with investigators, healthcare professionals, consultants, third-party payors, patient organizations and customers will be subject to applicable healthcare regulatory laws, which could expose us to penalties.</w:t>
      </w:r>
    </w:p>
    <w:p>
      <w:pPr>
        <w:spacing w:after="0" w:line="159" w:lineRule="exact"/>
        <w:rPr>
          <w:sz w:val="20"/>
          <w:szCs w:val="20"/>
          <w:color w:val="auto"/>
        </w:rPr>
      </w:pPr>
    </w:p>
    <w:p>
      <w:pPr>
        <w:ind w:right="100" w:firstLine="511"/>
        <w:spacing w:after="0" w:line="261"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w:t>
      </w:r>
    </w:p>
    <w:p>
      <w:pPr>
        <w:spacing w:after="0" w:line="180" w:lineRule="exact"/>
        <w:rPr>
          <w:sz w:val="20"/>
          <w:szCs w:val="20"/>
          <w:color w:val="auto"/>
        </w:rPr>
      </w:pPr>
    </w:p>
    <w:p>
      <w:pPr>
        <w:ind w:firstLine="511"/>
        <w:spacing w:after="0" w:line="255"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If our operations are found to be in violation of any of these laws or any other governmental laws and regulations that may apply to us, we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our operations. Further, defending against any such actions can be costly and time-consuming and may require significant personnel resources. Therefore, even if we are successful in defending against any such actions that may be brought against us, our business may be impaired.</w:t>
      </w:r>
    </w:p>
    <w:p>
      <w:pPr>
        <w:spacing w:after="0" w:line="29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due to unfavorable pricing regulations and/or third-party coverage and reimbursement policies, we may not be able to offer such product candidates at competitive prices, which would seriously harm our business.</w:t>
      </w:r>
    </w:p>
    <w:p>
      <w:pPr>
        <w:spacing w:after="0" w:line="51" w:lineRule="exact"/>
        <w:rPr>
          <w:sz w:val="20"/>
          <w:szCs w:val="20"/>
          <w:color w:val="auto"/>
        </w:rPr>
      </w:pPr>
    </w:p>
    <w:p>
      <w:pPr>
        <w:ind w:right="100" w:firstLine="511"/>
        <w:spacing w:after="0" w:line="254" w:lineRule="auto"/>
        <w:rPr>
          <w:sz w:val="20"/>
          <w:szCs w:val="20"/>
          <w:color w:val="auto"/>
        </w:rPr>
      </w:pPr>
      <w:r>
        <w:rPr>
          <w:rFonts w:ascii="Times New Roman" w:cs="Times New Roman" w:eastAsia="Times New Roman" w:hAnsi="Times New Roman"/>
          <w:sz w:val="18"/>
          <w:szCs w:val="18"/>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Our ability to successfully commercialize any product candidates that we may develop will depend in part on the extent to which reimbursement for these product candidates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Government authorities and other third-party payors have attempted to control costs by limiting coverage and the amount of reimbursement for particular medications. These entities may create preferential access policies for a competitor’s product, including a branded or generic/biosimilar product, over our products in an attempt to reduce their costs, which may reduce our commercial opportunity.</w:t>
      </w:r>
    </w:p>
    <w:p>
      <w:pPr>
        <w:spacing w:after="0" w:line="29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spacing w:after="0" w:line="51" w:lineRule="exact"/>
        <w:rPr>
          <w:sz w:val="20"/>
          <w:szCs w:val="20"/>
          <w:color w:val="auto"/>
        </w:rPr>
      </w:pPr>
    </w:p>
    <w:p>
      <w:pPr>
        <w:ind w:firstLine="511"/>
        <w:spacing w:after="0" w:line="252"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U.S. domestic bribery statute contained in 18 U.S.C. § 201, the U.S. Travel Act, the USA PATRIOT Act, and other state and national anti-bribery and anti-money laundering laws in the countries in which we conduct activities. Governmental regulation of the import or export of our drug candidates, or our failure to obtain any required import or export authorization for our candidates, when applicable, could harm international operations. Furthermore, export control laws and economic sanctions prohibit the provision of certain items, technology, and services to countries, governments, and persons targeted by sanctions programs.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179" w:right="338" w:bottom="1440" w:gutter="0" w:footer="0" w:header="0"/>
        </w:sectPr>
      </w:pPr>
    </w:p>
    <w:bookmarkStart w:id="67" w:name="page68"/>
    <w:bookmarkEnd w:id="67"/>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 if any.</w:t>
      </w:r>
    </w:p>
    <w:p>
      <w:pPr>
        <w:spacing w:after="0" w:line="121" w:lineRule="exact"/>
        <w:rPr>
          <w:sz w:val="20"/>
          <w:szCs w:val="20"/>
          <w:color w:val="auto"/>
        </w:rPr>
      </w:pPr>
    </w:p>
    <w:p>
      <w:pPr>
        <w:ind w:right="60" w:firstLine="511"/>
        <w:spacing w:after="0" w:line="253" w:lineRule="auto"/>
        <w:rPr>
          <w:sz w:val="20"/>
          <w:szCs w:val="20"/>
          <w:color w:val="auto"/>
        </w:rPr>
      </w:pPr>
      <w:r>
        <w:rPr>
          <w:rFonts w:ascii="Times New Roman" w:cs="Times New Roman" w:eastAsia="Times New Roman" w:hAnsi="Times New Roman"/>
          <w:sz w:val="18"/>
          <w:szCs w:val="18"/>
          <w:color w:val="auto"/>
        </w:rPr>
        <w:t>In some countries, particularly EU Member States, the pricing of prescription drugs is subject to governmental control. In these countries, pricing negotiations with governmental authorities can take considerable time after receipt of regulatory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EU Member States, can further reduce prices. To obtain coverage and reimbursement or pricing approvals in some countries, we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w:t>
      </w:r>
    </w:p>
    <w:p>
      <w:pPr>
        <w:spacing w:after="0" w:line="29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seek and are unable to obtain accelerated approval, the amount, size and duration of our clinical trials could be greater than planned, which could increase the expense, reduce the likelihood, and/or delay the timing of obtaining necessary regulatory approvals. Even if we receive accelerated approval, if confirmatory trials do not verify clinical benefit, or if we do not comply with rigorous post-approval requirements, such authorities may withdraw accelerated approval.</w:t>
      </w:r>
    </w:p>
    <w:p>
      <w:pPr>
        <w:spacing w:after="0" w:line="72" w:lineRule="exact"/>
        <w:rPr>
          <w:sz w:val="20"/>
          <w:szCs w:val="20"/>
          <w:color w:val="auto"/>
        </w:rPr>
      </w:pPr>
    </w:p>
    <w:p>
      <w:pPr>
        <w:ind w:firstLine="511"/>
        <w:spacing w:after="0" w:line="252" w:lineRule="auto"/>
        <w:rPr>
          <w:sz w:val="20"/>
          <w:szCs w:val="20"/>
          <w:color w:val="auto"/>
        </w:rPr>
      </w:pPr>
      <w:r>
        <w:rPr>
          <w:rFonts w:ascii="Times New Roman" w:cs="Times New Roman" w:eastAsia="Times New Roman" w:hAnsi="Times New Roman"/>
          <w:sz w:val="18"/>
          <w:szCs w:val="18"/>
          <w:color w:val="auto"/>
        </w:rPr>
        <w:t>We may seek accelerated approval, or other expedited development, review or approval status, for our product candidates. Even if granted, there is no guarantee that receiving an expedited development, review or approval status from the FDA will lead to a faster development or regulatory review or approval process, and such status does not increase the likelihood that our product candidates will ultimately receive marketing approval. The FDA may grant accelerated approval to a product designed to treat a serious or life-threatening condition that provides meaningful therapeutic advantage over available therapies and demonstrates an effect on a surrogate endpoint or intermediate clinical endpoint that is reasonably likely to predict clinical benefit. If we choose to pursue accelerated approval, there can be no assurance that the FDA will agree that our proposed primary endpoint is an appropriate surrogate endpoint. Similarly, there can be no assurance that after subsequent FDA feedback that we will continue to pursue accelerated approval or any other form of expedited development, review, or approval, even if we initially decide to do so. Furthermore, if we submit an application for accelerated approval, there can be no assurance that such application will be accepted or that approval will be granted on a timely basis, or at all. The FDA also could require us to conduct further studies or trials prior to considering our application or granting approval of any type. We might not be able to fulfill the FDA’s requirements in a timely manner, which would cause delays, or approval might not be granted because our submission is deemed incomplete by the FDA. Accelerated approval may be contingent on the sponsor’s agreement to conduct, in a diligent manner, additional post-approval confirmatory studies to verify and describe the drug’s predicted effect on irreversible morbidity or mortality or other clinical benefit. Under the Food and Drug Omnibus Reform Act of 2022, the FDA may require, as appropriate, that such studies be underway prior to approval or within a specific time period after the date of approval for a product granted accelerated approval. The FDA may require that any such confirmatory study be initiated or substantially underway prior to the submission of an application for accelerated approval. Even if we receive accelerated approval from the FDA, we will be subject to rigorous post-approval requirements, including submission to the FDA of all promotional materials prior to their dissemination. The FDA could withdraw accelerated approval for multiple reasons, including our failure to conduct any required post-approval study with due diligence, or the inability of such study to confirm the drug’s predicted clinical benefit relative to its risks. A failure to obtain accelerated approval or any other form of expedited review or approval for a product candidate could result in a longer time period prior to commercializing such product candidate, increase the cost of development of such product candidate, and harm our competitive position in the marketplace. Comparable considerations apply outside of the United States.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Ordinary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has been and is expected to continue to be volatile.</w:t>
      </w:r>
    </w:p>
    <w:p>
      <w:pPr>
        <w:spacing w:after="0" w:line="121" w:lineRule="exact"/>
        <w:rPr>
          <w:sz w:val="20"/>
          <w:szCs w:val="20"/>
          <w:color w:val="auto"/>
        </w:rPr>
      </w:pPr>
    </w:p>
    <w:p>
      <w:pPr>
        <w:ind w:right="160" w:firstLine="511"/>
        <w:spacing w:after="0" w:line="282" w:lineRule="auto"/>
        <w:rPr>
          <w:sz w:val="20"/>
          <w:szCs w:val="20"/>
          <w:color w:val="auto"/>
        </w:rPr>
      </w:pPr>
      <w:r>
        <w:rPr>
          <w:rFonts w:ascii="Times New Roman" w:cs="Times New Roman" w:eastAsia="Times New Roman" w:hAnsi="Times New Roman"/>
          <w:sz w:val="18"/>
          <w:szCs w:val="18"/>
          <w:color w:val="auto"/>
        </w:rPr>
        <w:t>The market price of our Ordinary Shares has been and is expected to continue to be subject to significant fluctuations. Some of the factors that may cause the market price of our Ordinary Shares to fluctuate include:</w:t>
      </w:r>
    </w:p>
    <w:p>
      <w:pPr>
        <w:spacing w:after="0" w:line="54" w:lineRule="exact"/>
        <w:rPr>
          <w:sz w:val="20"/>
          <w:szCs w:val="20"/>
          <w:color w:val="auto"/>
        </w:rPr>
      </w:pPr>
    </w:p>
    <w:p>
      <w:pPr>
        <w:ind w:left="1140" w:hanging="381"/>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existing or future collaborators;</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sectPr>
      </w:pPr>
    </w:p>
    <w:bookmarkStart w:id="68" w:name="page69"/>
    <w:bookmarkEnd w:id="68"/>
    <w:p>
      <w:pPr>
        <w:ind w:left="1140" w:hanging="381"/>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the perceived benefits of the Asset Acquisition as rapidly or to the extent anticipated by financial or industry analysts;</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1140" w:right="100" w:hanging="381"/>
        <w:spacing w:after="0" w:line="282"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53" w:lineRule="exact"/>
        <w:rPr>
          <w:rFonts w:ascii="Times New Roman" w:cs="Times New Roman" w:eastAsia="Times New Roman" w:hAnsi="Times New Roman"/>
          <w:sz w:val="18"/>
          <w:szCs w:val="18"/>
          <w:color w:val="auto"/>
        </w:rPr>
      </w:pPr>
    </w:p>
    <w:p>
      <w:pPr>
        <w:ind w:left="1140" w:right="20" w:hanging="381"/>
        <w:spacing w:after="0" w:line="282"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40"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shareholder litigation;</w:t>
      </w:r>
    </w:p>
    <w:p>
      <w:pPr>
        <w:spacing w:after="0" w:line="117" w:lineRule="exact"/>
        <w:rPr>
          <w:rFonts w:ascii="Times New Roman" w:cs="Times New Roman" w:eastAsia="Times New Roman" w:hAnsi="Times New Roman"/>
          <w:sz w:val="18"/>
          <w:szCs w:val="18"/>
          <w:color w:val="auto"/>
        </w:rPr>
      </w:pPr>
    </w:p>
    <w:p>
      <w:pPr>
        <w:ind w:left="1140" w:right="480" w:hanging="381"/>
        <w:spacing w:after="0" w:line="282"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53"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or continued development of our product candidates;</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Ordinary Shares;</w:t>
      </w:r>
    </w:p>
    <w:p>
      <w:pPr>
        <w:spacing w:after="0" w:line="117" w:lineRule="exact"/>
        <w:rPr>
          <w:rFonts w:ascii="Times New Roman" w:cs="Times New Roman" w:eastAsia="Times New Roman" w:hAnsi="Times New Roman"/>
          <w:sz w:val="18"/>
          <w:szCs w:val="18"/>
          <w:color w:val="auto"/>
        </w:rPr>
      </w:pPr>
    </w:p>
    <w:p>
      <w:pPr>
        <w:ind w:left="1140" w:right="860" w:hanging="381"/>
        <w:spacing w:after="0" w:line="282"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53"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 and</w:t>
      </w:r>
    </w:p>
    <w:p>
      <w:pPr>
        <w:spacing w:after="0" w:line="117" w:lineRule="exact"/>
        <w:rPr>
          <w:rFonts w:ascii="Times New Roman" w:cs="Times New Roman" w:eastAsia="Times New Roman" w:hAnsi="Times New Roman"/>
          <w:sz w:val="18"/>
          <w:szCs w:val="18"/>
          <w:color w:val="auto"/>
        </w:rPr>
      </w:pPr>
    </w:p>
    <w:p>
      <w:pPr>
        <w:ind w:left="1140" w:hanging="381"/>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ind w:right="20" w:firstLine="511"/>
        <w:spacing w:after="0" w:line="255"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our Ordinary Shares. In addition, a recession, depression or other sustained adverse market event could materially and adversely affect our business and the value of our Ordinary Shares. In the past, following periods of volatility in the market price of a company’s securities, shareholders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financial condition and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governed by Cayman Islands law, and certain provisions of our Articles of Association have anti-takeover implications.</w:t>
      </w:r>
    </w:p>
    <w:p>
      <w:pPr>
        <w:spacing w:after="0" w:line="81" w:lineRule="exact"/>
        <w:rPr>
          <w:sz w:val="20"/>
          <w:szCs w:val="20"/>
          <w:color w:val="auto"/>
        </w:rPr>
      </w:pPr>
    </w:p>
    <w:p>
      <w:pPr>
        <w:ind w:firstLine="511"/>
        <w:spacing w:after="0" w:line="255" w:lineRule="auto"/>
        <w:rPr>
          <w:sz w:val="20"/>
          <w:szCs w:val="20"/>
          <w:color w:val="auto"/>
        </w:rPr>
      </w:pPr>
      <w:r>
        <w:rPr>
          <w:rFonts w:ascii="Times New Roman" w:cs="Times New Roman" w:eastAsia="Times New Roman" w:hAnsi="Times New Roman"/>
          <w:sz w:val="18"/>
          <w:szCs w:val="18"/>
          <w:color w:val="auto"/>
        </w:rPr>
        <w:t>Our organizational documents are governed by Cayman Islands law, and certain provisions in our Articles of Association may discourage, delay or prevent a merger, acquisition or other change in control of the Company that shareholders may consider favorable, including transactions in which holders of our Ordinary Shares might otherwise receive a premium price for their Ordinary Shares. These provisions could also limit the price that investors might be willing to pay in the future for our Ordinary Shares, thereby depressing the market price of our Ordinary Shares. In addition, because our board of directors is responsible for appointing the members of our management team, these provisions may frustrate or prevent any attempts by any shareholders to replace or remove our current management by making it more difficult for shareholders to replace members of our board of directors. Among other things, these provisions:</w:t>
      </w:r>
    </w:p>
    <w:p>
      <w:pPr>
        <w:spacing w:after="0" w:line="121" w:lineRule="exact"/>
        <w:rPr>
          <w:sz w:val="20"/>
          <w:szCs w:val="20"/>
          <w:color w:val="auto"/>
        </w:rPr>
      </w:pPr>
    </w:p>
    <w:p>
      <w:pPr>
        <w:ind w:left="1140" w:hanging="381"/>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of directors such that not all members of our board of directors are elected at one time;</w:t>
      </w:r>
    </w:p>
    <w:p>
      <w:pPr>
        <w:spacing w:after="0" w:line="117" w:lineRule="exact"/>
        <w:rPr>
          <w:rFonts w:ascii="Times New Roman" w:cs="Times New Roman" w:eastAsia="Times New Roman" w:hAnsi="Times New Roman"/>
          <w:sz w:val="18"/>
          <w:szCs w:val="18"/>
          <w:color w:val="auto"/>
        </w:rPr>
      </w:pPr>
    </w:p>
    <w:p>
      <w:pPr>
        <w:ind w:left="1140" w:right="320" w:hanging="381"/>
        <w:spacing w:after="0" w:line="282"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directors to be changed only by resolution of our board of directors, subject to the terms of the Series B Certificate of Designation;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00"/>
          </w:cols>
          <w:pgMar w:left="340" w:top="1291" w:right="378" w:bottom="1440" w:gutter="0" w:footer="0" w:header="0"/>
        </w:sectPr>
      </w:pPr>
    </w:p>
    <w:bookmarkStart w:id="69" w:name="page70"/>
    <w:bookmarkEnd w:id="69"/>
    <w:p>
      <w:pPr>
        <w:ind w:left="1147" w:right="120" w:hanging="381"/>
        <w:spacing w:after="0" w:line="282" w:lineRule="auto"/>
        <w:tabs>
          <w:tab w:leader="none" w:pos="114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including vacancies resulting from an increase in the size of the board, may be filled only by our board of directors and not by our shareholders;</w:t>
      </w:r>
    </w:p>
    <w:p>
      <w:pPr>
        <w:spacing w:after="0" w:line="53" w:lineRule="exact"/>
        <w:rPr>
          <w:rFonts w:ascii="Times New Roman" w:cs="Times New Roman" w:eastAsia="Times New Roman" w:hAnsi="Times New Roman"/>
          <w:sz w:val="18"/>
          <w:szCs w:val="18"/>
          <w:color w:val="auto"/>
        </w:rPr>
      </w:pPr>
    </w:p>
    <w:p>
      <w:pPr>
        <w:ind w:left="1147" w:right="520" w:hanging="381"/>
        <w:spacing w:after="0" w:line="282" w:lineRule="auto"/>
        <w:tabs>
          <w:tab w:leader="none" w:pos="114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only for cause, as defined in our Articles of Association, and only by special resolution of our shareholders;</w:t>
      </w:r>
    </w:p>
    <w:p>
      <w:pPr>
        <w:spacing w:after="0" w:line="53" w:lineRule="exact"/>
        <w:rPr>
          <w:rFonts w:ascii="Times New Roman" w:cs="Times New Roman" w:eastAsia="Times New Roman" w:hAnsi="Times New Roman"/>
          <w:sz w:val="18"/>
          <w:szCs w:val="18"/>
          <w:color w:val="auto"/>
        </w:rPr>
      </w:pPr>
    </w:p>
    <w:p>
      <w:pPr>
        <w:ind w:left="1147" w:right="100" w:hanging="381"/>
        <w:spacing w:after="0" w:line="282" w:lineRule="auto"/>
        <w:tabs>
          <w:tab w:leader="none" w:pos="114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advance notice requirements for nominations for election to the board of directors or for proposing matters that can be acted on at shareholder meetings;</w:t>
      </w:r>
    </w:p>
    <w:p>
      <w:pPr>
        <w:spacing w:after="0" w:line="53" w:lineRule="exact"/>
        <w:rPr>
          <w:rFonts w:ascii="Times New Roman" w:cs="Times New Roman" w:eastAsia="Times New Roman" w:hAnsi="Times New Roman"/>
          <w:sz w:val="18"/>
          <w:szCs w:val="18"/>
          <w:color w:val="auto"/>
        </w:rPr>
      </w:pPr>
    </w:p>
    <w:p>
      <w:pPr>
        <w:ind w:left="1147" w:hanging="381"/>
        <w:spacing w:after="0"/>
        <w:tabs>
          <w:tab w:leader="none" w:pos="114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general meeting of shareholders;</w:t>
      </w:r>
    </w:p>
    <w:p>
      <w:pPr>
        <w:spacing w:after="0" w:line="117" w:lineRule="exact"/>
        <w:rPr>
          <w:rFonts w:ascii="Times New Roman" w:cs="Times New Roman" w:eastAsia="Times New Roman" w:hAnsi="Times New Roman"/>
          <w:sz w:val="18"/>
          <w:szCs w:val="18"/>
          <w:color w:val="auto"/>
        </w:rPr>
      </w:pPr>
    </w:p>
    <w:p>
      <w:pPr>
        <w:jc w:val="both"/>
        <w:ind w:left="1147" w:right="80" w:hanging="381"/>
        <w:spacing w:after="0" w:line="266" w:lineRule="auto"/>
        <w:tabs>
          <w:tab w:leader="none" w:pos="114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board of directors to issue preferred shares without shareholder approval, which could be used to institute a “poison pill” that would work to dilute the share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1147" w:hanging="381"/>
        <w:spacing w:after="0"/>
        <w:tabs>
          <w:tab w:leader="none" w:pos="114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special resolution to amend provisions of the Articles of Association.</w:t>
      </w:r>
    </w:p>
    <w:p>
      <w:pPr>
        <w:spacing w:after="0" w:line="117" w:lineRule="exact"/>
        <w:rPr>
          <w:sz w:val="20"/>
          <w:szCs w:val="20"/>
          <w:color w:val="auto"/>
        </w:rPr>
      </w:pPr>
    </w:p>
    <w:p>
      <w:pPr>
        <w:ind w:left="7" w:firstLine="511"/>
        <w:spacing w:after="0" w:line="253" w:lineRule="auto"/>
        <w:rPr>
          <w:sz w:val="20"/>
          <w:szCs w:val="20"/>
          <w:color w:val="auto"/>
        </w:rPr>
      </w:pPr>
      <w:r>
        <w:rPr>
          <w:rFonts w:ascii="Times New Roman" w:cs="Times New Roman" w:eastAsia="Times New Roman" w:hAnsi="Times New Roman"/>
          <w:sz w:val="18"/>
          <w:szCs w:val="18"/>
          <w:color w:val="auto"/>
        </w:rPr>
        <w:t>In addition, the Series B Certificate of Designation relating to the Series B Preferred Shares may delay or prevent a change in control of the Company. At any time while at least 30% of the originally issued Series B Preferred Shares remain issued and outstanding, we may not, without the affirmative vote of the holders of a majority of the then-outstanding Series B Preferred Shares, (a) consummate (i) any Fundamental Transaction (as defined in the Series B Certificate of Designation) or (ii) any merger or consolidation of the Company or other business combination in which the shareholders of the Company immediately before such transaction do not hold at least a simple majority on an as-converted- basis of the share capital of the Company immediately after such transaction, (b) increase the size of the board of directors, (c) adopt, amend or repeal any written delegation of authority policy, corporate authority matrix or similar document, framework or schedule unless such adoption, amendment or repeal has been approved by the unanimous vote of the board of directors or (d) retain or replace the Company’s registered independent accounting firm, independent compensation consultant or corporate counsel. This provision of the Series B Certificate of Designation may make it more difficult for us to enter into any of the aforementioned transactions, even potential change of control transactions that could offer a premium over the market value of the Company to holders of our Ordinary Shares, as it would require the affirmative vote of the holders of a majority of the then-outstanding Series B Preferred Shares.</w:t>
      </w:r>
    </w:p>
    <w:p>
      <w:pPr>
        <w:spacing w:after="0" w:line="296" w:lineRule="exact"/>
        <w:rPr>
          <w:sz w:val="20"/>
          <w:szCs w:val="20"/>
          <w:color w:val="auto"/>
        </w:rPr>
      </w:pPr>
    </w:p>
    <w:p>
      <w:pPr>
        <w:jc w:val="both"/>
        <w:ind w:left="7"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Articles of Association designate the courts of the Cayman Islands as the sole and exclusive forum for certain types of actions and proceedings that may be initiated by our shareholders, which could limit your ability to obtain a favorable judicial forum for disputes with us or our directors, officers or other employees.</w:t>
      </w:r>
    </w:p>
    <w:p>
      <w:pPr>
        <w:spacing w:after="0" w:line="26" w:lineRule="exact"/>
        <w:rPr>
          <w:sz w:val="20"/>
          <w:szCs w:val="20"/>
          <w:color w:val="auto"/>
        </w:rPr>
      </w:pPr>
    </w:p>
    <w:p>
      <w:pPr>
        <w:ind w:left="7" w:right="20" w:firstLine="511"/>
        <w:spacing w:after="0" w:line="269" w:lineRule="auto"/>
        <w:rPr>
          <w:sz w:val="20"/>
          <w:szCs w:val="20"/>
          <w:color w:val="auto"/>
        </w:rPr>
      </w:pPr>
      <w:r>
        <w:rPr>
          <w:rFonts w:ascii="Times New Roman" w:cs="Times New Roman" w:eastAsia="Times New Roman" w:hAnsi="Times New Roman"/>
          <w:sz w:val="17"/>
          <w:szCs w:val="17"/>
          <w:color w:val="auto"/>
        </w:rPr>
        <w:t>Our Articles of Association provide that, unless we consent in writing to the selection of an alternative forum, the courts of the Cayman Islands shall have exclusive jurisdiction over any claim or dispute arising out of or in connection with our Memorandum and Articles of Association or otherwise related in any way to each shareholder’s shareholding in us, including, but not limited to: (i) any derivative action or proceeding brought on behalf of us; (ii) any action asserting a claim of breach of any fiduciary or other duty owed by any of our current or former directors, officers or other employees to us or our shareholders; (iii) any action asserting a claim arising pursuant to any provision of the Companies Act or our Memorandum and Articles of Association; or</w:t>
      </w:r>
    </w:p>
    <w:p>
      <w:pPr>
        <w:spacing w:after="0" w:line="3" w:lineRule="exact"/>
        <w:rPr>
          <w:sz w:val="20"/>
          <w:szCs w:val="20"/>
          <w:color w:val="auto"/>
        </w:rPr>
      </w:pPr>
    </w:p>
    <w:p>
      <w:pPr>
        <w:ind w:left="7" w:hanging="7"/>
        <w:spacing w:after="0" w:line="253" w:lineRule="auto"/>
        <w:tabs>
          <w:tab w:leader="none" w:pos="31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concerning our internal affairs, and that each shareholder irrevocably submits to the exclusive jurisdiction of the courts of the Cayman Islands over all such claims or disputes. The forum selection provision in our Articles of Association does not apply to actions or suits brought to enforce any liability or duty created by the Securities Act, the Exchange Act, or any claim for which the federal district courts of the United States of America are, as a matter of the laws of the United States of America, the sole and exclusive forum for determination of such a claim.</w:t>
      </w:r>
    </w:p>
    <w:p>
      <w:pPr>
        <w:spacing w:after="0" w:line="121" w:lineRule="exact"/>
        <w:rPr>
          <w:sz w:val="20"/>
          <w:szCs w:val="20"/>
          <w:color w:val="auto"/>
        </w:rPr>
      </w:pPr>
    </w:p>
    <w:p>
      <w:pPr>
        <w:ind w:left="7" w:right="80" w:firstLine="511"/>
        <w:spacing w:after="0" w:line="261" w:lineRule="auto"/>
        <w:rPr>
          <w:sz w:val="20"/>
          <w:szCs w:val="20"/>
          <w:color w:val="auto"/>
        </w:rPr>
      </w:pPr>
      <w:r>
        <w:rPr>
          <w:rFonts w:ascii="Times New Roman" w:cs="Times New Roman" w:eastAsia="Times New Roman" w:hAnsi="Times New Roman"/>
          <w:sz w:val="18"/>
          <w:szCs w:val="18"/>
          <w:color w:val="auto"/>
        </w:rPr>
        <w:t>Our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are entitled, without proof of special damages, to the remedies of injunction, specific performance, or other equitable relief for any threatened or actual breach of the selection of the courts of the Cayman Islands as exclusive forum.</w:t>
      </w:r>
    </w:p>
    <w:p>
      <w:pPr>
        <w:spacing w:after="0" w:line="112" w:lineRule="exact"/>
        <w:rPr>
          <w:sz w:val="20"/>
          <w:szCs w:val="20"/>
          <w:color w:val="auto"/>
        </w:rPr>
      </w:pPr>
    </w:p>
    <w:p>
      <w:pPr>
        <w:ind w:left="7" w:right="40" w:firstLine="511"/>
        <w:spacing w:after="0" w:line="255" w:lineRule="auto"/>
        <w:rPr>
          <w:sz w:val="20"/>
          <w:szCs w:val="20"/>
          <w:color w:val="auto"/>
        </w:rPr>
      </w:pPr>
      <w:r>
        <w:rPr>
          <w:rFonts w:ascii="Times New Roman" w:cs="Times New Roman" w:eastAsia="Times New Roman" w:hAnsi="Times New Roman"/>
          <w:sz w:val="18"/>
          <w:szCs w:val="18"/>
          <w:color w:val="auto"/>
        </w:rPr>
        <w:t>This choice of 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memorandum and articles of association or other charter documents has been challenged in legal proceedings. It is possible that a court could find these types of provisions to be inapplicable or unenforceable, and if a court were to find this provision in our Articles of Association to be inapplicable or</w:t>
      </w:r>
    </w:p>
    <w:p>
      <w:pPr>
        <w:spacing w:after="0" w:line="324"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7"/>
          </w:cols>
          <w:pgMar w:left="333" w:top="1291" w:right="338" w:bottom="1440" w:gutter="0" w:footer="0" w:header="0"/>
        </w:sectPr>
      </w:pPr>
    </w:p>
    <w:bookmarkStart w:id="70" w:name="page71"/>
    <w:bookmarkEnd w:id="70"/>
    <w:p>
      <w:pPr>
        <w:ind w:right="40"/>
        <w:spacing w:after="0" w:line="282" w:lineRule="auto"/>
        <w:rPr>
          <w:sz w:val="20"/>
          <w:szCs w:val="20"/>
          <w:color w:val="auto"/>
        </w:rPr>
      </w:pPr>
      <w:r>
        <w:rPr>
          <w:rFonts w:ascii="Times New Roman" w:cs="Times New Roman" w:eastAsia="Times New Roman" w:hAnsi="Times New Roman"/>
          <w:sz w:val="18"/>
          <w:szCs w:val="18"/>
          <w:color w:val="auto"/>
        </w:rPr>
        <w:t>unenforceable in an action, we may incur additional costs associated with resolving the dispute in other jurisdictions, which could have an adverse effect on our business and financial performance.</w:t>
      </w:r>
    </w:p>
    <w:p>
      <w:pPr>
        <w:spacing w:after="0" w:line="11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additional costs and increased demands upon management as a result of complying with the laws and regulations affecting public companies.</w:t>
      </w:r>
    </w:p>
    <w:p>
      <w:pPr>
        <w:spacing w:after="0" w:line="51" w:lineRule="exact"/>
        <w:rPr>
          <w:sz w:val="20"/>
          <w:szCs w:val="20"/>
          <w:color w:val="auto"/>
        </w:rPr>
      </w:pPr>
    </w:p>
    <w:p>
      <w:pPr>
        <w:ind w:right="100" w:firstLine="511"/>
        <w:spacing w:after="0" w:line="255" w:lineRule="auto"/>
        <w:rPr>
          <w:sz w:val="20"/>
          <w:szCs w:val="20"/>
          <w:color w:val="auto"/>
        </w:rPr>
      </w:pPr>
      <w:r>
        <w:rPr>
          <w:rFonts w:ascii="Times New Roman" w:cs="Times New Roman" w:eastAsia="Times New Roman" w:hAnsi="Times New Roman"/>
          <w:sz w:val="18"/>
          <w:szCs w:val="18"/>
          <w:color w:val="auto"/>
        </w:rPr>
        <w:t>We will incur significant legal, accounting and other expenses as a public company, including costs associated with public company reporting obligations under the Exchange Act. Our executive officers and other personnel need to devote substantial time to comply with public company reporting requirements and additional applicable laws and obligations.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spacing w:after="0" w:line="29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lose the scaled disclosure accommodations available to smaller reporting companies beginning in 2027 and may become an accelerated filer or a large accelerated filer as early as December 31, 2027, which will subject us to additional laws and regulations affecting public companies that will increase our costs and the demands on management and could harm our operating results and cash flows.</w:t>
      </w:r>
    </w:p>
    <w:p>
      <w:pPr>
        <w:spacing w:after="0" w:line="67" w:lineRule="exact"/>
        <w:rPr>
          <w:sz w:val="20"/>
          <w:szCs w:val="20"/>
          <w:color w:val="auto"/>
        </w:rPr>
      </w:pPr>
    </w:p>
    <w:p>
      <w:pPr>
        <w:ind w:firstLine="511"/>
        <w:spacing w:after="0" w:line="267" w:lineRule="auto"/>
        <w:rPr>
          <w:sz w:val="20"/>
          <w:szCs w:val="20"/>
          <w:color w:val="auto"/>
        </w:rPr>
      </w:pPr>
      <w:r>
        <w:rPr>
          <w:rFonts w:ascii="Times New Roman" w:cs="Times New Roman" w:eastAsia="Times New Roman" w:hAnsi="Times New Roman"/>
          <w:sz w:val="17"/>
          <w:szCs w:val="17"/>
          <w:color w:val="auto"/>
        </w:rPr>
        <w:t>We are subject to the reporting requirements of the Exchange Act, which require, among other things, that we file with the SEC, annual, quarterly and current reports with respect to our business and financial condition as well as other disclosure and corporate governance requirements. However, as a “smaller reporting company,” as such term is defined in Rule 12b-2 under the Exchange Act, we may take advantage of exemptions from disclosure requirements and reduced disclosure obligations regarding executive compensation in our periodic reports and proxy statements. In addition, as a smaller reporting company eligible for that status under the revenue test, which requires both annual revenue of less than $100.0 million and a public float of less than $700 million, we have not been required to comply with the auditor attestation requirements of Section 404(b) of the Sarbanes-Oxley Act. Based on the market value of our shares held by non-affiliates as of June 30, 2026, we will cease to qualify as a smaller reporting company. Under the SEC’s transition rules, we expect to continue to be permitted to use the scaled disclosure accommodations available to smaller reporting companies through our Annual Report on Form 10-K for the year ending December 31, 2026 (including the Part III information incorporated by reference from our proxy statement for our 2027 annual general meeting) and to remain a non-accelerated filer for our periodic reports due in 2027. Those scaled disclosure accommodations will cease to be available to us beginning with our Quarterly Report on Form 10-Q for the quarter ending March 31, 2027, and we expect that our proxy statement for our 2028 annual general meeting will be required to include full executive compensation disclosure. In addition, if the market value of our shares held by non-affiliates as of June 30, 2027 is $700 million or more, we expect to become a large accelerated filer as of December 31, 2027, and if it is $560 million or more but less than $700 million, we expect to become an accelerated filer as of December 31, 2027. In either case, our Annual Report on Form 10-K for the year ending December 31, 2027 will be required to include an attestation report of our independent registered public accounting firm on our internal control over financial reporting and will be due within 60 days or 75 days, respectively, after year end rather than 90 days.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Ordinary Shares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121" w:lineRule="exact"/>
        <w:rPr>
          <w:sz w:val="20"/>
          <w:szCs w:val="20"/>
          <w:color w:val="auto"/>
        </w:rPr>
      </w:pPr>
    </w:p>
    <w:p>
      <w:pPr>
        <w:ind w:right="120" w:firstLine="511"/>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 over financial reporting. We must perform system and process evaluation and testing of our internal control over financial reporting to allow management to report on the effectiveness of our internal controls over financial reporting in our Annual Report on Form 10-K filing for that year, as required by Section 404 of the Sarbanes-Oxley Act. If we become an accelerated filer or a large accelerated filer as of December 31, 2027, we expect that, beginning with our Annual Report on Form 10-K for the year ending December 31, 2027, our independent registered public accounting firm will also be required to attest to the effectiveness of our internal control over financial reporting under Section 404(b) of the Sarbanes-Oxley Act.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91" w:right="318" w:bottom="1440" w:gutter="0" w:footer="0" w:header="0"/>
        </w:sectPr>
      </w:pPr>
    </w:p>
    <w:bookmarkStart w:id="71" w:name="page72"/>
    <w:bookmarkEnd w:id="71"/>
    <w:p>
      <w:pPr>
        <w:ind w:right="80" w:firstLine="511"/>
        <w:spacing w:after="0" w:line="258" w:lineRule="auto"/>
        <w:rPr>
          <w:sz w:val="20"/>
          <w:szCs w:val="20"/>
          <w:color w:val="auto"/>
        </w:rPr>
      </w:pPr>
      <w:r>
        <w:rPr>
          <w:rFonts w:ascii="Times New Roman" w:cs="Times New Roman" w:eastAsia="Times New Roman" w:hAnsi="Times New Roman"/>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3" w:lineRule="exact"/>
        <w:rPr>
          <w:sz w:val="20"/>
          <w:szCs w:val="20"/>
          <w:color w:val="auto"/>
        </w:rPr>
      </w:pPr>
    </w:p>
    <w:p>
      <w:pPr>
        <w:jc w:val="both"/>
        <w:ind w:right="240" w:firstLine="511"/>
        <w:spacing w:after="0" w:line="266"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Ordinary Shares could decline and we could be subject to sanctions or investigations by Nasdaq, the SEC or other regulatory authorities.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121" w:lineRule="exact"/>
        <w:rPr>
          <w:sz w:val="20"/>
          <w:szCs w:val="20"/>
          <w:color w:val="auto"/>
        </w:rPr>
      </w:pPr>
    </w:p>
    <w:p>
      <w:pPr>
        <w:ind w:right="340" w:firstLine="511"/>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the growth of our business as opposed to paying dividends. As a result, capital appreciation, if any, of our Ordinary Shares will be the sole source of gain, if any, for our shareholders for the foreseeable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shareholders could cause our stock price to decline.</w:t>
      </w:r>
    </w:p>
    <w:p>
      <w:pPr>
        <w:spacing w:after="0" w:line="121" w:lineRule="exact"/>
        <w:rPr>
          <w:sz w:val="20"/>
          <w:szCs w:val="20"/>
          <w:color w:val="auto"/>
        </w:rPr>
      </w:pPr>
    </w:p>
    <w:p>
      <w:pPr>
        <w:ind w:right="40" w:firstLine="511"/>
        <w:spacing w:after="0" w:line="261" w:lineRule="auto"/>
        <w:rPr>
          <w:sz w:val="20"/>
          <w:szCs w:val="20"/>
          <w:color w:val="auto"/>
        </w:rPr>
      </w:pPr>
      <w:r>
        <w:rPr>
          <w:rFonts w:ascii="Times New Roman" w:cs="Times New Roman" w:eastAsia="Times New Roman" w:hAnsi="Times New Roman"/>
          <w:sz w:val="18"/>
          <w:szCs w:val="18"/>
          <w:color w:val="auto"/>
        </w:rPr>
        <w:t>If existing securityholders sell, or indicate an intention to sell, substantial amounts of our Ordinary Shares in the public market after legal restrictions on resale in connection with the Asset Acquisition lapse, the trading price of our Ordinary Shares could decline. In addition, Ordinary Shares that are subject to outstanding options will become eligible for sale in the public market to the extent permitted by the provisions of various vesting agreements and Rules 144 and 701 under the Securities Act. If these shares are sold, the trading price of our Ordinary Shares could decline.</w:t>
      </w:r>
    </w:p>
    <w:p>
      <w:pPr>
        <w:spacing w:after="0" w:line="284"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shareholders have the ability to control or significantly influence all matters submitted to our shareholders for approval.</w:t>
      </w:r>
    </w:p>
    <w:p>
      <w:pPr>
        <w:spacing w:after="0" w:line="51" w:lineRule="exact"/>
        <w:rPr>
          <w:sz w:val="20"/>
          <w:szCs w:val="20"/>
          <w:color w:val="auto"/>
        </w:rPr>
      </w:pPr>
    </w:p>
    <w:p>
      <w:pPr>
        <w:ind w:right="80" w:firstLine="511"/>
        <w:spacing w:after="0" w:line="256" w:lineRule="auto"/>
        <w:rPr>
          <w:sz w:val="20"/>
          <w:szCs w:val="20"/>
          <w:color w:val="auto"/>
        </w:rPr>
      </w:pPr>
      <w:r>
        <w:rPr>
          <w:rFonts w:ascii="Times New Roman" w:cs="Times New Roman" w:eastAsia="Times New Roman" w:hAnsi="Times New Roman"/>
          <w:sz w:val="18"/>
          <w:szCs w:val="18"/>
          <w:color w:val="auto"/>
        </w:rPr>
        <w:t>Our executive officers, directors and principal shareholders, in the aggregate, beneficially own a significant portion of our outstanding Ordinary Shares (on a fully-diluted basis), subject to beneficial ownership limitations. As a result, if these shareholders were to choose to act together, they would be able to control or significantly influence all matters submitted to our shareholders for approval, as well as our management and affairs. For example, these shareholders, if they choose to act together, would control or significantly influence the election of directors and approval of any merger, consolidation or sale of all or substantially all of our assets. This concentration of voting power could delay or prevent an acquisition of us on terms that other shareholders may desire.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may arise between us and Paragon or us and Fairmount.</w:t>
      </w:r>
    </w:p>
    <w:p>
      <w:pPr>
        <w:spacing w:after="0" w:line="121" w:lineRule="exact"/>
        <w:rPr>
          <w:sz w:val="20"/>
          <w:szCs w:val="20"/>
          <w:color w:val="auto"/>
        </w:rPr>
      </w:pPr>
    </w:p>
    <w:p>
      <w:pPr>
        <w:ind w:right="40" w:firstLine="511"/>
        <w:spacing w:after="0" w:line="254" w:lineRule="auto"/>
        <w:rPr>
          <w:sz w:val="20"/>
          <w:szCs w:val="20"/>
          <w:color w:val="auto"/>
        </w:rPr>
      </w:pPr>
      <w:r>
        <w:rPr>
          <w:rFonts w:ascii="Times New Roman" w:cs="Times New Roman" w:eastAsia="Times New Roman" w:hAnsi="Times New Roman"/>
          <w:sz w:val="18"/>
          <w:szCs w:val="18"/>
          <w:color w:val="auto"/>
        </w:rPr>
        <w:t>In connection with the Asset Acquisition, we assumed the rights and obligations of Pre-Acquisition Damora under the Paragon Option Agreement. See the section titled “Paragon Option Agreement” for more information on the Paragon Option Agreement. Fairmount beneficially owns more than 5% of Paragon, appointed Paragon’s board of directors, and has the contractual right to approve the appointment of any executive officers of Paragon. Paramora is an entity formed by Paragon as a vehicle to hold equity in Pre-Acquisition Damora (and as a result of the Asset Acquisition, us) in order to share profits with certain employees of Paragon. Fairmount beneficially owns 19.99% of our Ordinary Shares assuming conversion of the Series B Preferred Shares and Series C Preferred Shares into Ordinary Shares (in each case, subject to beneficial ownership limitations). Three of our directors are affiliated with Fairmount (Peter Harwin, Christopher Cain, Ph.D., and Julianne Bruno) and were appointed in accordance with the Agreement and Plan of Merger relating to the Asset Acquisition. The remaining four members of the board of directors are not affiliated with Fairmount or Paragon.</w:t>
      </w:r>
    </w:p>
    <w:p>
      <w:pPr>
        <w:spacing w:after="0" w:line="192"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8"/>
          <w:szCs w:val="18"/>
          <w:color w:val="auto"/>
        </w:rPr>
        <w:t>Our relationship with Paragon, Paramora, Fairmount and our non-employee directors may create, or may create the appearance of, conflicts of interest when we are faced with decisions that could have different implications for Paragon or Paramora than the decisions have for us. For example, such conflicts may arise in connection with the selection of additional targets, the exercise of options under the Paragon Option Agreement, the negotiation of the terms of any future license agreements, the allocation of resources and expenses, the enforcement or defense of intellectual property rights, the pursuit of strategic partnerships or transactions, or the resolution of any disputes that may arise between us and Paragon or Paramora. The Paragon License Agreement was approved by the board of directors, and we expect that any decision to amend the Paragon Option Agreement or the Paragon License Agreement or to enter into any similar agreements or license agreements with Paragon will be subject to the approval of the board of directors. All directors owe fiduciary duties pursuant to Cayman Islands law, and directors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399" w:right="318" w:bottom="1440" w:gutter="0" w:footer="0" w:header="0"/>
        </w:sectPr>
      </w:pPr>
    </w:p>
    <w:bookmarkStart w:id="72" w:name="page73"/>
    <w:bookmarkEnd w:id="72"/>
    <w:p>
      <w:pPr>
        <w:spacing w:after="0" w:line="266" w:lineRule="auto"/>
        <w:rPr>
          <w:sz w:val="20"/>
          <w:szCs w:val="20"/>
          <w:color w:val="auto"/>
        </w:rPr>
      </w:pPr>
      <w:r>
        <w:rPr>
          <w:rFonts w:ascii="Times New Roman" w:cs="Times New Roman" w:eastAsia="Times New Roman" w:hAnsi="Times New Roman"/>
          <w:sz w:val="18"/>
          <w:szCs w:val="18"/>
          <w:color w:val="auto"/>
        </w:rPr>
        <w:t>are expected to comply with their respective fiduciary duties under Cayman Islands law relevant to related party transactions. We have previously adopted a related party transaction approval policy and our audit committee will be responsible for the review, consideration and approval or ratification of related party transactions.</w:t>
      </w:r>
    </w:p>
    <w:p>
      <w:pPr>
        <w:spacing w:after="0" w:line="176" w:lineRule="exact"/>
        <w:rPr>
          <w:sz w:val="20"/>
          <w:szCs w:val="20"/>
          <w:color w:val="auto"/>
        </w:rPr>
      </w:pPr>
    </w:p>
    <w:p>
      <w:pPr>
        <w:ind w:right="100" w:firstLine="511"/>
        <w:spacing w:after="0" w:line="261" w:lineRule="auto"/>
        <w:rPr>
          <w:sz w:val="20"/>
          <w:szCs w:val="20"/>
          <w:color w:val="auto"/>
        </w:rPr>
      </w:pPr>
      <w:r>
        <w:rPr>
          <w:rFonts w:ascii="Times New Roman" w:cs="Times New Roman" w:eastAsia="Times New Roman" w:hAnsi="Times New Roman"/>
          <w:sz w:val="18"/>
          <w:szCs w:val="18"/>
          <w:color w:val="auto"/>
        </w:rPr>
        <w:t>Furthermore, because Paragon and Fairmount have interests in other biotechnology companies that may compete with us or pursue similar or complementary product candidates or technologies, they may have an incentive to favor or support such other companies over us. These potential conflicts of interest may make it more difficult for us to favorably advance our business interests and may adversely affect our competitive position, business, financial condition, results of operations and prospects.</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then our stock price and trading volume could decline.</w:t>
      </w:r>
    </w:p>
    <w:p>
      <w:pPr>
        <w:spacing w:after="0" w:line="51" w:lineRule="exact"/>
        <w:rPr>
          <w:sz w:val="20"/>
          <w:szCs w:val="20"/>
          <w:color w:val="auto"/>
        </w:rPr>
      </w:pPr>
    </w:p>
    <w:p>
      <w:pPr>
        <w:ind w:right="40" w:firstLine="511"/>
        <w:spacing w:after="0" w:line="256" w:lineRule="auto"/>
        <w:rPr>
          <w:sz w:val="20"/>
          <w:szCs w:val="20"/>
          <w:color w:val="auto"/>
        </w:rPr>
      </w:pPr>
      <w:r>
        <w:rPr>
          <w:rFonts w:ascii="Times New Roman" w:cs="Times New Roman" w:eastAsia="Times New Roman" w:hAnsi="Times New Roman"/>
          <w:sz w:val="18"/>
          <w:szCs w:val="18"/>
          <w:color w:val="auto"/>
        </w:rPr>
        <w:t>The trading market for our Ordinary Shares is influenced by the research and reports that equity research analysts publish about us and our business. Equity research analysts may elect to not provide research coverage of our Ordinary Shares, and such lack of research coverage may adversely affect the market price of our Ordinary Shares. In addition, we do not have any control over the analysts or the content and opinions included in their reports. The price of our Ordinary Shares could decline if one or more equity research analysts downgrade our stock or issue other unfavorable commentary or research. If one or more equity research analysts cease coverage of us or fail to publish reports on us regularly, demand for our Ordinary Shares could decrease, which in turn could cause our stock price or trading volume to decline.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(“NOL”) carryforwards and other tax attributes may be limited, including as a result of the Asset Acquisition.</w:t>
      </w:r>
    </w:p>
    <w:p>
      <w:pPr>
        <w:spacing w:after="0" w:line="121" w:lineRule="exact"/>
        <w:rPr>
          <w:sz w:val="20"/>
          <w:szCs w:val="20"/>
          <w:color w:val="auto"/>
        </w:rPr>
      </w:pPr>
    </w:p>
    <w:p>
      <w:pPr>
        <w:ind w:right="20" w:firstLine="511"/>
        <w:spacing w:after="0" w:line="253" w:lineRule="auto"/>
        <w:rPr>
          <w:sz w:val="20"/>
          <w:szCs w:val="20"/>
          <w:color w:val="auto"/>
        </w:rPr>
      </w:pPr>
      <w:r>
        <w:rPr>
          <w:rFonts w:ascii="Times New Roman" w:cs="Times New Roman" w:eastAsia="Times New Roman" w:hAnsi="Times New Roman"/>
          <w:sz w:val="18"/>
          <w:szCs w:val="18"/>
          <w:color w:val="auto"/>
        </w:rPr>
        <w:t>We do not expect to become profitable in the near future and may never achieve profitability. As of December 31, 2025, we had federal and state NOL carryforwards and federal and state research and development credits that may be used to offset future taxable income. Under current law, our U.S. federal NOLs incurred in tax years beginning after December 31, 2017 may be carried forward indefinitely, but the deductibility of such net operating loss carryforwards is limited to 80% of taxable income. It is uncertain if and to what extent various states will conform to federal law. In addition, under Sections 382 and 383 of the Internal Revenue Code (the “Code”), U.S. federal NOL carryforwards and other tax attributes may become subject to an annual limitation in the event of certain cumulative changes in ownership. An “ownership change” pursuant to Section 382 of the Code generally occurs if one or more shareholders or groups of shareholders who own at least 5% of a company’s stock increase their ownership by more than 50 percentage points over their lowest ownership percentage within a rolling three-year period. Our ability to utilize our net operating loss carryforwards and other tax attributes to offset future taxable income or tax liabilities may be limited as a result of ownership changes, including, as discussed above, in connection with the Asset Acquisition or other transactions. Similar rules may apply under state tax laws. If we earn taxable income, such limitations could result in increased future income tax liability to us, and our future cash flows could be adversely affected.</w:t>
      </w:r>
    </w:p>
    <w:p>
      <w:pPr>
        <w:spacing w:after="0" w:line="29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class structure of our share capital may limit your ability to influence corporate matters and may limit your visibility with respect to certain transactions.</w:t>
      </w:r>
    </w:p>
    <w:p>
      <w:pPr>
        <w:spacing w:after="0" w:line="51" w:lineRule="exact"/>
        <w:rPr>
          <w:sz w:val="20"/>
          <w:szCs w:val="20"/>
          <w:color w:val="auto"/>
        </w:rPr>
      </w:pPr>
    </w:p>
    <w:p>
      <w:pPr>
        <w:ind w:right="20" w:firstLine="511"/>
        <w:spacing w:after="0" w:line="254" w:lineRule="auto"/>
        <w:rPr>
          <w:sz w:val="20"/>
          <w:szCs w:val="20"/>
          <w:color w:val="auto"/>
        </w:rPr>
      </w:pPr>
      <w:r>
        <w:rPr>
          <w:rFonts w:ascii="Times New Roman" w:cs="Times New Roman" w:eastAsia="Times New Roman" w:hAnsi="Times New Roman"/>
          <w:sz w:val="18"/>
          <w:szCs w:val="18"/>
          <w:color w:val="auto"/>
        </w:rPr>
        <w:t>The class structure of our share capital may limit your ability to influence corporate matters. Holders of Ordinary Shares are entitled to one vote per share, while holders of the Series B Preferred Shares and Series C Preferred Shares are not entitled to any votes. Nonetheless, each Series B Preferred Share and Series C Preferred Share may be converted at any time into 1,000 Ordinary Shares at the option of the holder by providing written notice to us, subject to beneficial ownership limitations and the limitations provided for in our Cayman Islands memorandum and articles of association and the related certificates of designation. Consequently, if holders of our Series B Preferred Shares and Series C Preferred Shares exercise their option to make this conversion, this will have the effect of increasing the relative voting power of those prior holders of Series B Preferred Shares and Series C Preferred Shares, respectively, and correspondingly decreasing the voting power of the holders of Ordinary Shares, which may limit your ability to influence corporate matters.</w:t>
      </w:r>
    </w:p>
    <w:p>
      <w:pPr>
        <w:spacing w:after="0" w:line="192" w:lineRule="exact"/>
        <w:rPr>
          <w:sz w:val="20"/>
          <w:szCs w:val="20"/>
          <w:color w:val="auto"/>
        </w:rPr>
      </w:pPr>
    </w:p>
    <w:p>
      <w:pPr>
        <w:ind w:right="40" w:firstLine="511"/>
        <w:spacing w:after="0" w:line="255" w:lineRule="auto"/>
        <w:rPr>
          <w:sz w:val="20"/>
          <w:szCs w:val="20"/>
          <w:color w:val="auto"/>
        </w:rPr>
      </w:pPr>
      <w:r>
        <w:rPr>
          <w:rFonts w:ascii="Times New Roman" w:cs="Times New Roman" w:eastAsia="Times New Roman" w:hAnsi="Times New Roman"/>
          <w:sz w:val="18"/>
          <w:szCs w:val="18"/>
          <w:color w:val="auto"/>
        </w:rPr>
        <w:t>Although Series B Preferred Shares do not have voting rights on proposals presented to our holders of Ordinary Shares, at any time while at least 30% of the originally issued Series B Preferred Shares remain issued and outstanding, we will not, without the affirmative vote of the holders of a majority of the then outstanding Series B Preferred Shares, (i) consummate (x) any Fundamental Transaction (as defined in the Series B Certificate of Designation) or (y) any merger or consolidation of the Company with or into another entity or any stock sale to, or other business combination in which our shareholders immediately before such transaction do not hold at least a majority of our share capital immediately after such transaction, (ii) increase the size of the board of directors, (iii) adopt, amend or repeal any written delegation of authority policy, corporate authority matrix or similar document, framework or schedule unless such adoption, amendment or repeal has been approved by the unanimous vote 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399" w:right="338" w:bottom="1440" w:gutter="0" w:footer="0" w:header="0"/>
        </w:sectPr>
      </w:pPr>
    </w:p>
    <w:bookmarkStart w:id="73" w:name="page74"/>
    <w:bookmarkEnd w:id="73"/>
    <w:p>
      <w:pPr>
        <w:ind w:right="600"/>
        <w:spacing w:after="0" w:line="282" w:lineRule="auto"/>
        <w:rPr>
          <w:sz w:val="20"/>
          <w:szCs w:val="20"/>
          <w:color w:val="auto"/>
        </w:rPr>
      </w:pPr>
      <w:r>
        <w:rPr>
          <w:rFonts w:ascii="Times New Roman" w:cs="Times New Roman" w:eastAsia="Times New Roman" w:hAnsi="Times New Roman"/>
          <w:sz w:val="18"/>
          <w:szCs w:val="18"/>
          <w:color w:val="auto"/>
        </w:rPr>
        <w:t>the board of directors, or (iv) retain or replace our registered independent public accounting firm, independent compensation consultant or corporate counsel.</w:t>
      </w:r>
    </w:p>
    <w:p>
      <w:pPr>
        <w:spacing w:after="0" w:line="162" w:lineRule="exact"/>
        <w:rPr>
          <w:sz w:val="20"/>
          <w:szCs w:val="20"/>
          <w:color w:val="auto"/>
        </w:rPr>
      </w:pPr>
    </w:p>
    <w:p>
      <w:pPr>
        <w:ind w:right="20" w:firstLine="511"/>
        <w:spacing w:after="0" w:line="261" w:lineRule="auto"/>
        <w:rPr>
          <w:sz w:val="20"/>
          <w:szCs w:val="20"/>
          <w:color w:val="auto"/>
        </w:rPr>
      </w:pPr>
      <w:r>
        <w:rPr>
          <w:rFonts w:ascii="Times New Roman" w:cs="Times New Roman" w:eastAsia="Times New Roman" w:hAnsi="Times New Roman"/>
          <w:sz w:val="18"/>
          <w:szCs w:val="18"/>
          <w:color w:val="auto"/>
        </w:rPr>
        <w:t>Additionally, shareholders who hold, in the aggregate, more than 10% of our Ordinary Shares, Series B Preferred Shares and Series C Preferred Shares outstanding, but beneficially own 10% or less of Ordinary Shares, and are not otherwise an insider, may not be required to report changes in their ownership due to transactions in the Series B Preferred Shares and Series C Preferred Shares pursuant to Section 16(a) of the Exchange Act, and may not be subject to the short-swing profit provisions of Section 16(b) of the Exchange 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when testing a product candidate in the clinical stage or at the commercial stage, and our product liability insurance may not cover all damages from such claims.</w:t>
      </w:r>
    </w:p>
    <w:p>
      <w:pPr>
        <w:spacing w:after="0" w:line="51" w:lineRule="exact"/>
        <w:rPr>
          <w:sz w:val="20"/>
          <w:szCs w:val="20"/>
          <w:color w:val="auto"/>
        </w:rPr>
      </w:pPr>
    </w:p>
    <w:p>
      <w:pPr>
        <w:ind w:right="20" w:firstLine="511"/>
        <w:spacing w:after="0" w:line="253"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While we currently have no products that have been dosed in humans or approved for commercial sale, the use of our product candidates in clinical trials, and the sale of any approved products in the future, may expose us to liability claims. These claims may be made by patients that use the product or product candidate,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maintain clinical trial liability insurance for our Phase 1/1b clinical trial of DMR-001 and intend to obtain product liability insurance for our future clinical trials and potential commercialization of our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costs and the outcome of litigation could have a material adverse effect on our business.</w:t>
      </w:r>
    </w:p>
    <w:p>
      <w:pPr>
        <w:spacing w:after="0" w:line="121" w:lineRule="exact"/>
        <w:rPr>
          <w:sz w:val="20"/>
          <w:szCs w:val="20"/>
          <w:color w:val="auto"/>
        </w:rPr>
      </w:pPr>
    </w:p>
    <w:p>
      <w:pPr>
        <w:ind w:firstLine="511"/>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litigation claims through the ordinary course of our business operations regarding, but not limited to, securities litigation, employment matters, security of patient and employee personal information, contractual relations with collaborators and licensors and intellectual property rights. Litigation to defend ourselves against claims by third parties, or to enforce any rights that we may have against third parties, could result in substantial costs and diversion of our resources, causing a material adverse effect on our business, financial condition, results of operations or cash flows.</w:t>
      </w:r>
    </w:p>
    <w:p>
      <w:pPr>
        <w:spacing w:after="0" w:line="287"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economic downturns, inflation, fluctuating interest rates, natural disasters, public health crises, political crises, geopolitical events, or other macroeconomic conditions, which could have a material and adverse effect on our results of operations and financial condition.</w:t>
      </w:r>
    </w:p>
    <w:p>
      <w:pPr>
        <w:spacing w:after="0" w:line="67" w:lineRule="exact"/>
        <w:rPr>
          <w:sz w:val="20"/>
          <w:szCs w:val="20"/>
          <w:color w:val="auto"/>
        </w:rPr>
      </w:pPr>
    </w:p>
    <w:p>
      <w:pPr>
        <w:ind w:firstLine="511"/>
        <w:spacing w:after="0" w:line="252"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among other things, diminished liquidity and credit availability, declines in consumer confidence, declines in economic growth, supply chain shortages, increases in inflation rates, fluctuating interest rates, and uncertainty about economic stability. Adverse macroeconomic conditions, including inflation, slower growth or recession, new or increased tariffs imposed by the U.S. government and potential retaliatory measures by foreign governments and other barriers to trade, especially in light of recent comments and executive orders made by the Trump administration, changes to fiscal and monetary policy or government budget dynamics (particularly in the pharmaceutical and biotech areas), government shutdowns, tighter credit, higher interest rates, volatility in financial markets, high unemployment, labor availability constraints, currency fluctuations and other challenges in the global economy have in the past adversely affected, and may in the future adversely affect, us and our business partners and suppliers. For example, the COVID-19 pandemic resulted in widespread unemployment, economic slowdown and extreme volatility in the capital markets. In addition, the U.S. has imposed and taken action to pause, resume or adjust tariffs on imports from a number of countries. Since February 2025, the United States government has imposed various tariffs on imports from most countries, including tariffs on imports from China and South Korea. In April 2026, the U.S. Administration issued a proclamation under Section 232 of the Trade Expansion Act of 1962 imposing tariffs of up to 100% on imports of patented pharmaceuticals and associated pharmaceutical ingredients listed in an annex to the proclamation, which took effect on July 31, 2026 for certain large pharmaceutical companies and on September 29, 2026 for all other importers, subject to reduced rates for certain trading partners, exemptions for manufacturers that have entered into MFN pricing agreements with the Administration and are investing in U.S. manufacturing, and exemptions for certain categories of products, including orphan drugs. Although the U.S. Department of Commerce has established a zero tariff rate for covered products imported solely for use in clinical trials, research and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399" w:right="318" w:bottom="1440" w:gutter="0" w:footer="0" w:header="0"/>
        </w:sectPr>
      </w:pPr>
    </w:p>
    <w:bookmarkStart w:id="74" w:name="page75"/>
    <w:bookmarkEnd w:id="74"/>
    <w:p>
      <w:pPr>
        <w:spacing w:after="0" w:line="253" w:lineRule="auto"/>
        <w:rPr>
          <w:sz w:val="20"/>
          <w:szCs w:val="20"/>
          <w:color w:val="auto"/>
        </w:rPr>
      </w:pPr>
      <w:r>
        <w:rPr>
          <w:rFonts w:ascii="Times New Roman" w:cs="Times New Roman" w:eastAsia="Times New Roman" w:hAnsi="Times New Roman"/>
          <w:sz w:val="18"/>
          <w:szCs w:val="18"/>
          <w:color w:val="auto"/>
        </w:rPr>
        <w:t>development or other non-commercial purposes, the scope and duration of this exemption could change, and these or future tariffs could increase the costs of materials for our clinical trials and, if any of our product candidates is approved, the cost of our commercial supply. There still remains substantial uncertainty about the duration of existing tariffs and whether additional tariffs may be imposed, modified or suspended. Historically, tariffs have led to increased trade and political tensions. In response to tariffs, other countries have implemented retaliatory tariffs on U.S. goods. Uncertainty and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 Federal Reserve has raised interest rates multiple times in recent years in response to concerns about inflation and it may raise them again. High interest rates, coupled with reduced government spending and volatility in financial markets, may increase economic uncertainty and affect consumer spending. Similarly, the ongoing military conflict between Russia and Ukraine and in the Middle East and rising tensions with China have created extreme volatility in the global capital markets and may have further global economic consequences, including disruptions of the global supply chain. Any such volatility and disruptions may adversely affect our business or the third parties on whom we rely. If the equity and credit markets deteriorate, including as a result of political unrest or war, it may make any necessary debt or equity financing more costly, more dilutive, or more difficult to obtain in a timely manner or on favorable terms, if at all. Increased inflation rates can adversely affect us by increasing our costs, including labor and employee benefit costs.</w:t>
      </w:r>
    </w:p>
    <w:p>
      <w:pPr>
        <w:spacing w:after="0" w:line="187" w:lineRule="exact"/>
        <w:rPr>
          <w:sz w:val="20"/>
          <w:szCs w:val="20"/>
          <w:color w:val="auto"/>
        </w:rPr>
      </w:pPr>
    </w:p>
    <w:p>
      <w:pPr>
        <w:jc w:val="both"/>
        <w:ind w:right="40" w:firstLine="511"/>
        <w:spacing w:after="0" w:line="266" w:lineRule="auto"/>
        <w:rPr>
          <w:sz w:val="20"/>
          <w:szCs w:val="20"/>
          <w:color w:val="auto"/>
        </w:rPr>
      </w:pPr>
      <w:r>
        <w:rPr>
          <w:rFonts w:ascii="Times New Roman" w:cs="Times New Roman" w:eastAsia="Times New Roman" w:hAnsi="Times New Roman"/>
          <w:sz w:val="18"/>
          <w:szCs w:val="18"/>
          <w:color w:val="auto"/>
        </w:rPr>
        <w:t>We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9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100" w:firstLine="511"/>
        <w:spacing w:after="0" w:line="261" w:lineRule="auto"/>
        <w:rPr>
          <w:sz w:val="20"/>
          <w:szCs w:val="20"/>
          <w:color w:val="auto"/>
        </w:rPr>
      </w:pPr>
      <w:r>
        <w:rPr>
          <w:rFonts w:ascii="Times New Roman" w:cs="Times New Roman" w:eastAsia="Times New Roman" w:hAnsi="Times New Roman"/>
          <w:sz w:val="18"/>
          <w:szCs w:val="18"/>
          <w:color w:val="auto"/>
        </w:rPr>
        <w:t>On November 3, 2026, we entered into the Paragon License Agreement, following our exercise of our options under the Paragon Option Agreement with respect to DMR-001 and DMR-002, pursuant to which Paragon granted us an exclusive, worldwide, royalty-bearing license in the Field, as defined in the Paragon License Agreement, to develop, manufacture, commercialize or otherwise exploit certain antibodies and products targeting mutCALR under two Research Programs, DMR-001 and DMR-002. We consider Paragon to be a related party.</w:t>
      </w:r>
    </w:p>
    <w:p>
      <w:pPr>
        <w:spacing w:after="0" w:line="180" w:lineRule="exact"/>
        <w:rPr>
          <w:sz w:val="20"/>
          <w:szCs w:val="20"/>
          <w:color w:val="auto"/>
        </w:rPr>
      </w:pPr>
    </w:p>
    <w:p>
      <w:pPr>
        <w:ind w:firstLine="511"/>
        <w:spacing w:after="0" w:line="258" w:lineRule="auto"/>
        <w:rPr>
          <w:sz w:val="20"/>
          <w:szCs w:val="20"/>
          <w:color w:val="auto"/>
        </w:rPr>
      </w:pPr>
      <w:r>
        <w:rPr>
          <w:rFonts w:ascii="Times New Roman" w:cs="Times New Roman" w:eastAsia="Times New Roman" w:hAnsi="Times New Roman"/>
          <w:sz w:val="18"/>
          <w:szCs w:val="18"/>
          <w:color w:val="auto"/>
        </w:rPr>
        <w:t>Under the terms of the Paragon License Agreement, we are obligated to pay Paragon, on a product-by-product basis, up to $22.0 million in aggregate development, regulatory and clinical milestone payments for each licensed product, inclusive of milestone payments we have previously made to Paragon under the Paragon Option Agreement. We have paid Paragon development candidate milestone payments of $1.5 million with respect to each of DMR-001 and DMR-002. We are obligated to make a milestone payment of $2.5 million upon the first dosing of a human in a Phase 1 trial of a licensed product. In addition, the following summarizes other key terms of the Paragon License Agreement:</w:t>
      </w:r>
    </w:p>
    <w:p>
      <w:pPr>
        <w:spacing w:after="0" w:line="183" w:lineRule="exact"/>
        <w:rPr>
          <w:sz w:val="20"/>
          <w:szCs w:val="20"/>
          <w:color w:val="auto"/>
        </w:rPr>
      </w:pPr>
    </w:p>
    <w:p>
      <w:pPr>
        <w:ind w:left="740" w:hanging="371"/>
        <w:spacing w:after="0" w:line="261" w:lineRule="auto"/>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Paragon has granted us an exclusive license in the Field to its patents and other technology covering the related antibodies, their method of use and their method of manufacture, and a non-exclusive license to develop and commercialize multispecific antibodies incorporating the licensed antibodies. We also received a non-exclusive license under certain other Paragon patents that expressly recite the sequence of a licensed antibody. The Field includes the prophylaxis, palliation, treatment and diagnosis of all human diseases and disorders.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91" w:right="318" w:bottom="1440" w:gutter="0" w:footer="0" w:header="0"/>
        </w:sectPr>
      </w:pPr>
    </w:p>
    <w:bookmarkStart w:id="75" w:name="page76"/>
    <w:bookmarkEnd w:id="75"/>
    <w:p>
      <w:pPr>
        <w:ind w:left="740" w:right="160" w:hanging="371"/>
        <w:spacing w:after="0" w:line="266" w:lineRule="auto"/>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Paragon will not develop, commercialize or license to third parties any mutCALR monospecific antibodies in the Field for five years, subject to certain exceptions, including activities under the Paragon Option Agreement and programs acquired by Paragon or held by an acquirer of Paragon.</w:t>
      </w:r>
    </w:p>
    <w:p>
      <w:pPr>
        <w:spacing w:after="0" w:line="67" w:lineRule="exact"/>
        <w:rPr>
          <w:rFonts w:ascii="Times New Roman" w:cs="Times New Roman" w:eastAsia="Times New Roman" w:hAnsi="Times New Roman"/>
          <w:sz w:val="18"/>
          <w:szCs w:val="18"/>
          <w:color w:val="auto"/>
        </w:rPr>
      </w:pPr>
    </w:p>
    <w:p>
      <w:pPr>
        <w:ind w:left="740" w:hanging="371"/>
        <w:spacing w:after="0"/>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Paragon tiered royalties ranging from low to mid single-digit percentages on net sales of monospecific antibody products.</w:t>
      </w:r>
    </w:p>
    <w:p>
      <w:pPr>
        <w:spacing w:after="0" w:line="117" w:lineRule="exact"/>
        <w:rPr>
          <w:rFonts w:ascii="Times New Roman" w:cs="Times New Roman" w:eastAsia="Times New Roman" w:hAnsi="Times New Roman"/>
          <w:sz w:val="18"/>
          <w:szCs w:val="18"/>
          <w:color w:val="auto"/>
        </w:rPr>
      </w:pPr>
    </w:p>
    <w:p>
      <w:pPr>
        <w:ind w:left="740" w:right="440" w:hanging="371"/>
        <w:spacing w:after="0" w:line="282" w:lineRule="auto"/>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royalty step-down if there is no valid claim of a licensed Paragon patent covering the product in the applicable country during the royalty term.</w:t>
      </w:r>
    </w:p>
    <w:p>
      <w:pPr>
        <w:spacing w:after="0" w:line="53" w:lineRule="exact"/>
        <w:rPr>
          <w:rFonts w:ascii="Times New Roman" w:cs="Times New Roman" w:eastAsia="Times New Roman" w:hAnsi="Times New Roman"/>
          <w:sz w:val="18"/>
          <w:szCs w:val="18"/>
          <w:color w:val="auto"/>
        </w:rPr>
      </w:pPr>
    </w:p>
    <w:p>
      <w:pPr>
        <w:ind w:left="740" w:hanging="371"/>
        <w:spacing w:after="0" w:line="266" w:lineRule="auto"/>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royalty term ends, on a product-by-product and country-by-country basis, on the later of (i) the expiration of the last-to-expire valid claim of a licensed patent or our patent directed to the manufacture, use or sale of a licensed product in the country at issue or (ii) 12 years from the date of first commercial sale of such product in such country.</w:t>
      </w:r>
    </w:p>
    <w:p>
      <w:pPr>
        <w:spacing w:after="0" w:line="67" w:lineRule="exact"/>
        <w:rPr>
          <w:rFonts w:ascii="Times New Roman" w:cs="Times New Roman" w:eastAsia="Times New Roman" w:hAnsi="Times New Roman"/>
          <w:sz w:val="18"/>
          <w:szCs w:val="18"/>
          <w:color w:val="auto"/>
        </w:rPr>
      </w:pPr>
    </w:p>
    <w:p>
      <w:pPr>
        <w:ind w:left="740" w:right="280" w:hanging="371"/>
        <w:spacing w:after="0" w:line="282" w:lineRule="auto"/>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use commercially reasonable efforts to develop and seek regulatory approval for at least one licensed product in the United States and at least one other major market country and, following approval, to commercialize such product.</w:t>
      </w:r>
    </w:p>
    <w:p>
      <w:pPr>
        <w:spacing w:after="0" w:line="53" w:lineRule="exact"/>
        <w:rPr>
          <w:rFonts w:ascii="Times New Roman" w:cs="Times New Roman" w:eastAsia="Times New Roman" w:hAnsi="Times New Roman"/>
          <w:sz w:val="18"/>
          <w:szCs w:val="18"/>
          <w:color w:val="auto"/>
        </w:rPr>
      </w:pPr>
    </w:p>
    <w:p>
      <w:pPr>
        <w:ind w:left="740" w:right="80" w:hanging="371"/>
        <w:spacing w:after="0" w:line="282" w:lineRule="auto"/>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the first right to prepare, file, prosecute, maintain, enforce and defend the licensed antibody patents, subject to Paragon’s backup rights, and Paragon retains control over its other patents, including the patents non-exclusively licensed to us.</w:t>
      </w:r>
    </w:p>
    <w:p>
      <w:pPr>
        <w:spacing w:after="0" w:line="53" w:lineRule="exact"/>
        <w:rPr>
          <w:rFonts w:ascii="Times New Roman" w:cs="Times New Roman" w:eastAsia="Times New Roman" w:hAnsi="Times New Roman"/>
          <w:sz w:val="18"/>
          <w:szCs w:val="18"/>
          <w:color w:val="auto"/>
        </w:rPr>
      </w:pPr>
    </w:p>
    <w:p>
      <w:pPr>
        <w:jc w:val="both"/>
        <w:ind w:left="740" w:right="140" w:hanging="371"/>
        <w:spacing w:after="0" w:line="266" w:lineRule="auto"/>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Paragon License Agreement may be terminated in its entirety or on a country-by-country or product-by-product basis on 60 days’ notice by us; by either party on material breach without cure within the applicable cure period; and to the extent permitted by law, on a party’s insolvency or bankruptcy.</w:t>
      </w:r>
    </w:p>
    <w:p>
      <w:pPr>
        <w:spacing w:after="0" w:line="68" w:lineRule="exact"/>
        <w:rPr>
          <w:sz w:val="20"/>
          <w:szCs w:val="20"/>
          <w:color w:val="auto"/>
        </w:rPr>
      </w:pPr>
    </w:p>
    <w:p>
      <w:pPr>
        <w:ind w:right="100" w:firstLine="511"/>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material terms of the Paragon License Agreement does not purport to be complete and is qualified in its entirety by reference to the complete text of the Paragon License Agreement, a copy of which we intend to file, with confidential terms redacted, with the SEC as an exhibit to our Annual Report on Form 10-K for the year ending December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29" w:lineRule="exact"/>
        <w:rPr>
          <w:sz w:val="20"/>
          <w:szCs w:val="20"/>
          <w:color w:val="auto"/>
        </w:rPr>
      </w:pPr>
    </w:p>
    <w:p>
      <w:pPr>
        <w:ind w:right="200" w:firstLine="511"/>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none of the Company’s directors or officers adopted, materially modified,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83" w:right="318"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6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 /</w:t>
            </w:r>
          </w:p>
        </w:tc>
        <w:tc>
          <w:tcPr>
            <w:tcW w:w="0" w:type="dxa"/>
            <w:vAlign w:val="bottom"/>
          </w:tcPr>
          <w:p>
            <w:pPr>
              <w:spacing w:after="0"/>
              <w:rPr>
                <w:sz w:val="1"/>
                <w:szCs w:val="1"/>
                <w:color w:val="auto"/>
              </w:rPr>
            </w:pPr>
          </w:p>
        </w:tc>
      </w:tr>
      <w:tr>
        <w:trPr>
          <w:trHeight w:val="148"/>
        </w:trPr>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620" w:type="dxa"/>
            <w:vAlign w:val="bottom"/>
            <w:vMerge w:val="restart"/>
          </w:tcPr>
          <w:p>
            <w:pPr>
              <w:ind w:left="22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Herein from Form or</w:t>
            </w:r>
          </w:p>
        </w:tc>
        <w:tc>
          <w:tcPr>
            <w:tcW w:w="160" w:type="dxa"/>
            <w:vAlign w:val="bottom"/>
          </w:tcPr>
          <w:p>
            <w:pPr>
              <w:spacing w:after="0"/>
              <w:rPr>
                <w:sz w:val="12"/>
                <w:szCs w:val="12"/>
                <w:color w:val="auto"/>
              </w:rPr>
            </w:pPr>
          </w:p>
        </w:tc>
        <w:tc>
          <w:tcPr>
            <w:tcW w:w="14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56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6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 Number</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20" w:h="16838" w:orient="portrait"/>
          <w:cols w:equalWidth="0" w:num="1">
            <w:col w:w="11260"/>
          </w:cols>
          <w:pgMar w:left="340" w:top="1179" w:right="318" w:bottom="1440" w:gutter="0" w:footer="0" w:header="0"/>
        </w:sectPr>
      </w:pP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2.1†</w:t>
      </w:r>
    </w:p>
    <w:p>
      <w:pPr>
        <w:spacing w:after="0" w:line="3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2.2</w:t>
      </w:r>
    </w:p>
    <w:p>
      <w:pPr>
        <w:spacing w:after="0" w:line="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3.1</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3.2</w:t>
      </w:r>
    </w:p>
    <w:p>
      <w:pPr>
        <w:spacing w:after="0" w:line="3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3.3</w:t>
      </w:r>
    </w:p>
    <w:p>
      <w:pPr>
        <w:spacing w:after="0" w:line="3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3.4</w:t>
      </w: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10.1#</w:t>
      </w: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10.2#</w:t>
      </w: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10.3#</w:t>
      </w: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10.4#</w:t>
      </w: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10.5#</w:t>
      </w: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10.6#</w:t>
      </w: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10.7#</w:t>
      </w: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10.8#</w:t>
      </w: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10.9#</w:t>
      </w:r>
    </w:p>
    <w:p>
      <w:pPr>
        <w:spacing w:after="0" w:line="3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10.10#</w:t>
      </w:r>
    </w:p>
    <w:p>
      <w:pPr>
        <w:spacing w:after="0" w:line="3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10.11#*</w:t>
      </w:r>
    </w:p>
    <w:p>
      <w:pPr>
        <w:spacing w:after="0" w:line="3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10.12#</w:t>
      </w: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ind w:right="40"/>
        <w:spacing w:after="0" w:line="266" w:lineRule="auto"/>
        <w:rPr>
          <w:rFonts w:ascii="Times New Roman" w:cs="Times New Roman" w:eastAsia="Times New Roman" w:hAnsi="Times New Roman"/>
          <w:sz w:val="18"/>
          <w:szCs w:val="18"/>
          <w:u w:val="single" w:color="auto"/>
          <w:color w:val="0000FF"/>
        </w:rPr>
      </w:pPr>
      <w:hyperlink r:id="rId252">
        <w:r>
          <w:rPr>
            <w:rFonts w:ascii="Times New Roman" w:cs="Times New Roman" w:eastAsia="Times New Roman" w:hAnsi="Times New Roman"/>
            <w:sz w:val="18"/>
            <w:szCs w:val="18"/>
            <w:u w:val="single" w:color="auto"/>
            <w:color w:val="0000FF"/>
          </w:rPr>
          <w:t>Agreement and Plan of Merger, dated November 10, 2025, by and among the</w:t>
        </w:r>
      </w:hyperlink>
      <w:r>
        <w:rPr>
          <w:rFonts w:ascii="Times New Roman" w:cs="Times New Roman" w:eastAsia="Times New Roman" w:hAnsi="Times New Roman"/>
          <w:sz w:val="18"/>
          <w:szCs w:val="18"/>
          <w:u w:val="single" w:color="auto"/>
          <w:color w:val="0000FF"/>
        </w:rPr>
        <w:t xml:space="preserve"> </w:t>
      </w:r>
      <w:hyperlink r:id="rId252">
        <w:r>
          <w:rPr>
            <w:rFonts w:ascii="Times New Roman" w:cs="Times New Roman" w:eastAsia="Times New Roman" w:hAnsi="Times New Roman"/>
            <w:sz w:val="18"/>
            <w:szCs w:val="18"/>
            <w:u w:val="single" w:color="auto"/>
            <w:color w:val="0000FF"/>
          </w:rPr>
          <w:t>Registrant, Daylight Merger Sub I, Inc., Daylight Merger Sub II, LLC and</w:t>
        </w:r>
      </w:hyperlink>
      <w:r>
        <w:rPr>
          <w:rFonts w:ascii="Times New Roman" w:cs="Times New Roman" w:eastAsia="Times New Roman" w:hAnsi="Times New Roman"/>
          <w:sz w:val="18"/>
          <w:szCs w:val="18"/>
          <w:u w:val="single" w:color="auto"/>
          <w:color w:val="0000FF"/>
        </w:rPr>
        <w:t xml:space="preserve"> </w:t>
      </w:r>
      <w:hyperlink r:id="rId252">
        <w:r>
          <w:rPr>
            <w:rFonts w:ascii="Times New Roman" w:cs="Times New Roman" w:eastAsia="Times New Roman" w:hAnsi="Times New Roman"/>
            <w:sz w:val="18"/>
            <w:szCs w:val="18"/>
            <w:u w:val="single" w:color="auto"/>
            <w:color w:val="0000FF"/>
          </w:rPr>
          <w:t>Damora Therapeutics, Inc.</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3175</wp:posOffset>
            </wp:positionH>
            <wp:positionV relativeFrom="paragraph">
              <wp:posOffset>-313055</wp:posOffset>
            </wp:positionV>
            <wp:extent cx="35661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-175895</wp:posOffset>
            </wp:positionV>
            <wp:extent cx="34239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34239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-38735</wp:posOffset>
            </wp:positionV>
            <wp:extent cx="121793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1217930" cy="8255"/>
                    </a:xfrm>
                    <a:prstGeom prst="rect">
                      <a:avLst/>
                    </a:prstGeom>
                    <a:noFill/>
                  </pic:spPr>
                </pic:pic>
              </a:graphicData>
            </a:graphic>
          </wp:anchor>
        </w:drawing>
      </w:r>
    </w:p>
    <w:p>
      <w:pPr>
        <w:spacing w:after="0" w:line="2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u w:val="single" w:color="auto"/>
            <w:color w:val="0000FF"/>
          </w:rPr>
          <w:t>Plan of Conversion</w:t>
        </w:r>
      </w:hyperlink>
      <w:r>
        <w:rPr>
          <w:rFonts w:ascii="Times New Roman" w:cs="Times New Roman" w:eastAsia="Times New Roman" w:hAnsi="Times New Roman"/>
          <w:sz w:val="18"/>
          <w:szCs w:val="18"/>
          <w:color w:val="000000"/>
        </w:rPr>
        <w:t>.</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3175</wp:posOffset>
            </wp:positionH>
            <wp:positionV relativeFrom="paragraph">
              <wp:posOffset>-7620</wp:posOffset>
            </wp:positionV>
            <wp:extent cx="8820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882015" cy="8255"/>
                    </a:xfrm>
                    <a:prstGeom prst="rect">
                      <a:avLst/>
                    </a:prstGeom>
                    <a:noFill/>
                  </pic:spPr>
                </pic:pic>
              </a:graphicData>
            </a:graphic>
          </wp:anchor>
        </w:drawing>
      </w:r>
    </w:p>
    <w:p>
      <w:pPr>
        <w:spacing w:after="0" w:line="70"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u w:val="single" w:color="auto"/>
            <w:color w:val="0000FF"/>
          </w:rPr>
          <w:t>Cayman Memorandum and Articles of Association</w:t>
        </w:r>
      </w:hyperlink>
      <w:r>
        <w:rPr>
          <w:rFonts w:ascii="Times New Roman" w:cs="Times New Roman" w:eastAsia="Times New Roman" w:hAnsi="Times New Roman"/>
          <w:sz w:val="18"/>
          <w:szCs w:val="18"/>
          <w:color w:val="000000"/>
        </w:rPr>
        <w:t>.</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3175</wp:posOffset>
            </wp:positionH>
            <wp:positionV relativeFrom="paragraph">
              <wp:posOffset>-7620</wp:posOffset>
            </wp:positionV>
            <wp:extent cx="233235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70" w:lineRule="exact"/>
        <w:rPr>
          <w:rFonts w:ascii="Times New Roman" w:cs="Times New Roman" w:eastAsia="Times New Roman" w:hAnsi="Times New Roman"/>
          <w:sz w:val="18"/>
          <w:szCs w:val="18"/>
          <w:u w:val="single" w:color="auto"/>
          <w:color w:val="0000FF"/>
        </w:rPr>
      </w:pPr>
    </w:p>
    <w:p>
      <w:pPr>
        <w:ind w:right="80"/>
        <w:spacing w:after="0" w:line="282" w:lineRule="auto"/>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u w:val="single" w:color="auto"/>
            <w:color w:val="0000FF"/>
          </w:rPr>
          <w:t>Cayman Certificate of Designation of Preferences, Rights and Limitations of</w:t>
        </w:r>
      </w:hyperlink>
      <w:r>
        <w:rPr>
          <w:rFonts w:ascii="Times New Roman" w:cs="Times New Roman" w:eastAsia="Times New Roman" w:hAnsi="Times New Roman"/>
          <w:sz w:val="18"/>
          <w:szCs w:val="18"/>
          <w:u w:val="single" w:color="auto"/>
          <w:color w:val="0000FF"/>
        </w:rPr>
        <w:t xml:space="preserve"> </w:t>
      </w:r>
      <w:hyperlink r:id="rId260">
        <w:r>
          <w:rPr>
            <w:rFonts w:ascii="Times New Roman" w:cs="Times New Roman" w:eastAsia="Times New Roman" w:hAnsi="Times New Roman"/>
            <w:sz w:val="18"/>
            <w:szCs w:val="18"/>
            <w:u w:val="single" w:color="auto"/>
            <w:color w:val="0000FF"/>
          </w:rPr>
          <w:t>Series A Non-Voting Convertible Preferred Shares</w:t>
        </w:r>
      </w:hyperlink>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353758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353758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232600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2326005" cy="8255"/>
                    </a:xfrm>
                    <a:prstGeom prst="rect">
                      <a:avLst/>
                    </a:prstGeom>
                    <a:noFill/>
                  </pic:spPr>
                </pic:pic>
              </a:graphicData>
            </a:graphic>
          </wp:anchor>
        </w:drawing>
      </w:r>
    </w:p>
    <w:p>
      <w:pPr>
        <w:spacing w:after="0" w:line="7" w:lineRule="exact"/>
        <w:rPr>
          <w:sz w:val="20"/>
          <w:szCs w:val="20"/>
          <w:color w:val="auto"/>
        </w:rPr>
      </w:pPr>
    </w:p>
    <w:p>
      <w:pPr>
        <w:ind w:right="80"/>
        <w:spacing w:after="0" w:line="282" w:lineRule="auto"/>
        <w:rPr>
          <w:rFonts w:ascii="Times New Roman" w:cs="Times New Roman" w:eastAsia="Times New Roman" w:hAnsi="Times New Roman"/>
          <w:sz w:val="18"/>
          <w:szCs w:val="18"/>
          <w:u w:val="single" w:color="auto"/>
          <w:color w:val="0000FF"/>
        </w:rPr>
      </w:pPr>
      <w:hyperlink r:id="rId263">
        <w:r>
          <w:rPr>
            <w:rFonts w:ascii="Times New Roman" w:cs="Times New Roman" w:eastAsia="Times New Roman" w:hAnsi="Times New Roman"/>
            <w:sz w:val="18"/>
            <w:szCs w:val="18"/>
            <w:u w:val="single" w:color="auto"/>
            <w:color w:val="0000FF"/>
          </w:rPr>
          <w:t>Cayman Certificate of Designation of Preferences, Rights and Limitations of</w:t>
        </w:r>
      </w:hyperlink>
      <w:r>
        <w:rPr>
          <w:rFonts w:ascii="Times New Roman" w:cs="Times New Roman" w:eastAsia="Times New Roman" w:hAnsi="Times New Roman"/>
          <w:sz w:val="18"/>
          <w:szCs w:val="18"/>
          <w:u w:val="single" w:color="auto"/>
          <w:color w:val="0000FF"/>
        </w:rPr>
        <w:t xml:space="preserve"> </w:t>
      </w:r>
      <w:hyperlink r:id="rId263">
        <w:r>
          <w:rPr>
            <w:rFonts w:ascii="Times New Roman" w:cs="Times New Roman" w:eastAsia="Times New Roman" w:hAnsi="Times New Roman"/>
            <w:sz w:val="18"/>
            <w:szCs w:val="18"/>
            <w:u w:val="single" w:color="auto"/>
            <w:color w:val="0000FF"/>
          </w:rPr>
          <w:t>Series B Non-Voting Convertible Preferred Shares.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353758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35375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234823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2348230" cy="8255"/>
                    </a:xfrm>
                    <a:prstGeom prst="rect">
                      <a:avLst/>
                    </a:prstGeom>
                    <a:noFill/>
                  </pic:spPr>
                </pic:pic>
              </a:graphicData>
            </a:graphic>
          </wp:anchor>
        </w:drawing>
      </w:r>
    </w:p>
    <w:p>
      <w:pPr>
        <w:spacing w:after="0" w:line="7" w:lineRule="exact"/>
        <w:rPr>
          <w:sz w:val="20"/>
          <w:szCs w:val="20"/>
          <w:color w:val="auto"/>
        </w:rPr>
      </w:pPr>
    </w:p>
    <w:p>
      <w:pPr>
        <w:ind w:right="80"/>
        <w:spacing w:after="0" w:line="282" w:lineRule="auto"/>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u w:val="single" w:color="auto"/>
            <w:color w:val="0000FF"/>
          </w:rPr>
          <w:t>Cayman Certificate of Designation of Preferences, Rights and Limitations of</w:t>
        </w:r>
      </w:hyperlink>
      <w:r>
        <w:rPr>
          <w:rFonts w:ascii="Times New Roman" w:cs="Times New Roman" w:eastAsia="Times New Roman" w:hAnsi="Times New Roman"/>
          <w:sz w:val="18"/>
          <w:szCs w:val="18"/>
          <w:u w:val="single" w:color="auto"/>
          <w:color w:val="0000FF"/>
        </w:rPr>
        <w:t xml:space="preserve"> </w:t>
      </w:r>
      <w:hyperlink r:id="rId266">
        <w:r>
          <w:rPr>
            <w:rFonts w:ascii="Times New Roman" w:cs="Times New Roman" w:eastAsia="Times New Roman" w:hAnsi="Times New Roman"/>
            <w:sz w:val="18"/>
            <w:szCs w:val="18"/>
            <w:u w:val="single" w:color="auto"/>
            <w:color w:val="0000FF"/>
          </w:rPr>
          <w:t>Series C Non-Voting Convertible Preferred Shares</w:t>
        </w:r>
      </w:hyperlink>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353758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353758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23196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2319655" cy="8255"/>
                    </a:xfrm>
                    <a:prstGeom prst="rect">
                      <a:avLst/>
                    </a:prstGeom>
                    <a:noFill/>
                  </pic:spPr>
                </pic:pic>
              </a:graphicData>
            </a:graphic>
          </wp:anchor>
        </w:drawing>
      </w:r>
    </w:p>
    <w:p>
      <w:pPr>
        <w:spacing w:after="0" w:line="115" w:lineRule="exact"/>
        <w:rPr>
          <w:sz w:val="20"/>
          <w:szCs w:val="20"/>
          <w:color w:val="auto"/>
        </w:rPr>
      </w:pPr>
    </w:p>
    <w:p>
      <w:pPr>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u w:val="single" w:color="auto"/>
            <w:color w:val="0000FF"/>
          </w:rPr>
          <w:t>Form of Indemnification Agreement for directors and officers</w:t>
        </w:r>
      </w:hyperlink>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28270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0">
                      <a:extLst>
                        <a:ext uri="{28A0092B-C50C-407E-A947-70E740481C1C}"/>
                      </a:extLst>
                    </a:blip>
                    <a:srcRect/>
                    <a:stretch>
                      <a:fillRect/>
                    </a:stretch>
                  </pic:blipFill>
                  <pic:spPr bwMode="auto">
                    <a:xfrm>
                      <a:off x="0" y="0"/>
                      <a:ext cx="2827020" cy="8255"/>
                    </a:xfrm>
                    <a:prstGeom prst="rect">
                      <a:avLst/>
                    </a:prstGeom>
                    <a:noFill/>
                  </pic:spPr>
                </pic:pic>
              </a:graphicData>
            </a:graphic>
          </wp:anchor>
        </w:drawing>
      </w:r>
    </w:p>
    <w:p>
      <w:pPr>
        <w:spacing w:after="0" w:line="178" w:lineRule="exact"/>
        <w:rPr>
          <w:sz w:val="20"/>
          <w:szCs w:val="20"/>
          <w:color w:val="auto"/>
        </w:rPr>
      </w:pPr>
    </w:p>
    <w:p>
      <w:pPr>
        <w:ind w:right="280"/>
        <w:spacing w:after="0" w:line="282" w:lineRule="auto"/>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u w:val="single" w:color="auto"/>
            <w:color w:val="0000FF"/>
          </w:rPr>
          <w:t>Amended and Restated Damora Therapeutics, Inc. 2020 Stock Option and</w:t>
        </w:r>
      </w:hyperlink>
      <w:r>
        <w:rPr>
          <w:rFonts w:ascii="Times New Roman" w:cs="Times New Roman" w:eastAsia="Times New Roman" w:hAnsi="Times New Roman"/>
          <w:sz w:val="18"/>
          <w:szCs w:val="18"/>
          <w:u w:val="single" w:color="auto"/>
          <w:color w:val="0000FF"/>
        </w:rPr>
        <w:t xml:space="preserve"> </w:t>
      </w:r>
      <w:hyperlink r:id="rId271">
        <w:r>
          <w:rPr>
            <w:rFonts w:ascii="Times New Roman" w:cs="Times New Roman" w:eastAsia="Times New Roman" w:hAnsi="Times New Roman"/>
            <w:sz w:val="18"/>
            <w:szCs w:val="18"/>
            <w:u w:val="single" w:color="auto"/>
            <w:color w:val="0000FF"/>
          </w:rPr>
          <w:t>Grant Plan</w:t>
        </w:r>
      </w:hyperlink>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342074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2">
                      <a:extLst>
                        <a:ext uri="{28A0092B-C50C-407E-A947-70E740481C1C}"/>
                      </a:extLst>
                    </a:blip>
                    <a:srcRect/>
                    <a:stretch>
                      <a:fillRect/>
                    </a:stretch>
                  </pic:blipFill>
                  <pic:spPr bwMode="auto">
                    <a:xfrm>
                      <a:off x="0" y="0"/>
                      <a:ext cx="34207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4921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3">
                      <a:extLst>
                        <a:ext uri="{28A0092B-C50C-407E-A947-70E740481C1C}"/>
                      </a:extLst>
                    </a:blip>
                    <a:srcRect/>
                    <a:stretch>
                      <a:fillRect/>
                    </a:stretch>
                  </pic:blipFill>
                  <pic:spPr bwMode="auto">
                    <a:xfrm>
                      <a:off x="0" y="0"/>
                      <a:ext cx="492125" cy="8890"/>
                    </a:xfrm>
                    <a:prstGeom prst="rect">
                      <a:avLst/>
                    </a:prstGeom>
                    <a:noFill/>
                  </pic:spPr>
                </pic:pic>
              </a:graphicData>
            </a:graphic>
          </wp:anchor>
        </w:drawing>
      </w:r>
    </w:p>
    <w:p>
      <w:pPr>
        <w:spacing w:after="0" w:line="7" w:lineRule="exact"/>
        <w:rPr>
          <w:sz w:val="20"/>
          <w:szCs w:val="20"/>
          <w:color w:val="auto"/>
        </w:rPr>
      </w:pPr>
    </w:p>
    <w:p>
      <w:pPr>
        <w:ind w:right="340"/>
        <w:spacing w:after="0" w:line="282" w:lineRule="auto"/>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u w:val="single" w:color="auto"/>
            <w:color w:val="0000FF"/>
          </w:rPr>
          <w:t>Amended and Restated Damora Therapeutics, Inc. 2020 Equity Incentive</w:t>
        </w:r>
      </w:hyperlink>
      <w:r>
        <w:rPr>
          <w:rFonts w:ascii="Times New Roman" w:cs="Times New Roman" w:eastAsia="Times New Roman" w:hAnsi="Times New Roman"/>
          <w:sz w:val="18"/>
          <w:szCs w:val="18"/>
          <w:u w:val="single" w:color="auto"/>
          <w:color w:val="0000FF"/>
        </w:rPr>
        <w:t xml:space="preserve"> </w:t>
      </w:r>
      <w:hyperlink r:id="rId274">
        <w:r>
          <w:rPr>
            <w:rFonts w:ascii="Times New Roman" w:cs="Times New Roman" w:eastAsia="Times New Roman" w:hAnsi="Times New Roman"/>
            <w:sz w:val="18"/>
            <w:szCs w:val="18"/>
            <w:u w:val="single" w:color="auto"/>
            <w:color w:val="0000FF"/>
          </w:rPr>
          <w:t>Plan</w:t>
        </w:r>
      </w:hyperlink>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3378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5">
                      <a:extLst>
                        <a:ext uri="{28A0092B-C50C-407E-A947-70E740481C1C}"/>
                      </a:extLst>
                    </a:blip>
                    <a:srcRect/>
                    <a:stretch>
                      <a:fillRect/>
                    </a:stretch>
                  </pic:blipFill>
                  <pic:spPr bwMode="auto">
                    <a:xfrm>
                      <a:off x="0" y="0"/>
                      <a:ext cx="337883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2032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6">
                      <a:extLst>
                        <a:ext uri="{28A0092B-C50C-407E-A947-70E740481C1C}"/>
                      </a:extLst>
                    </a:blip>
                    <a:srcRect/>
                    <a:stretch>
                      <a:fillRect/>
                    </a:stretch>
                  </pic:blipFill>
                  <pic:spPr bwMode="auto">
                    <a:xfrm>
                      <a:off x="0" y="0"/>
                      <a:ext cx="203200" cy="8255"/>
                    </a:xfrm>
                    <a:prstGeom prst="rect">
                      <a:avLst/>
                    </a:prstGeom>
                    <a:noFill/>
                  </pic:spPr>
                </pic:pic>
              </a:graphicData>
            </a:graphic>
          </wp:anchor>
        </w:drawing>
      </w:r>
    </w:p>
    <w:p>
      <w:pPr>
        <w:spacing w:after="0" w:line="115" w:lineRule="exact"/>
        <w:rPr>
          <w:sz w:val="20"/>
          <w:szCs w:val="20"/>
          <w:color w:val="auto"/>
        </w:rPr>
      </w:pPr>
    </w:p>
    <w:p>
      <w:pPr>
        <w:spacing w:after="0"/>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u w:val="single" w:color="auto"/>
            <w:color w:val="0000FF"/>
          </w:rPr>
          <w:t>Amended and Restated Damora Therapeutics, Inc. 2022 Inducement Plan</w:t>
        </w:r>
      </w:hyperlink>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33629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8">
                      <a:extLst>
                        <a:ext uri="{28A0092B-C50C-407E-A947-70E740481C1C}"/>
                      </a:extLst>
                    </a:blip>
                    <a:srcRect/>
                    <a:stretch>
                      <a:fillRect/>
                    </a:stretch>
                  </pic:blipFill>
                  <pic:spPr bwMode="auto">
                    <a:xfrm>
                      <a:off x="0" y="0"/>
                      <a:ext cx="3362960" cy="8255"/>
                    </a:xfrm>
                    <a:prstGeom prst="rect">
                      <a:avLst/>
                    </a:prstGeom>
                    <a:noFill/>
                  </pic:spPr>
                </pic:pic>
              </a:graphicData>
            </a:graphic>
          </wp:anchor>
        </w:drawing>
      </w:r>
    </w:p>
    <w:p>
      <w:pPr>
        <w:spacing w:after="0" w:line="178" w:lineRule="exact"/>
        <w:rPr>
          <w:sz w:val="20"/>
          <w:szCs w:val="20"/>
          <w:color w:val="auto"/>
        </w:rPr>
      </w:pPr>
    </w:p>
    <w:p>
      <w:pPr>
        <w:ind w:right="40"/>
        <w:spacing w:after="0" w:line="282" w:lineRule="auto"/>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u w:val="single" w:color="auto"/>
            <w:color w:val="0000FF"/>
          </w:rPr>
          <w:t>Form of Option Award Agreement under the Amended and Restated Damora</w:t>
        </w:r>
      </w:hyperlink>
      <w:r>
        <w:rPr>
          <w:rFonts w:ascii="Times New Roman" w:cs="Times New Roman" w:eastAsia="Times New Roman" w:hAnsi="Times New Roman"/>
          <w:sz w:val="18"/>
          <w:szCs w:val="18"/>
          <w:u w:val="single" w:color="auto"/>
          <w:color w:val="0000FF"/>
        </w:rPr>
        <w:t xml:space="preserve"> </w:t>
      </w:r>
      <w:hyperlink r:id="rId279">
        <w:r>
          <w:rPr>
            <w:rFonts w:ascii="Times New Roman" w:cs="Times New Roman" w:eastAsia="Times New Roman" w:hAnsi="Times New Roman"/>
            <w:sz w:val="18"/>
            <w:szCs w:val="18"/>
            <w:u w:val="single" w:color="auto"/>
            <w:color w:val="0000FF"/>
          </w:rPr>
          <w:t>Therapeutics, Inc. 2022 Inducement Plan</w:t>
        </w:r>
      </w:hyperlink>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35636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0">
                      <a:extLst>
                        <a:ext uri="{28A0092B-C50C-407E-A947-70E740481C1C}"/>
                      </a:extLst>
                    </a:blip>
                    <a:srcRect/>
                    <a:stretch>
                      <a:fillRect/>
                    </a:stretch>
                  </pic:blipFill>
                  <pic:spPr bwMode="auto">
                    <a:xfrm>
                      <a:off x="0" y="0"/>
                      <a:ext cx="35636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187833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7" w:lineRule="exact"/>
        <w:rPr>
          <w:sz w:val="20"/>
          <w:szCs w:val="20"/>
          <w:color w:val="auto"/>
        </w:rPr>
      </w:pPr>
    </w:p>
    <w:p>
      <w:pPr>
        <w:ind w:right="160"/>
        <w:spacing w:after="0" w:line="282" w:lineRule="auto"/>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u w:val="single" w:color="auto"/>
            <w:color w:val="0000FF"/>
          </w:rPr>
          <w:t>Form of Restricted Share Unit Agreement under the Amended and Restated</w:t>
        </w:r>
      </w:hyperlink>
      <w:r>
        <w:rPr>
          <w:rFonts w:ascii="Times New Roman" w:cs="Times New Roman" w:eastAsia="Times New Roman" w:hAnsi="Times New Roman"/>
          <w:sz w:val="18"/>
          <w:szCs w:val="18"/>
          <w:u w:val="single" w:color="auto"/>
          <w:color w:val="0000FF"/>
        </w:rPr>
        <w:t xml:space="preserve"> </w:t>
      </w:r>
      <w:hyperlink r:id="rId282">
        <w:r>
          <w:rPr>
            <w:rFonts w:ascii="Times New Roman" w:cs="Times New Roman" w:eastAsia="Times New Roman" w:hAnsi="Times New Roman"/>
            <w:sz w:val="18"/>
            <w:szCs w:val="18"/>
            <w:u w:val="single" w:color="auto"/>
            <w:color w:val="0000FF"/>
          </w:rPr>
          <w:t>Damora Therapeutics, Inc. 2022 Inducement Plan</w:t>
        </w:r>
      </w:hyperlink>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34931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3">
                      <a:extLst>
                        <a:ext uri="{28A0092B-C50C-407E-A947-70E740481C1C}"/>
                      </a:extLst>
                    </a:blip>
                    <a:srcRect/>
                    <a:stretch>
                      <a:fillRect/>
                    </a:stretch>
                  </pic:blipFill>
                  <pic:spPr bwMode="auto">
                    <a:xfrm>
                      <a:off x="0" y="0"/>
                      <a:ext cx="349313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22745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4">
                      <a:extLst>
                        <a:ext uri="{28A0092B-C50C-407E-A947-70E740481C1C}"/>
                      </a:extLst>
                    </a:blip>
                    <a:srcRect/>
                    <a:stretch>
                      <a:fillRect/>
                    </a:stretch>
                  </pic:blipFill>
                  <pic:spPr bwMode="auto">
                    <a:xfrm>
                      <a:off x="0" y="0"/>
                      <a:ext cx="2274570" cy="8890"/>
                    </a:xfrm>
                    <a:prstGeom prst="rect">
                      <a:avLst/>
                    </a:prstGeom>
                    <a:noFill/>
                  </pic:spPr>
                </pic:pic>
              </a:graphicData>
            </a:graphic>
          </wp:anchor>
        </w:drawing>
      </w:r>
    </w:p>
    <w:p>
      <w:pPr>
        <w:spacing w:after="0" w:line="7" w:lineRule="exact"/>
        <w:rPr>
          <w:sz w:val="20"/>
          <w:szCs w:val="20"/>
          <w:color w:val="auto"/>
        </w:rPr>
      </w:pPr>
    </w:p>
    <w:p>
      <w:pPr>
        <w:ind w:right="340"/>
        <w:spacing w:after="0" w:line="282" w:lineRule="auto"/>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u w:val="single" w:color="auto"/>
            <w:color w:val="0000FF"/>
          </w:rPr>
          <w:t>Amended and Restated Damora Therapeutics, Inc. 2025 Equity Incentive</w:t>
        </w:r>
      </w:hyperlink>
      <w:r>
        <w:rPr>
          <w:rFonts w:ascii="Times New Roman" w:cs="Times New Roman" w:eastAsia="Times New Roman" w:hAnsi="Times New Roman"/>
          <w:sz w:val="18"/>
          <w:szCs w:val="18"/>
          <w:u w:val="single" w:color="auto"/>
          <w:color w:val="0000FF"/>
        </w:rPr>
        <w:t xml:space="preserve"> </w:t>
      </w:r>
      <w:hyperlink r:id="rId285">
        <w:r>
          <w:rPr>
            <w:rFonts w:ascii="Times New Roman" w:cs="Times New Roman" w:eastAsia="Times New Roman" w:hAnsi="Times New Roman"/>
            <w:sz w:val="18"/>
            <w:szCs w:val="18"/>
            <w:u w:val="single" w:color="auto"/>
            <w:color w:val="0000FF"/>
          </w:rPr>
          <w:t>Plan</w:t>
        </w:r>
      </w:hyperlink>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33788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6">
                      <a:extLst>
                        <a:ext uri="{28A0092B-C50C-407E-A947-70E740481C1C}"/>
                      </a:extLst>
                    </a:blip>
                    <a:srcRect/>
                    <a:stretch>
                      <a:fillRect/>
                    </a:stretch>
                  </pic:blipFill>
                  <pic:spPr bwMode="auto">
                    <a:xfrm>
                      <a:off x="0" y="0"/>
                      <a:ext cx="33788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2032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7">
                      <a:extLst>
                        <a:ext uri="{28A0092B-C50C-407E-A947-70E740481C1C}"/>
                      </a:extLst>
                    </a:blip>
                    <a:srcRect/>
                    <a:stretch>
                      <a:fillRect/>
                    </a:stretch>
                  </pic:blipFill>
                  <pic:spPr bwMode="auto">
                    <a:xfrm>
                      <a:off x="0" y="0"/>
                      <a:ext cx="203200" cy="8255"/>
                    </a:xfrm>
                    <a:prstGeom prst="rect">
                      <a:avLst/>
                    </a:prstGeom>
                    <a:noFill/>
                  </pic:spPr>
                </pic:pic>
              </a:graphicData>
            </a:graphic>
          </wp:anchor>
        </w:drawing>
      </w:r>
    </w:p>
    <w:p>
      <w:pPr>
        <w:spacing w:after="0" w:line="7" w:lineRule="exact"/>
        <w:rPr>
          <w:sz w:val="20"/>
          <w:szCs w:val="20"/>
          <w:color w:val="auto"/>
        </w:rPr>
      </w:pPr>
    </w:p>
    <w:p>
      <w:pPr>
        <w:ind w:right="340"/>
        <w:spacing w:after="0" w:line="282" w:lineRule="auto"/>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u w:val="single" w:color="auto"/>
            <w:color w:val="0000FF"/>
          </w:rPr>
          <w:t>Amended and Restated Damora Therapeutics, Inc. 2026 Equity Incentive</w:t>
        </w:r>
      </w:hyperlink>
      <w:r>
        <w:rPr>
          <w:rFonts w:ascii="Times New Roman" w:cs="Times New Roman" w:eastAsia="Times New Roman" w:hAnsi="Times New Roman"/>
          <w:sz w:val="18"/>
          <w:szCs w:val="18"/>
          <w:u w:val="single" w:color="auto"/>
          <w:color w:val="0000FF"/>
        </w:rPr>
        <w:t xml:space="preserve"> </w:t>
      </w:r>
      <w:hyperlink r:id="rId288">
        <w:r>
          <w:rPr>
            <w:rFonts w:ascii="Times New Roman" w:cs="Times New Roman" w:eastAsia="Times New Roman" w:hAnsi="Times New Roman"/>
            <w:sz w:val="18"/>
            <w:szCs w:val="18"/>
            <w:u w:val="single" w:color="auto"/>
            <w:color w:val="0000FF"/>
          </w:rPr>
          <w:t>Plan</w:t>
        </w:r>
      </w:hyperlink>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33788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9">
                      <a:extLst>
                        <a:ext uri="{28A0092B-C50C-407E-A947-70E740481C1C}"/>
                      </a:extLst>
                    </a:blip>
                    <a:srcRect/>
                    <a:stretch>
                      <a:fillRect/>
                    </a:stretch>
                  </pic:blipFill>
                  <pic:spPr bwMode="auto">
                    <a:xfrm>
                      <a:off x="0" y="0"/>
                      <a:ext cx="33788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2032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0">
                      <a:extLst>
                        <a:ext uri="{28A0092B-C50C-407E-A947-70E740481C1C}"/>
                      </a:extLst>
                    </a:blip>
                    <a:srcRect/>
                    <a:stretch>
                      <a:fillRect/>
                    </a:stretch>
                  </pic:blipFill>
                  <pic:spPr bwMode="auto">
                    <a:xfrm>
                      <a:off x="0" y="0"/>
                      <a:ext cx="203200" cy="8255"/>
                    </a:xfrm>
                    <a:prstGeom prst="rect">
                      <a:avLst/>
                    </a:prstGeom>
                    <a:noFill/>
                  </pic:spPr>
                </pic:pic>
              </a:graphicData>
            </a:graphic>
          </wp:anchor>
        </w:drawing>
      </w:r>
    </w:p>
    <w:p>
      <w:pPr>
        <w:spacing w:after="0" w:line="7" w:lineRule="exact"/>
        <w:rPr>
          <w:sz w:val="20"/>
          <w:szCs w:val="20"/>
          <w:color w:val="auto"/>
        </w:rPr>
      </w:pPr>
    </w:p>
    <w:p>
      <w:pPr>
        <w:ind w:right="560"/>
        <w:spacing w:after="0" w:line="282" w:lineRule="auto"/>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u w:val="single" w:color="auto"/>
            <w:color w:val="0000FF"/>
          </w:rPr>
          <w:t>Form of Employee Option Award Agreement under the Amended and</w:t>
        </w:r>
      </w:hyperlink>
      <w:r>
        <w:rPr>
          <w:rFonts w:ascii="Times New Roman" w:cs="Times New Roman" w:eastAsia="Times New Roman" w:hAnsi="Times New Roman"/>
          <w:sz w:val="18"/>
          <w:szCs w:val="18"/>
          <w:u w:val="single" w:color="auto"/>
          <w:color w:val="0000FF"/>
        </w:rPr>
        <w:t xml:space="preserve"> </w:t>
      </w:r>
      <w:hyperlink r:id="rId291">
        <w:r>
          <w:rPr>
            <w:rFonts w:ascii="Times New Roman" w:cs="Times New Roman" w:eastAsia="Times New Roman" w:hAnsi="Times New Roman"/>
            <w:sz w:val="18"/>
            <w:szCs w:val="18"/>
            <w:u w:val="single" w:color="auto"/>
            <w:color w:val="0000FF"/>
          </w:rPr>
          <w:t>Restated Damora Therapeutics, Inc. 2026 Equity Incentive Plan</w:t>
        </w:r>
      </w:hyperlink>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323659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2">
                      <a:extLst>
                        <a:ext uri="{28A0092B-C50C-407E-A947-70E740481C1C}"/>
                      </a:extLst>
                    </a:blip>
                    <a:srcRect/>
                    <a:stretch>
                      <a:fillRect/>
                    </a:stretch>
                  </pic:blipFill>
                  <pic:spPr bwMode="auto">
                    <a:xfrm>
                      <a:off x="0" y="0"/>
                      <a:ext cx="3236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29159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3">
                      <a:extLst>
                        <a:ext uri="{28A0092B-C50C-407E-A947-70E740481C1C}"/>
                      </a:extLst>
                    </a:blip>
                    <a:srcRect/>
                    <a:stretch>
                      <a:fillRect/>
                    </a:stretch>
                  </pic:blipFill>
                  <pic:spPr bwMode="auto">
                    <a:xfrm>
                      <a:off x="0" y="0"/>
                      <a:ext cx="2915920" cy="8255"/>
                    </a:xfrm>
                    <a:prstGeom prst="rect">
                      <a:avLst/>
                    </a:prstGeom>
                    <a:noFill/>
                  </pic:spPr>
                </pic:pic>
              </a:graphicData>
            </a:graphic>
          </wp:anchor>
        </w:drawing>
      </w:r>
    </w:p>
    <w:p>
      <w:pPr>
        <w:spacing w:after="0" w:line="7" w:lineRule="exact"/>
        <w:rPr>
          <w:sz w:val="20"/>
          <w:szCs w:val="20"/>
          <w:color w:val="auto"/>
        </w:rPr>
      </w:pPr>
    </w:p>
    <w:p>
      <w:pPr>
        <w:ind w:right="20"/>
        <w:spacing w:after="0" w:line="282" w:lineRule="auto"/>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u w:val="single" w:color="auto"/>
            <w:color w:val="0000FF"/>
          </w:rPr>
          <w:t>Form of Director Option Award Agreement under the Amended and Restated</w:t>
        </w:r>
      </w:hyperlink>
      <w:r>
        <w:rPr>
          <w:rFonts w:ascii="Times New Roman" w:cs="Times New Roman" w:eastAsia="Times New Roman" w:hAnsi="Times New Roman"/>
          <w:sz w:val="18"/>
          <w:szCs w:val="18"/>
          <w:u w:val="single" w:color="auto"/>
          <w:color w:val="0000FF"/>
        </w:rPr>
        <w:t xml:space="preserve"> </w:t>
      </w:r>
      <w:hyperlink r:id="rId294">
        <w:r>
          <w:rPr>
            <w:rFonts w:ascii="Times New Roman" w:cs="Times New Roman" w:eastAsia="Times New Roman" w:hAnsi="Times New Roman"/>
            <w:sz w:val="18"/>
            <w:szCs w:val="18"/>
            <w:u w:val="single" w:color="auto"/>
            <w:color w:val="0000FF"/>
          </w:rPr>
          <w:t>Damora Therapeutics, Inc. 2026 Equity Incentive Plan</w:t>
        </w:r>
      </w:hyperlink>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357568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5">
                      <a:extLst>
                        <a:ext uri="{28A0092B-C50C-407E-A947-70E740481C1C}"/>
                      </a:extLst>
                    </a:blip>
                    <a:srcRect/>
                    <a:stretch>
                      <a:fillRect/>
                    </a:stretch>
                  </pic:blipFill>
                  <pic:spPr bwMode="auto">
                    <a:xfrm>
                      <a:off x="0" y="0"/>
                      <a:ext cx="357568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249364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6">
                      <a:extLst>
                        <a:ext uri="{28A0092B-C50C-407E-A947-70E740481C1C}"/>
                      </a:extLst>
                    </a:blip>
                    <a:srcRect/>
                    <a:stretch>
                      <a:fillRect/>
                    </a:stretch>
                  </pic:blipFill>
                  <pic:spPr bwMode="auto">
                    <a:xfrm>
                      <a:off x="0" y="0"/>
                      <a:ext cx="2493645" cy="8255"/>
                    </a:xfrm>
                    <a:prstGeom prst="rect">
                      <a:avLst/>
                    </a:prstGeom>
                    <a:noFill/>
                  </pic:spPr>
                </pic:pic>
              </a:graphicData>
            </a:graphic>
          </wp:anchor>
        </w:drawing>
      </w:r>
    </w:p>
    <w:p>
      <w:pPr>
        <w:spacing w:after="0" w:line="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u w:val="single" w:color="auto"/>
          <w:color w:val="0000FF"/>
        </w:rPr>
        <w:t>Form of Restricted Share Unit Agreement under the Amended and Restated Damora Therapeutics, Inc. 2026 Equity Incentive Plan</w:t>
      </w:r>
      <w:r>
        <w:rPr>
          <w:rFonts w:ascii="Times New Roman" w:cs="Times New Roman" w:eastAsia="Times New Roman" w:hAnsi="Times New Roman"/>
          <w:sz w:val="18"/>
          <w:szCs w:val="18"/>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34931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7">
                      <a:extLst>
                        <a:ext uri="{28A0092B-C50C-407E-A947-70E740481C1C}"/>
                      </a:extLst>
                    </a:blip>
                    <a:srcRect/>
                    <a:stretch>
                      <a:fillRect/>
                    </a:stretch>
                  </pic:blipFill>
                  <pic:spPr bwMode="auto">
                    <a:xfrm>
                      <a:off x="0" y="0"/>
                      <a:ext cx="349313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25222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8">
                      <a:extLst>
                        <a:ext uri="{28A0092B-C50C-407E-A947-70E740481C1C}"/>
                      </a:extLst>
                    </a:blip>
                    <a:srcRect/>
                    <a:stretch>
                      <a:fillRect/>
                    </a:stretch>
                  </pic:blipFill>
                  <pic:spPr bwMode="auto">
                    <a:xfrm>
                      <a:off x="0" y="0"/>
                      <a:ext cx="2522220" cy="8890"/>
                    </a:xfrm>
                    <a:prstGeom prst="rect">
                      <a:avLst/>
                    </a:prstGeom>
                    <a:noFill/>
                  </pic:spPr>
                </pic:pic>
              </a:graphicData>
            </a:graphic>
          </wp:anchor>
        </w:drawing>
      </w:r>
    </w:p>
    <w:p>
      <w:pPr>
        <w:spacing w:after="0" w:line="7" w:lineRule="exact"/>
        <w:rPr>
          <w:sz w:val="20"/>
          <w:szCs w:val="20"/>
          <w:color w:val="auto"/>
        </w:rPr>
      </w:pPr>
    </w:p>
    <w:p>
      <w:pPr>
        <w:ind w:right="340"/>
        <w:spacing w:after="0" w:line="282" w:lineRule="auto"/>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u w:val="single" w:color="auto"/>
            <w:color w:val="0000FF"/>
          </w:rPr>
          <w:t>Amended and Restated Damora Therapeutics, Inc. 2026 Employee Stock</w:t>
        </w:r>
      </w:hyperlink>
      <w:r>
        <w:rPr>
          <w:rFonts w:ascii="Times New Roman" w:cs="Times New Roman" w:eastAsia="Times New Roman" w:hAnsi="Times New Roman"/>
          <w:sz w:val="18"/>
          <w:szCs w:val="18"/>
          <w:u w:val="single" w:color="auto"/>
          <w:color w:val="0000FF"/>
        </w:rPr>
        <w:t xml:space="preserve"> </w:t>
      </w:r>
      <w:hyperlink r:id="rId299">
        <w:r>
          <w:rPr>
            <w:rFonts w:ascii="Times New Roman" w:cs="Times New Roman" w:eastAsia="Times New Roman" w:hAnsi="Times New Roman"/>
            <w:sz w:val="18"/>
            <w:szCs w:val="18"/>
            <w:u w:val="single" w:color="auto"/>
            <w:color w:val="0000FF"/>
          </w:rPr>
          <w:t>Purchase Plan</w:t>
        </w:r>
      </w:hyperlink>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33731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0">
                      <a:extLst>
                        <a:ext uri="{28A0092B-C50C-407E-A947-70E740481C1C}"/>
                      </a:extLst>
                    </a:blip>
                    <a:srcRect/>
                    <a:stretch>
                      <a:fillRect/>
                    </a:stretch>
                  </pic:blipFill>
                  <pic:spPr bwMode="auto">
                    <a:xfrm>
                      <a:off x="0" y="0"/>
                      <a:ext cx="33731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643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1">
                      <a:extLst>
                        <a:ext uri="{28A0092B-C50C-407E-A947-70E740481C1C}"/>
                      </a:extLst>
                    </a:blip>
                    <a:srcRect/>
                    <a:stretch>
                      <a:fillRect/>
                    </a:stretch>
                  </pic:blipFill>
                  <pic:spPr bwMode="auto">
                    <a:xfrm>
                      <a:off x="0" y="0"/>
                      <a:ext cx="643890" cy="8890"/>
                    </a:xfrm>
                    <a:prstGeom prst="rect">
                      <a:avLst/>
                    </a:prstGeom>
                    <a:noFill/>
                  </pic:spPr>
                </pic:pic>
              </a:graphicData>
            </a:graphic>
          </wp:anchor>
        </w:drawing>
      </w:r>
    </w:p>
    <w:p>
      <w:pPr>
        <w:spacing w:after="0" w:line="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Rules 13a-14(a) and 15d-14(a) under the Securities Exchange Act of 1934, as Adopted Pursuant to Section 302 of the Sarbanes-Oxley Act of 2002</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-313055</wp:posOffset>
            </wp:positionV>
            <wp:extent cx="35153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2">
                      <a:extLst>
                        <a:ext uri="{28A0092B-C50C-407E-A947-70E740481C1C}"/>
                      </a:extLst>
                    </a:blip>
                    <a:srcRect/>
                    <a:stretch>
                      <a:fillRect/>
                    </a:stretch>
                  </pic:blipFill>
                  <pic:spPr bwMode="auto">
                    <a:xfrm>
                      <a:off x="0" y="0"/>
                      <a:ext cx="35153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-175895</wp:posOffset>
            </wp:positionV>
            <wp:extent cx="35890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3">
                      <a:extLst>
                        <a:ext uri="{28A0092B-C50C-407E-A947-70E740481C1C}"/>
                      </a:extLst>
                    </a:blip>
                    <a:srcRect/>
                    <a:stretch>
                      <a:fillRect/>
                    </a:stretch>
                  </pic:blipFill>
                  <pic:spPr bwMode="auto">
                    <a:xfrm>
                      <a:off x="0" y="0"/>
                      <a:ext cx="35890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-38735</wp:posOffset>
            </wp:positionV>
            <wp:extent cx="216725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4">
                      <a:extLst>
                        <a:ext uri="{28A0092B-C50C-407E-A947-70E740481C1C}"/>
                      </a:extLst>
                    </a:blip>
                    <a:srcRect/>
                    <a:stretch>
                      <a:fillRect/>
                    </a:stretch>
                  </pic:blipFill>
                  <pic:spPr bwMode="auto">
                    <a:xfrm>
                      <a:off x="0" y="0"/>
                      <a:ext cx="2167255" cy="8890"/>
                    </a:xfrm>
                    <a:prstGeom prst="rect">
                      <a:avLst/>
                    </a:prstGeom>
                    <a:noFill/>
                  </pic:spPr>
                </pic:pic>
              </a:graphicData>
            </a:graphic>
          </wp:anchor>
        </w:drawing>
      </w:r>
    </w:p>
    <w:p>
      <w:pPr>
        <w:spacing w:after="0" w:line="15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484505</wp:posOffset>
            </wp:positionV>
            <wp:extent cx="71831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8-K (Exhibit 2.1)</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8-K (Exhibit 2.1)</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8-K (Exhibit 3.1)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8-K (Exhibit 3.2)</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8-K (Exhibit 3.3)</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8-K (Exhibit 3.4)</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8-K (Exhibit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10.2)</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10.3)</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10.4)</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10.5)</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10.6)</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10.7)</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10.8)</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10.9)</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10.10)</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10.11)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November 10, 2025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001-39655</w:t>
            </w:r>
          </w:p>
        </w:tc>
      </w:tr>
      <w:tr>
        <w:trPr>
          <w:trHeight w:val="513"/>
        </w:trPr>
        <w:tc>
          <w:tcPr>
            <w:tcW w:w="1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July 20, 2026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001-39655</w:t>
            </w:r>
          </w:p>
        </w:tc>
      </w:tr>
      <w:tr>
        <w:trPr>
          <w:trHeight w:val="297"/>
        </w:trPr>
        <w:tc>
          <w:tcPr>
            <w:tcW w:w="1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July 20, 2026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001-39655</w:t>
            </w:r>
          </w:p>
        </w:tc>
      </w:tr>
      <w:tr>
        <w:trPr>
          <w:trHeight w:val="405"/>
        </w:trPr>
        <w:tc>
          <w:tcPr>
            <w:tcW w:w="1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July 20, 2026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001-39655</w:t>
            </w:r>
          </w:p>
        </w:tc>
      </w:tr>
      <w:tr>
        <w:trPr>
          <w:trHeight w:val="513"/>
        </w:trPr>
        <w:tc>
          <w:tcPr>
            <w:tcW w:w="1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July 20, 2026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001-39655</w:t>
            </w:r>
          </w:p>
        </w:tc>
      </w:tr>
      <w:tr>
        <w:trPr>
          <w:trHeight w:val="513"/>
        </w:trPr>
        <w:tc>
          <w:tcPr>
            <w:tcW w:w="1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July 20, 2026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001-39655</w:t>
            </w:r>
          </w:p>
        </w:tc>
      </w:tr>
      <w:tr>
        <w:trPr>
          <w:trHeight w:val="513"/>
        </w:trPr>
        <w:tc>
          <w:tcPr>
            <w:tcW w:w="1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July 20, 2026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001-39655</w:t>
            </w:r>
          </w:p>
        </w:tc>
      </w:tr>
      <w:tr>
        <w:trPr>
          <w:trHeight w:val="513"/>
        </w:trPr>
        <w:tc>
          <w:tcPr>
            <w:tcW w:w="1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August 10, 2026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001-39655</w:t>
            </w:r>
          </w:p>
        </w:tc>
      </w:tr>
      <w:tr>
        <w:trPr>
          <w:trHeight w:val="513"/>
        </w:trPr>
        <w:tc>
          <w:tcPr>
            <w:tcW w:w="1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August 10, 2026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001-39655</w:t>
            </w:r>
          </w:p>
        </w:tc>
      </w:tr>
      <w:tr>
        <w:trPr>
          <w:trHeight w:val="513"/>
        </w:trPr>
        <w:tc>
          <w:tcPr>
            <w:tcW w:w="1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August 10, 2026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001-39655</w:t>
            </w:r>
          </w:p>
        </w:tc>
      </w:tr>
      <w:tr>
        <w:trPr>
          <w:trHeight w:val="513"/>
        </w:trPr>
        <w:tc>
          <w:tcPr>
            <w:tcW w:w="1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August 10, 2026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001-39655</w:t>
            </w:r>
          </w:p>
        </w:tc>
      </w:tr>
      <w:tr>
        <w:trPr>
          <w:trHeight w:val="513"/>
        </w:trPr>
        <w:tc>
          <w:tcPr>
            <w:tcW w:w="1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August 10, 2026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001-39655</w:t>
            </w:r>
          </w:p>
        </w:tc>
      </w:tr>
      <w:tr>
        <w:trPr>
          <w:trHeight w:val="513"/>
        </w:trPr>
        <w:tc>
          <w:tcPr>
            <w:tcW w:w="1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August 10, 2026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001-39655</w:t>
            </w:r>
          </w:p>
        </w:tc>
      </w:tr>
      <w:tr>
        <w:trPr>
          <w:trHeight w:val="513"/>
        </w:trPr>
        <w:tc>
          <w:tcPr>
            <w:tcW w:w="1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August 10, 2026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001-39655</w:t>
            </w:r>
          </w:p>
        </w:tc>
      </w:tr>
      <w:tr>
        <w:trPr>
          <w:trHeight w:val="513"/>
        </w:trPr>
        <w:tc>
          <w:tcPr>
            <w:tcW w:w="1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August 10, 2026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001-39655</w:t>
            </w:r>
          </w:p>
        </w:tc>
      </w:tr>
      <w:tr>
        <w:trPr>
          <w:trHeight w:val="513"/>
        </w:trPr>
        <w:tc>
          <w:tcPr>
            <w:tcW w:w="1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August 10, 2026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001-39655</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August 10, 2026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001-39655</w:t>
            </w:r>
          </w:p>
        </w:tc>
      </w:tr>
    </w:tbl>
    <w:p>
      <w:pPr>
        <w:sectPr>
          <w:pgSz w:w="11920" w:h="16838" w:orient="portrait"/>
          <w:cols w:equalWidth="0" w:num="4">
            <w:col w:w="700" w:space="240"/>
            <w:col w:w="5620" w:space="160"/>
            <w:col w:w="1680" w:space="160"/>
            <w:col w:w="2700"/>
          </w:cols>
          <w:pgMar w:left="340" w:top="1179" w:right="318" w:bottom="1440" w:gutter="0" w:footer="0" w:header="0"/>
          <w:type w:val="continuous"/>
        </w:sectPr>
      </w:pPr>
    </w:p>
    <w:bookmarkStart w:id="77" w:name="page78"/>
    <w:bookmarkEnd w:id="77"/>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 /</w:t>
            </w:r>
          </w:p>
        </w:tc>
        <w:tc>
          <w:tcPr>
            <w:tcW w:w="0" w:type="dxa"/>
            <w:vAlign w:val="bottom"/>
          </w:tcPr>
          <w:p>
            <w:pPr>
              <w:spacing w:after="0"/>
              <w:rPr>
                <w:sz w:val="1"/>
                <w:szCs w:val="1"/>
                <w:color w:val="auto"/>
              </w:rPr>
            </w:pPr>
          </w:p>
        </w:tc>
      </w:tr>
      <w:tr>
        <w:trPr>
          <w:trHeight w:val="149"/>
        </w:trPr>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20" w:type="dxa"/>
            <w:vAlign w:val="bottom"/>
            <w:gridSpan w:val="5"/>
            <w:vMerge w:val="restart"/>
          </w:tcPr>
          <w:p>
            <w:pPr>
              <w:ind w:left="22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Herein from Form or</w:t>
            </w:r>
          </w:p>
        </w:tc>
        <w:tc>
          <w:tcPr>
            <w:tcW w:w="160" w:type="dxa"/>
            <w:vAlign w:val="bottom"/>
          </w:tcPr>
          <w:p>
            <w:pPr>
              <w:spacing w:after="0"/>
              <w:rPr>
                <w:sz w:val="12"/>
                <w:szCs w:val="12"/>
                <w:color w:val="auto"/>
              </w:rPr>
            </w:pPr>
          </w:p>
        </w:tc>
        <w:tc>
          <w:tcPr>
            <w:tcW w:w="14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20" w:type="dxa"/>
            <w:vAlign w:val="bottom"/>
            <w:tcBorders>
              <w:bottom w:val="single" w:sz="8" w:color="auto"/>
            </w:tcBorders>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6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 Number</w:t>
            </w:r>
          </w:p>
        </w:tc>
        <w:tc>
          <w:tcPr>
            <w:tcW w:w="0" w:type="dxa"/>
            <w:vAlign w:val="bottom"/>
          </w:tcPr>
          <w:p>
            <w:pPr>
              <w:spacing w:after="0"/>
              <w:rPr>
                <w:sz w:val="1"/>
                <w:szCs w:val="1"/>
                <w:color w:val="auto"/>
              </w:rPr>
            </w:pPr>
          </w:p>
        </w:tc>
      </w:tr>
      <w:tr>
        <w:trPr>
          <w:trHeight w:val="250"/>
        </w:trPr>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5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right"/>
              <w:ind w:right="116"/>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56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15d-14(a) under the Securities Exchange Act of 1934, as Adopted Pursuant to</w:t>
            </w:r>
          </w:p>
        </w:tc>
        <w:tc>
          <w:tcPr>
            <w:tcW w:w="20" w:type="dxa"/>
            <w:vAlign w:val="bottom"/>
            <w:tcBorders>
              <w:bottom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r>
              <w:rPr>
                <w:rFonts w:ascii="Times New Roman" w:cs="Times New Roman" w:eastAsia="Times New Roman" w:hAnsi="Times New Roman"/>
                <w:sz w:val="18"/>
                <w:szCs w:val="18"/>
                <w:color w:val="000000"/>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54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w:t>
            </w:r>
          </w:p>
        </w:tc>
        <w:tc>
          <w:tcPr>
            <w:tcW w:w="1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60" w:type="dxa"/>
            <w:vAlign w:val="bottom"/>
            <w:gridSpan w:val="4"/>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 906 of</w:t>
            </w:r>
          </w:p>
        </w:tc>
        <w:tc>
          <w:tcPr>
            <w:tcW w:w="18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60" w:type="dxa"/>
            <w:vAlign w:val="bottom"/>
            <w:tcBorders>
              <w:bottom w:val="single" w:sz="8" w:color="0000FF"/>
            </w:tcBorders>
            <w:gridSpan w:val="4"/>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r>
              <w:rPr>
                <w:rFonts w:ascii="Times New Roman" w:cs="Times New Roman" w:eastAsia="Times New Roman" w:hAnsi="Times New Roman"/>
                <w:sz w:val="18"/>
                <w:szCs w:val="18"/>
                <w:color w:val="000000"/>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40" w:type="dxa"/>
            <w:vAlign w:val="bottom"/>
          </w:tcPr>
          <w:p>
            <w:pPr>
              <w:spacing w:after="0"/>
              <w:rPr>
                <w:sz w:val="24"/>
                <w:szCs w:val="24"/>
                <w:color w:val="auto"/>
              </w:rPr>
            </w:pPr>
          </w:p>
        </w:tc>
        <w:tc>
          <w:tcPr>
            <w:tcW w:w="5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(extensible Business Reporting Language) Instance Document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5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8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6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Documents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947" w:right="5360" w:hanging="674"/>
        <w:spacing w:after="0" w:line="184" w:lineRule="auto"/>
        <w:tabs>
          <w:tab w:leader="none" w:pos="947" w:val="left"/>
        </w:tabs>
        <w:numPr>
          <w:ilvl w:val="1"/>
          <w:numId w:val="38"/>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34"/>
          <w:szCs w:val="34"/>
          <w:color w:val="auto"/>
          <w:vertAlign w:val="subscript"/>
        </w:rPr>
      </w:pPr>
    </w:p>
    <w:p>
      <w:pPr>
        <w:spacing w:after="0" w:line="281" w:lineRule="exact"/>
        <w:rPr>
          <w:rFonts w:ascii="Times New Roman" w:cs="Times New Roman" w:eastAsia="Times New Roman" w:hAnsi="Times New Roman"/>
          <w:sz w:val="34"/>
          <w:szCs w:val="34"/>
          <w:color w:val="auto"/>
          <w:vertAlign w:val="subscript"/>
        </w:rPr>
      </w:pPr>
    </w:p>
    <w:p>
      <w:pPr>
        <w:ind w:left="7"/>
        <w:spacing w:after="0"/>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8"/>
          <w:szCs w:val="18"/>
          <w:color w:val="auto"/>
        </w:rPr>
        <w:t>* Filed herewith.</w:t>
      </w:r>
    </w:p>
    <w:p>
      <w:pPr>
        <w:spacing w:after="0" w:line="49" w:lineRule="exact"/>
        <w:rPr>
          <w:rFonts w:ascii="Times New Roman" w:cs="Times New Roman" w:eastAsia="Times New Roman" w:hAnsi="Times New Roman"/>
          <w:sz w:val="34"/>
          <w:szCs w:val="34"/>
          <w:color w:val="auto"/>
          <w:vertAlign w:val="subscript"/>
        </w:rPr>
      </w:pPr>
    </w:p>
    <w:p>
      <w:pPr>
        <w:ind w:left="227" w:hanging="227"/>
        <w:spacing w:after="0"/>
        <w:tabs>
          <w:tab w:leader="none" w:pos="2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 Indicates management contract or any compensatory plan, contract or arrangement.</w:t>
      </w:r>
    </w:p>
    <w:p>
      <w:pPr>
        <w:spacing w:after="0" w:line="27" w:lineRule="exact"/>
        <w:rPr>
          <w:sz w:val="20"/>
          <w:szCs w:val="20"/>
          <w:color w:val="auto"/>
        </w:rPr>
      </w:pPr>
    </w:p>
    <w:p>
      <w:pPr>
        <w:ind w:left="7" w:right="260" w:hanging="7"/>
        <w:spacing w:after="0" w:line="250" w:lineRule="auto"/>
        <w:tabs>
          <w:tab w:leader="none" w:pos="14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and/or schedules have been omitted pursuant to Item 601(a)(5) of Regulation S-K. The registrant hereby undertakes to furnish supplementally copies of any of the omitted exhibits and schedules upon request by the SEC; provided, however, that the registrant may request confidential treatment pursuant to Rule 24b-2 under the Exchange Act for any exhibits or schedules so furnished.</w:t>
      </w:r>
    </w:p>
    <w:p>
      <w:pPr>
        <w:spacing w:after="0" w:line="1" w:lineRule="exact"/>
        <w:rPr>
          <w:rFonts w:ascii="Times New Roman" w:cs="Times New Roman" w:eastAsia="Times New Roman" w:hAnsi="Times New Roman"/>
          <w:sz w:val="18"/>
          <w:szCs w:val="18"/>
          <w:color w:val="auto"/>
        </w:rPr>
      </w:pPr>
    </w:p>
    <w:p>
      <w:pPr>
        <w:ind w:left="7" w:right="3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certification will not be deemed “filed” for purposes of Section 18 of the Exchange Act or otherwise subject to the liability of that section. Such certification will not be deemed to be incorporated by reference into any filing under the Securities Act or the Exchange Act, except to the extent specifically incorporated by reference into such filing.</w:t>
      </w:r>
    </w:p>
    <w:p>
      <w:pPr>
        <w:spacing w:after="0" w:line="200" w:lineRule="exact"/>
        <w:rPr>
          <w:sz w:val="20"/>
          <w:szCs w:val="20"/>
          <w:color w:val="auto"/>
        </w:rPr>
      </w:pPr>
    </w:p>
    <w:p>
      <w:pPr>
        <w:spacing w:after="0" w:line="20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218" w:right="318" w:bottom="1440" w:gutter="0" w:footer="0" w:header="0"/>
        </w:sectPr>
      </w:pPr>
    </w:p>
    <w:bookmarkStart w:id="78" w:name="page79"/>
    <w:bookmarkEnd w:id="78"/>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102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Damora Therapeutics, Inc.</w:t>
      </w:r>
    </w:p>
    <w:p>
      <w:pPr>
        <w:spacing w:after="0" w:line="256" w:lineRule="exact"/>
        <w:rPr>
          <w:sz w:val="20"/>
          <w:szCs w:val="20"/>
          <w:color w:val="auto"/>
        </w:rPr>
      </w:pPr>
    </w:p>
    <w:p>
      <w:pPr>
        <w:spacing w:after="0"/>
        <w:tabs>
          <w:tab w:leader="none" w:pos="5500" w:val="left"/>
          <w:tab w:leader="none" w:pos="790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Jarrett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17145</wp:posOffset>
            </wp:positionV>
            <wp:extent cx="34118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Jennifer Jarrett</w:t>
      </w:r>
    </w:p>
    <w:p>
      <w:pPr>
        <w:spacing w:after="0" w:line="2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2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spacing w:after="0"/>
        <w:tabs>
          <w:tab w:leader="none" w:pos="5500" w:val="left"/>
          <w:tab w:leader="none" w:pos="784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Burkavage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17145</wp:posOffset>
            </wp:positionV>
            <wp:extent cx="34118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Brian Burkavage</w:t>
      </w:r>
    </w:p>
    <w:p>
      <w:pPr>
        <w:spacing w:after="0" w:line="2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SVP, Finance</w:t>
      </w:r>
    </w:p>
    <w:p>
      <w:pPr>
        <w:spacing w:after="0" w:line="2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020"/>
          </w:cols>
          <w:pgMar w:left="340" w:top="1179" w:right="558" w:bottom="1440" w:gutter="0" w:footer="0" w:header="0"/>
        </w:sectPr>
      </w:pPr>
    </w:p>
    <w:bookmarkStart w:id="79" w:name="page80"/>
    <w:bookmarkEnd w:id="79"/>
    <w:p>
      <w:pPr>
        <w:spacing w:after="0" w:line="20" w:lineRule="exact"/>
        <w:rPr>
          <w:sz w:val="20"/>
          <w:szCs w:val="20"/>
          <w:color w:val="auto"/>
        </w:rPr>
      </w:pPr>
    </w:p>
    <w:p>
      <w:pPr>
        <w:sectPr>
          <w:pgSz w:w="11920" w:h="16838" w:orient="portrait"/>
          <w:cols w:equalWidth="1" w:num="1" w:space="0"/>
          <w:pgMar w:left="1440" w:top="1440" w:right="1440" w:bottom="875" w:gutter="0" w:footer="0" w:header="0"/>
        </w:sectPr>
      </w:pPr>
    </w:p>
    <w:bookmarkStart w:id="80" w:name="page81"/>
    <w:bookmarkEnd w:id="80"/>
    <w:p>
      <w:pPr>
        <w:ind w:left="9560"/>
        <w:spacing w:after="0"/>
        <w:rPr>
          <w:sz w:val="20"/>
          <w:szCs w:val="20"/>
          <w:color w:val="auto"/>
        </w:rPr>
      </w:pPr>
      <w:r>
        <w:rPr>
          <w:rFonts w:ascii="Times New Roman" w:cs="Times New Roman" w:eastAsia="Times New Roman" w:hAnsi="Times New Roman"/>
          <w:sz w:val="22"/>
          <w:szCs w:val="22"/>
          <w:b w:val="1"/>
          <w:bCs w:val="1"/>
          <w:color w:val="auto"/>
        </w:rPr>
        <w:t>Exhibit 10.11</w:t>
      </w:r>
    </w:p>
    <w:p>
      <w:pPr>
        <w:spacing w:after="0" w:line="39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DAMORA THERAPEUTICS, INC.</w:t>
      </w:r>
    </w:p>
    <w:p>
      <w:pPr>
        <w:spacing w:after="0" w:line="1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2026 EQUITY INCENTIVE PLAN</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GRANT NOTICE FOR</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RESTRICTED STOCK UNIT AWARD</w:t>
      </w:r>
    </w:p>
    <w:p>
      <w:pPr>
        <w:spacing w:after="0" w:line="217" w:lineRule="exact"/>
        <w:rPr>
          <w:sz w:val="20"/>
          <w:szCs w:val="20"/>
          <w:color w:val="auto"/>
        </w:rPr>
      </w:pPr>
    </w:p>
    <w:p>
      <w:pPr>
        <w:jc w:val="both"/>
        <w:ind w:left="20"/>
        <w:spacing w:after="0" w:line="236" w:lineRule="auto"/>
        <w:rPr>
          <w:sz w:val="20"/>
          <w:szCs w:val="20"/>
          <w:color w:val="auto"/>
        </w:rPr>
      </w:pPr>
      <w:r>
        <w:rPr>
          <w:rFonts w:ascii="Times New Roman" w:cs="Times New Roman" w:eastAsia="Times New Roman" w:hAnsi="Times New Roman"/>
          <w:sz w:val="22"/>
          <w:szCs w:val="22"/>
          <w:color w:val="auto"/>
        </w:rPr>
        <w:t>FOR GOOD AND VALUABLE CONSIDERATION, Damora Therapeutics,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hereby grants to the Participant named below the number of Restricted Stock Units (the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specified below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under the Damora Therapeutics, Inc. 2026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Each RSU represents the right to receive one Ordinary Share, upon the terms and subject to the conditions set forth in this Grant Notice, the Plan and the Standard Terms and Conditions (the “</w:t>
      </w:r>
      <w:r>
        <w:rPr>
          <w:rFonts w:ascii="Times New Roman" w:cs="Times New Roman" w:eastAsia="Times New Roman" w:hAnsi="Times New Roman"/>
          <w:sz w:val="22"/>
          <w:szCs w:val="22"/>
          <w:b w:val="1"/>
          <w:bCs w:val="1"/>
          <w:i w:val="1"/>
          <w:iCs w:val="1"/>
          <w:color w:val="auto"/>
        </w:rPr>
        <w:t>Standard Terms and Conditions</w:t>
      </w:r>
      <w:r>
        <w:rPr>
          <w:rFonts w:ascii="Times New Roman" w:cs="Times New Roman" w:eastAsia="Times New Roman" w:hAnsi="Times New Roman"/>
          <w:sz w:val="22"/>
          <w:szCs w:val="22"/>
          <w:color w:val="auto"/>
        </w:rPr>
        <w:t xml:space="preserve">”) promulgated under such Plan and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This Award is granted pursuant to the Plan and is subject to and qualified in its entirety by the Plan and the Standard Terms and Conditions. Capitalized terms not otherwise defined herein shall have the meanings set forth in the Plan.</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380"/>
        </w:trPr>
        <w:tc>
          <w:tcPr>
            <w:tcW w:w="38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 of Participant:</w:t>
            </w:r>
          </w:p>
        </w:tc>
        <w:tc>
          <w:tcPr>
            <w:tcW w:w="74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93"/>
        </w:trPr>
        <w:tc>
          <w:tcPr>
            <w:tcW w:w="3880" w:type="dxa"/>
            <w:vAlign w:val="bottom"/>
            <w:tcBorders>
              <w:left w:val="single" w:sz="8" w:color="auto"/>
              <w:bottom w:val="single" w:sz="8" w:color="auto"/>
              <w:right w:val="single" w:sz="8" w:color="auto"/>
            </w:tcBorders>
          </w:tcPr>
          <w:p>
            <w:pPr>
              <w:spacing w:after="0"/>
              <w:rPr>
                <w:sz w:val="8"/>
                <w:szCs w:val="8"/>
                <w:color w:val="auto"/>
              </w:rPr>
            </w:pPr>
          </w:p>
        </w:tc>
        <w:tc>
          <w:tcPr>
            <w:tcW w:w="7420" w:type="dxa"/>
            <w:vAlign w:val="bottom"/>
            <w:tcBorders>
              <w:bottom w:val="single" w:sz="8" w:color="auto"/>
              <w:right w:val="single" w:sz="8" w:color="auto"/>
            </w:tcBorders>
          </w:tcPr>
          <w:p>
            <w:pPr>
              <w:spacing w:after="0"/>
              <w:rPr>
                <w:sz w:val="8"/>
                <w:szCs w:val="8"/>
                <w:color w:val="auto"/>
              </w:rPr>
            </w:pPr>
          </w:p>
        </w:tc>
      </w:tr>
      <w:tr>
        <w:trPr>
          <w:trHeight w:val="360"/>
        </w:trPr>
        <w:tc>
          <w:tcPr>
            <w:tcW w:w="3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Grant Date:</w:t>
            </w:r>
          </w:p>
        </w:tc>
        <w:tc>
          <w:tcPr>
            <w:tcW w:w="7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96"/>
        </w:trPr>
        <w:tc>
          <w:tcPr>
            <w:tcW w:w="3880" w:type="dxa"/>
            <w:vAlign w:val="bottom"/>
            <w:tcBorders>
              <w:left w:val="single" w:sz="8" w:color="auto"/>
              <w:bottom w:val="single" w:sz="8" w:color="auto"/>
              <w:right w:val="single" w:sz="8" w:color="auto"/>
            </w:tcBorders>
          </w:tcPr>
          <w:p>
            <w:pPr>
              <w:spacing w:after="0"/>
              <w:rPr>
                <w:sz w:val="8"/>
                <w:szCs w:val="8"/>
                <w:color w:val="auto"/>
              </w:rPr>
            </w:pPr>
          </w:p>
        </w:tc>
        <w:tc>
          <w:tcPr>
            <w:tcW w:w="7420" w:type="dxa"/>
            <w:vAlign w:val="bottom"/>
            <w:tcBorders>
              <w:bottom w:val="single" w:sz="8" w:color="auto"/>
              <w:right w:val="single" w:sz="8" w:color="auto"/>
            </w:tcBorders>
          </w:tcPr>
          <w:p>
            <w:pPr>
              <w:spacing w:after="0"/>
              <w:rPr>
                <w:sz w:val="8"/>
                <w:szCs w:val="8"/>
                <w:color w:val="auto"/>
              </w:rPr>
            </w:pPr>
          </w:p>
        </w:tc>
      </w:tr>
      <w:tr>
        <w:trPr>
          <w:trHeight w:val="357"/>
        </w:trPr>
        <w:tc>
          <w:tcPr>
            <w:tcW w:w="3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Number of RSUs:</w:t>
            </w:r>
          </w:p>
        </w:tc>
        <w:tc>
          <w:tcPr>
            <w:tcW w:w="7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96"/>
        </w:trPr>
        <w:tc>
          <w:tcPr>
            <w:tcW w:w="3880" w:type="dxa"/>
            <w:vAlign w:val="bottom"/>
            <w:tcBorders>
              <w:left w:val="single" w:sz="8" w:color="auto"/>
              <w:bottom w:val="single" w:sz="8" w:color="auto"/>
              <w:right w:val="single" w:sz="8" w:color="auto"/>
            </w:tcBorders>
          </w:tcPr>
          <w:p>
            <w:pPr>
              <w:spacing w:after="0"/>
              <w:rPr>
                <w:sz w:val="8"/>
                <w:szCs w:val="8"/>
                <w:color w:val="auto"/>
              </w:rPr>
            </w:pPr>
          </w:p>
        </w:tc>
        <w:tc>
          <w:tcPr>
            <w:tcW w:w="7420" w:type="dxa"/>
            <w:vAlign w:val="bottom"/>
            <w:tcBorders>
              <w:bottom w:val="single" w:sz="8" w:color="auto"/>
              <w:right w:val="single" w:sz="8" w:color="auto"/>
            </w:tcBorders>
          </w:tcPr>
          <w:p>
            <w:pPr>
              <w:spacing w:after="0"/>
              <w:rPr>
                <w:sz w:val="8"/>
                <w:szCs w:val="8"/>
                <w:color w:val="auto"/>
              </w:rPr>
            </w:pPr>
          </w:p>
        </w:tc>
      </w:tr>
      <w:tr>
        <w:trPr>
          <w:trHeight w:val="357"/>
        </w:trPr>
        <w:tc>
          <w:tcPr>
            <w:tcW w:w="3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Vesting Commencement Date:</w:t>
            </w:r>
          </w:p>
        </w:tc>
        <w:tc>
          <w:tcPr>
            <w:tcW w:w="7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96"/>
        </w:trPr>
        <w:tc>
          <w:tcPr>
            <w:tcW w:w="3880" w:type="dxa"/>
            <w:vAlign w:val="bottom"/>
            <w:tcBorders>
              <w:left w:val="single" w:sz="8" w:color="auto"/>
              <w:bottom w:val="single" w:sz="8" w:color="auto"/>
              <w:right w:val="single" w:sz="8" w:color="auto"/>
            </w:tcBorders>
          </w:tcPr>
          <w:p>
            <w:pPr>
              <w:spacing w:after="0"/>
              <w:rPr>
                <w:sz w:val="8"/>
                <w:szCs w:val="8"/>
                <w:color w:val="auto"/>
              </w:rPr>
            </w:pPr>
          </w:p>
        </w:tc>
        <w:tc>
          <w:tcPr>
            <w:tcW w:w="7420" w:type="dxa"/>
            <w:vAlign w:val="bottom"/>
            <w:tcBorders>
              <w:bottom w:val="single" w:sz="8" w:color="auto"/>
              <w:right w:val="single" w:sz="8" w:color="auto"/>
            </w:tcBorders>
          </w:tcPr>
          <w:p>
            <w:pPr>
              <w:spacing w:after="0"/>
              <w:rPr>
                <w:sz w:val="8"/>
                <w:szCs w:val="8"/>
                <w:color w:val="auto"/>
              </w:rPr>
            </w:pPr>
          </w:p>
        </w:tc>
      </w:tr>
      <w:tr>
        <w:trPr>
          <w:trHeight w:val="317"/>
        </w:trPr>
        <w:tc>
          <w:tcPr>
            <w:tcW w:w="38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Vesting Schedule:</w:t>
            </w:r>
          </w:p>
        </w:tc>
        <w:tc>
          <w:tcPr>
            <w:tcW w:w="7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Subject to the Plan and the Standard Terms and Conditions, the RSUs shall vest in</w:t>
            </w:r>
          </w:p>
        </w:tc>
      </w:tr>
      <w:tr>
        <w:trPr>
          <w:trHeight w:val="243"/>
        </w:trPr>
        <w:tc>
          <w:tcPr>
            <w:tcW w:w="3880" w:type="dxa"/>
            <w:vAlign w:val="bottom"/>
            <w:tcBorders>
              <w:left w:val="single" w:sz="8" w:color="auto"/>
              <w:right w:val="single" w:sz="8" w:color="auto"/>
            </w:tcBorders>
          </w:tcPr>
          <w:p>
            <w:pPr>
              <w:spacing w:after="0"/>
              <w:rPr>
                <w:sz w:val="21"/>
                <w:szCs w:val="21"/>
                <w:color w:val="auto"/>
              </w:rPr>
            </w:pPr>
          </w:p>
        </w:tc>
        <w:tc>
          <w:tcPr>
            <w:tcW w:w="742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accordance with the following schedule, provided that the Participant does not</w:t>
            </w:r>
          </w:p>
        </w:tc>
      </w:tr>
      <w:tr>
        <w:trPr>
          <w:trHeight w:val="243"/>
        </w:trPr>
        <w:tc>
          <w:tcPr>
            <w:tcW w:w="3880" w:type="dxa"/>
            <w:vAlign w:val="bottom"/>
            <w:tcBorders>
              <w:left w:val="single" w:sz="8" w:color="auto"/>
              <w:right w:val="single" w:sz="8" w:color="auto"/>
            </w:tcBorders>
          </w:tcPr>
          <w:p>
            <w:pPr>
              <w:spacing w:after="0"/>
              <w:rPr>
                <w:sz w:val="21"/>
                <w:szCs w:val="21"/>
                <w:color w:val="auto"/>
              </w:rPr>
            </w:pPr>
          </w:p>
        </w:tc>
        <w:tc>
          <w:tcPr>
            <w:tcW w:w="742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experience a Termination of Employment on or prior to the applicable vesting</w:t>
            </w:r>
          </w:p>
        </w:tc>
      </w:tr>
      <w:tr>
        <w:trPr>
          <w:trHeight w:val="243"/>
        </w:trPr>
        <w:tc>
          <w:tcPr>
            <w:tcW w:w="3880" w:type="dxa"/>
            <w:vAlign w:val="bottom"/>
            <w:tcBorders>
              <w:left w:val="single" w:sz="8" w:color="auto"/>
              <w:right w:val="single" w:sz="8" w:color="auto"/>
            </w:tcBorders>
          </w:tcPr>
          <w:p>
            <w:pPr>
              <w:spacing w:after="0"/>
              <w:rPr>
                <w:sz w:val="21"/>
                <w:szCs w:val="21"/>
                <w:color w:val="auto"/>
              </w:rPr>
            </w:pPr>
          </w:p>
        </w:tc>
        <w:tc>
          <w:tcPr>
            <w:tcW w:w="742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date: [25% of the RSUs shall vest on each of the first four anniversaries of the</w:t>
            </w:r>
          </w:p>
        </w:tc>
      </w:tr>
      <w:tr>
        <w:trPr>
          <w:trHeight w:val="282"/>
        </w:trPr>
        <w:tc>
          <w:tcPr>
            <w:tcW w:w="3880" w:type="dxa"/>
            <w:vAlign w:val="bottom"/>
            <w:tcBorders>
              <w:left w:val="single" w:sz="8" w:color="auto"/>
              <w:right w:val="single" w:sz="8" w:color="auto"/>
            </w:tcBorders>
          </w:tcPr>
          <w:p>
            <w:pPr>
              <w:spacing w:after="0"/>
              <w:rPr>
                <w:sz w:val="24"/>
                <w:szCs w:val="24"/>
                <w:color w:val="auto"/>
              </w:rPr>
            </w:pPr>
          </w:p>
        </w:tc>
        <w:tc>
          <w:tcPr>
            <w:tcW w:w="7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Vesting Commencement Date].</w:t>
            </w:r>
          </w:p>
        </w:tc>
      </w:tr>
      <w:tr>
        <w:trPr>
          <w:trHeight w:val="96"/>
        </w:trPr>
        <w:tc>
          <w:tcPr>
            <w:tcW w:w="3880" w:type="dxa"/>
            <w:vAlign w:val="bottom"/>
            <w:tcBorders>
              <w:left w:val="single" w:sz="8" w:color="auto"/>
              <w:bottom w:val="single" w:sz="8" w:color="auto"/>
              <w:right w:val="single" w:sz="8" w:color="auto"/>
            </w:tcBorders>
          </w:tcPr>
          <w:p>
            <w:pPr>
              <w:spacing w:after="0"/>
              <w:rPr>
                <w:sz w:val="8"/>
                <w:szCs w:val="8"/>
                <w:color w:val="auto"/>
              </w:rPr>
            </w:pPr>
          </w:p>
        </w:tc>
        <w:tc>
          <w:tcPr>
            <w:tcW w:w="7420" w:type="dxa"/>
            <w:vAlign w:val="bottom"/>
            <w:tcBorders>
              <w:bottom w:val="single" w:sz="8" w:color="auto"/>
              <w:right w:val="single" w:sz="8" w:color="auto"/>
            </w:tcBorders>
          </w:tcPr>
          <w:p>
            <w:pPr>
              <w:spacing w:after="0"/>
              <w:rPr>
                <w:sz w:val="8"/>
                <w:szCs w:val="8"/>
                <w:color w:val="auto"/>
              </w:rPr>
            </w:pPr>
          </w:p>
        </w:tc>
      </w:tr>
      <w:tr>
        <w:trPr>
          <w:trHeight w:val="1620"/>
        </w:trPr>
        <w:tc>
          <w:tcPr>
            <w:tcW w:w="3880" w:type="dxa"/>
            <w:vAlign w:val="bottom"/>
            <w:tcBorders>
              <w:bottom w:val="single" w:sz="8" w:color="9A9A9A"/>
            </w:tcBorders>
          </w:tcPr>
          <w:p>
            <w:pPr>
              <w:spacing w:after="0"/>
              <w:rPr>
                <w:sz w:val="24"/>
                <w:szCs w:val="24"/>
                <w:color w:val="auto"/>
              </w:rPr>
            </w:pPr>
          </w:p>
        </w:tc>
        <w:tc>
          <w:tcPr>
            <w:tcW w:w="7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80"/>
          </w:cols>
          <w:pgMar w:left="320" w:top="751" w:right="318" w:bottom="1440" w:gutter="0" w:footer="0" w:header="0"/>
        </w:sectPr>
      </w:pPr>
    </w:p>
    <w:bookmarkStart w:id="81" w:name="page82"/>
    <w:bookmarkEnd w:id="81"/>
    <w:p>
      <w:pPr>
        <w:spacing w:after="0" w:line="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By accepting this Grant Notice, the Participant acknowledges that the Participant has received and read, and agrees that this Award shall be subject to, the terms of this Grant Notice, the Plan, and the Standard Terms and Conditions.</w:t>
      </w:r>
    </w:p>
    <w:p>
      <w:pPr>
        <w:spacing w:after="0" w:line="200" w:lineRule="exact"/>
        <w:rPr>
          <w:sz w:val="20"/>
          <w:szCs w:val="20"/>
          <w:color w:val="auto"/>
        </w:rPr>
      </w:pPr>
    </w:p>
    <w:p>
      <w:pPr>
        <w:spacing w:after="0" w:line="22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DAMORA THERAPEUTICS,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rant</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otice 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estricted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2"/>
          <w:szCs w:val="12"/>
          <w:color w:val="auto"/>
        </w:rPr>
        <w:t>nit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473075</wp:posOffset>
            </wp:positionV>
            <wp:extent cx="71831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sectPr>
      </w:pPr>
    </w:p>
    <w:bookmarkStart w:id="82" w:name="page83"/>
    <w:bookmarkEnd w:id="82"/>
    <w:p>
      <w:pPr>
        <w:jc w:val="center"/>
        <w:ind w:right="-6"/>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ind w:left="3987"/>
        <w:spacing w:after="0"/>
        <w:rPr>
          <w:sz w:val="20"/>
          <w:szCs w:val="20"/>
          <w:color w:val="auto"/>
        </w:rPr>
      </w:pPr>
      <w:r>
        <w:rPr>
          <w:rFonts w:ascii="Times New Roman" w:cs="Times New Roman" w:eastAsia="Times New Roman" w:hAnsi="Times New Roman"/>
          <w:sz w:val="22"/>
          <w:szCs w:val="22"/>
          <w:b w:val="1"/>
          <w:bCs w:val="1"/>
          <w:color w:val="auto"/>
        </w:rPr>
        <w:t>DAMORA THERAPEUTICS, INC.</w:t>
      </w:r>
    </w:p>
    <w:p>
      <w:pPr>
        <w:spacing w:after="0" w:line="18" w:lineRule="exact"/>
        <w:rPr>
          <w:sz w:val="20"/>
          <w:szCs w:val="20"/>
          <w:color w:val="auto"/>
        </w:rPr>
      </w:pPr>
    </w:p>
    <w:p>
      <w:pPr>
        <w:ind w:left="4007"/>
        <w:spacing w:after="0"/>
        <w:rPr>
          <w:sz w:val="20"/>
          <w:szCs w:val="20"/>
          <w:color w:val="auto"/>
        </w:rPr>
      </w:pPr>
      <w:r>
        <w:rPr>
          <w:rFonts w:ascii="Times New Roman" w:cs="Times New Roman" w:eastAsia="Times New Roman" w:hAnsi="Times New Roman"/>
          <w:sz w:val="22"/>
          <w:szCs w:val="22"/>
          <w:b w:val="1"/>
          <w:bCs w:val="1"/>
          <w:color w:val="auto"/>
        </w:rPr>
        <w:t>2026 EQUITY INCENTIVE PLAN</w:t>
      </w:r>
    </w:p>
    <w:p>
      <w:pPr>
        <w:spacing w:after="0" w:line="17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b w:val="1"/>
          <w:bCs w:val="1"/>
          <w:color w:val="auto"/>
        </w:rPr>
        <w:t>STANDARD TERMS AND CONDITIONS FOR</w:t>
      </w:r>
    </w:p>
    <w:p>
      <w:pPr>
        <w:spacing w:after="0" w:line="1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b w:val="1"/>
          <w:bCs w:val="1"/>
          <w:color w:val="auto"/>
        </w:rPr>
        <w:t>RESTRICTED STOCK UNITS</w:t>
      </w:r>
    </w:p>
    <w:p>
      <w:pPr>
        <w:spacing w:after="0" w:line="182" w:lineRule="exact"/>
        <w:rPr>
          <w:sz w:val="20"/>
          <w:szCs w:val="20"/>
          <w:color w:val="auto"/>
        </w:rPr>
      </w:pPr>
    </w:p>
    <w:p>
      <w:pPr>
        <w:jc w:val="both"/>
        <w:ind w:left="7"/>
        <w:spacing w:after="0" w:line="238" w:lineRule="auto"/>
        <w:rPr>
          <w:sz w:val="20"/>
          <w:szCs w:val="20"/>
          <w:color w:val="auto"/>
        </w:rPr>
      </w:pPr>
      <w:r>
        <w:rPr>
          <w:rFonts w:ascii="Times New Roman" w:cs="Times New Roman" w:eastAsia="Times New Roman" w:hAnsi="Times New Roman"/>
          <w:sz w:val="22"/>
          <w:szCs w:val="22"/>
          <w:color w:val="auto"/>
        </w:rPr>
        <w:t>These Standard Terms and Conditions apply to the Award of Restricted Stock Units granted pursuant to the Damora Therapeutics, Inc. 2026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which are evidenced by a Grant Notice that specifically refers to these Standard Terms and Conditions. In addition to these Standard Terms and Conditions, the Restricted Stock Units shall be subject to the terms of the Plan, which are incorporated into these Standard Terms and Conditions by this reference. Capitalized terms not otherwise defined herein shall have the meaning set forth in the Plan.</w:t>
      </w:r>
    </w:p>
    <w:p>
      <w:pPr>
        <w:spacing w:after="0" w:line="173" w:lineRule="exact"/>
        <w:rPr>
          <w:sz w:val="20"/>
          <w:szCs w:val="20"/>
          <w:color w:val="auto"/>
        </w:rPr>
      </w:pPr>
    </w:p>
    <w:p>
      <w:pPr>
        <w:ind w:left="747" w:hanging="747"/>
        <w:spacing w:after="0"/>
        <w:tabs>
          <w:tab w:leader="none" w:pos="747"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OF RESTRICTED STOCK UNITS</w:t>
      </w:r>
    </w:p>
    <w:p>
      <w:pPr>
        <w:spacing w:after="0" w:line="204" w:lineRule="exact"/>
        <w:rPr>
          <w:sz w:val="20"/>
          <w:szCs w:val="20"/>
          <w:color w:val="auto"/>
        </w:rPr>
      </w:pPr>
    </w:p>
    <w:p>
      <w:pPr>
        <w:jc w:val="both"/>
        <w:ind w:left="7" w:right="60"/>
        <w:spacing w:after="0" w:line="239" w:lineRule="auto"/>
        <w:rPr>
          <w:sz w:val="20"/>
          <w:szCs w:val="20"/>
          <w:color w:val="auto"/>
        </w:rPr>
      </w:pPr>
      <w:r>
        <w:rPr>
          <w:rFonts w:ascii="Times New Roman" w:cs="Times New Roman" w:eastAsia="Times New Roman" w:hAnsi="Times New Roman"/>
          <w:sz w:val="22"/>
          <w:szCs w:val="22"/>
          <w:color w:val="auto"/>
        </w:rPr>
        <w:t>Damora Therapeutics,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granted to the Participant named in the Grant Notice provided to said Participant herewith (the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an award of Restricted Stock Units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specified in the Grant Notice, with each Restricted Stock Unit representing the right to receive one Ordinary Share. The Award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73" w:lineRule="exact"/>
        <w:rPr>
          <w:sz w:val="20"/>
          <w:szCs w:val="20"/>
          <w:color w:val="auto"/>
        </w:rPr>
      </w:pPr>
    </w:p>
    <w:p>
      <w:pPr>
        <w:ind w:left="747" w:hanging="747"/>
        <w:spacing w:after="0"/>
        <w:tabs>
          <w:tab w:leader="none" w:pos="747"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AND SETTLEMENT OF RESTRICTED STOCK UNITS</w:t>
      </w:r>
    </w:p>
    <w:p>
      <w:pPr>
        <w:spacing w:after="0" w:line="210" w:lineRule="exact"/>
        <w:rPr>
          <w:rFonts w:ascii="Times New Roman" w:cs="Times New Roman" w:eastAsia="Times New Roman" w:hAnsi="Times New Roman"/>
          <w:sz w:val="22"/>
          <w:szCs w:val="22"/>
          <w:b w:val="1"/>
          <w:bCs w:val="1"/>
          <w:color w:val="auto"/>
        </w:rPr>
      </w:pPr>
    </w:p>
    <w:p>
      <w:pPr>
        <w:jc w:val="both"/>
        <w:ind w:left="7" w:right="60" w:firstLine="744"/>
        <w:spacing w:after="0" w:line="249" w:lineRule="auto"/>
        <w:tabs>
          <w:tab w:leader="none" w:pos="1027"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Award shall not be vested as of the Grant Date set forth in the Grant Notice and shall be forfeitable unless and until otherwise vested pursuant to the terms of the Grant Notice and these Standard Terms and Conditions. After the Grant Date, subject to termination as provided in these Standard Terms and Conditions and the Plan, the Award shall become vested as described in the Grant Notice with respect to that number of Restricted Stock Units as set forth in the Grant Notice. Restricted Stock Units that have vested and are no longer subject to forfeiture are referred to herein as “</w:t>
      </w:r>
      <w:r>
        <w:rPr>
          <w:rFonts w:ascii="Times New Roman" w:cs="Times New Roman" w:eastAsia="Times New Roman" w:hAnsi="Times New Roman"/>
          <w:sz w:val="21"/>
          <w:szCs w:val="21"/>
          <w:b w:val="1"/>
          <w:bCs w:val="1"/>
          <w:i w:val="1"/>
          <w:iCs w:val="1"/>
          <w:color w:val="auto"/>
        </w:rPr>
        <w:t>Vested RSUs</w:t>
      </w:r>
      <w:r>
        <w:rPr>
          <w:rFonts w:ascii="Times New Roman" w:cs="Times New Roman" w:eastAsia="Times New Roman" w:hAnsi="Times New Roman"/>
          <w:sz w:val="21"/>
          <w:szCs w:val="21"/>
          <w:color w:val="auto"/>
        </w:rPr>
        <w:t>.” Restricted Stock Units awarded hereunder that are not vested and remain subject to forfeiture are referred to herein as “</w:t>
      </w:r>
      <w:r>
        <w:rPr>
          <w:rFonts w:ascii="Times New Roman" w:cs="Times New Roman" w:eastAsia="Times New Roman" w:hAnsi="Times New Roman"/>
          <w:sz w:val="21"/>
          <w:szCs w:val="21"/>
          <w:b w:val="1"/>
          <w:bCs w:val="1"/>
          <w:i w:val="1"/>
          <w:iCs w:val="1"/>
          <w:color w:val="auto"/>
        </w:rPr>
        <w:t>Unvested RSUs</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left="7" w:right="60" w:firstLine="751"/>
        <w:spacing w:after="0" w:line="244" w:lineRule="auto"/>
        <w:rPr>
          <w:sz w:val="20"/>
          <w:szCs w:val="20"/>
          <w:color w:val="auto"/>
        </w:rPr>
      </w:pPr>
      <w:r>
        <w:rPr>
          <w:rFonts w:ascii="Times New Roman" w:cs="Times New Roman" w:eastAsia="Times New Roman" w:hAnsi="Times New Roman"/>
          <w:sz w:val="22"/>
          <w:szCs w:val="22"/>
          <w:color w:val="auto"/>
        </w:rPr>
        <w:t xml:space="preserve">(b)As soon as administratively practicable following the vesting of the RSUs pursuant to the Grant Notice and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 but in no event later than 60 days after each vesting date, the Company shall deliver to the Participant a number of Ordinary Shares equal to the number of RSUs that vested on such date.</w:t>
      </w:r>
    </w:p>
    <w:p>
      <w:pPr>
        <w:spacing w:after="0" w:line="173" w:lineRule="exact"/>
        <w:rPr>
          <w:sz w:val="20"/>
          <w:szCs w:val="20"/>
          <w:color w:val="auto"/>
        </w:rPr>
      </w:pPr>
    </w:p>
    <w:p>
      <w:pPr>
        <w:jc w:val="both"/>
        <w:ind w:left="7" w:right="60" w:firstLine="744"/>
        <w:spacing w:after="0" w:line="239" w:lineRule="auto"/>
        <w:tabs>
          <w:tab w:leader="none" w:pos="102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any written employment, offer, services or severance agreement or letter between the Participant and the Company or under the terms of any severance plan in which the Participant participates, upon the Participant’s Termination of Employment for any reason, any then Unvested RSUs held by the Participant shall be forfeited and canceled as of the date of such Termination of Employment.</w:t>
      </w:r>
    </w:p>
    <w:p>
      <w:pPr>
        <w:spacing w:after="0" w:line="189" w:lineRule="exact"/>
        <w:rPr>
          <w:sz w:val="20"/>
          <w:szCs w:val="20"/>
          <w:color w:val="auto"/>
        </w:rPr>
      </w:pPr>
    </w:p>
    <w:p>
      <w:pPr>
        <w:ind w:left="5287"/>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xhibit</w:t>
      </w:r>
      <w:r>
        <w:rPr>
          <w:rFonts w:ascii="Times New Roman" w:cs="Times New Roman" w:eastAsia="Times New Roman" w:hAnsi="Times New Roman"/>
          <w:sz w:val="18"/>
          <w:szCs w:val="18"/>
          <w:color w:val="auto"/>
        </w:rPr>
        <w:t xml:space="preserve"> A</w:t>
      </w:r>
    </w:p>
    <w:p>
      <w:pPr>
        <w:spacing w:after="0" w:line="27" w:lineRule="exact"/>
        <w:rPr>
          <w:sz w:val="20"/>
          <w:szCs w:val="20"/>
          <w:color w:val="auto"/>
        </w:rPr>
      </w:pPr>
    </w:p>
    <w:p>
      <w:pPr>
        <w:ind w:left="4447"/>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tandard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erms and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onditions</w:t>
      </w:r>
    </w:p>
    <w:p>
      <w:pPr>
        <w:spacing w:after="0" w:line="9" w:lineRule="exact"/>
        <w:rPr>
          <w:sz w:val="20"/>
          <w:szCs w:val="20"/>
          <w:color w:val="auto"/>
        </w:rPr>
      </w:pPr>
    </w:p>
    <w:p>
      <w:pPr>
        <w:ind w:left="4647"/>
        <w:spacing w:after="0"/>
        <w:rPr>
          <w:sz w:val="20"/>
          <w:szCs w:val="20"/>
          <w:color w:val="auto"/>
        </w:rPr>
      </w:pPr>
      <w:r>
        <w:rPr>
          <w:rFonts w:ascii="Times New Roman" w:cs="Times New Roman" w:eastAsia="Times New Roman" w:hAnsi="Times New Roman"/>
          <w:sz w:val="12"/>
          <w:szCs w:val="12"/>
          <w:color w:val="auto"/>
        </w:rPr>
        <w:t xml:space="preserve">for </w:t>
      </w:r>
      <w:r>
        <w:rPr>
          <w:rFonts w:ascii="Times New Roman" w:cs="Times New Roman" w:eastAsia="Times New Roman" w:hAnsi="Times New Roman"/>
          <w:sz w:val="17"/>
          <w:szCs w:val="17"/>
          <w:color w:val="auto"/>
        </w:rPr>
        <w:t>R</w:t>
      </w:r>
      <w:r>
        <w:rPr>
          <w:rFonts w:ascii="Times New Roman" w:cs="Times New Roman" w:eastAsia="Times New Roman" w:hAnsi="Times New Roman"/>
          <w:sz w:val="12"/>
          <w:szCs w:val="12"/>
          <w:color w:val="auto"/>
        </w:rPr>
        <w:t xml:space="preserve">estricted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U</w:t>
      </w:r>
      <w:r>
        <w:rPr>
          <w:rFonts w:ascii="Times New Roman" w:cs="Times New Roman" w:eastAsia="Times New Roman" w:hAnsi="Times New Roman"/>
          <w:sz w:val="12"/>
          <w:szCs w:val="12"/>
          <w:color w:val="auto"/>
        </w:rPr>
        <w:t>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480695</wp:posOffset>
            </wp:positionV>
            <wp:extent cx="71831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399" w:right="318" w:bottom="1440" w:gutter="0" w:footer="0" w:header="0"/>
        </w:sectPr>
      </w:pPr>
    </w:p>
    <w:bookmarkStart w:id="83" w:name="page84"/>
    <w:bookmarkEnd w:id="83"/>
    <w:p>
      <w:pPr>
        <w:ind w:left="747" w:hanging="747"/>
        <w:spacing w:after="0"/>
        <w:tabs>
          <w:tab w:leader="none" w:pos="747"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AS SHAREHOLDER</w:t>
      </w:r>
    </w:p>
    <w:p>
      <w:pPr>
        <w:spacing w:after="0" w:line="210" w:lineRule="exact"/>
        <w:rPr>
          <w:sz w:val="20"/>
          <w:szCs w:val="20"/>
          <w:color w:val="auto"/>
        </w:rPr>
      </w:pPr>
    </w:p>
    <w:p>
      <w:pPr>
        <w:jc w:val="both"/>
        <w:ind w:left="7" w:firstLine="751"/>
        <w:spacing w:after="0" w:line="244" w:lineRule="auto"/>
        <w:rPr>
          <w:sz w:val="20"/>
          <w:szCs w:val="20"/>
          <w:color w:val="auto"/>
        </w:rPr>
      </w:pPr>
      <w:r>
        <w:rPr>
          <w:rFonts w:ascii="Times New Roman" w:cs="Times New Roman" w:eastAsia="Times New Roman" w:hAnsi="Times New Roman"/>
          <w:sz w:val="22"/>
          <w:szCs w:val="22"/>
          <w:color w:val="auto"/>
        </w:rPr>
        <w:t>(d)The Participant shall not be, nor have any of the rights or privileges of, a shareholder of the Company in respect of any RSUs unless and until Ordinary Shares settled for such RSUs shall have been issued by the Company to the Participant (as evidenced by the appropriate entry on the books of the Company or of a duly authorized transfer agent of the Company).</w:t>
      </w:r>
    </w:p>
    <w:p>
      <w:pPr>
        <w:spacing w:after="0" w:line="173" w:lineRule="exact"/>
        <w:rPr>
          <w:sz w:val="20"/>
          <w:szCs w:val="20"/>
          <w:color w:val="auto"/>
        </w:rPr>
      </w:pPr>
    </w:p>
    <w:p>
      <w:pPr>
        <w:jc w:val="both"/>
        <w:ind w:left="7" w:firstLine="744"/>
        <w:spacing w:after="0" w:line="234" w:lineRule="auto"/>
        <w:tabs>
          <w:tab w:leader="none" w:pos="1027"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from and after the Grant Date and until the earlier of (i) the Participant’s receipt of Ordinary Shares upon payment of RSUs and (ii) the time when the Participant’s right to receive Ordinary Shares upon payment of RSUs is forfeited, on the date that the Company pays a cash dividend (if any) to holders of Ordinary Shares generally, the Participant shall be entitled, as a Dividend Equivalent, to a number of additional whole RSUs determined by dividing (x) the product of (A) the dollar amount of the cash dividend paid per Ordinary Share on such date and (B) the total number of RSUs (including Dividend Equivalents credited thereon) previously credited to the Participant as of such date, by (y) the Fair Market Value per Ordinary Share on such date. Such Dividend Equivalents (if any) shall be subject to the same terms and conditions and shall be settled or forfeited in the same manner and at the same time as the RSUs to which the Dividend Equivalents were credited.</w:t>
      </w:r>
    </w:p>
    <w:p>
      <w:pPr>
        <w:spacing w:after="0" w:line="179" w:lineRule="exact"/>
        <w:rPr>
          <w:rFonts w:ascii="Times New Roman" w:cs="Times New Roman" w:eastAsia="Times New Roman" w:hAnsi="Times New Roman"/>
          <w:sz w:val="22"/>
          <w:szCs w:val="22"/>
          <w:color w:val="auto"/>
        </w:rPr>
      </w:pPr>
    </w:p>
    <w:p>
      <w:pPr>
        <w:ind w:left="747" w:hanging="747"/>
        <w:spacing w:after="0"/>
        <w:tabs>
          <w:tab w:leader="none" w:pos="747"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RESALES OF SHARES</w:t>
      </w:r>
    </w:p>
    <w:p>
      <w:pPr>
        <w:spacing w:after="0" w:line="210" w:lineRule="exact"/>
        <w:rPr>
          <w:sz w:val="20"/>
          <w:szCs w:val="20"/>
          <w:color w:val="auto"/>
        </w:rPr>
      </w:pPr>
    </w:p>
    <w:p>
      <w:pPr>
        <w:jc w:val="both"/>
        <w:ind w:left="7"/>
        <w:spacing w:after="0" w:line="238" w:lineRule="auto"/>
        <w:rPr>
          <w:sz w:val="20"/>
          <w:szCs w:val="20"/>
          <w:color w:val="auto"/>
        </w:rPr>
      </w:pPr>
      <w:r>
        <w:rPr>
          <w:rFonts w:ascii="Times New Roman" w:cs="Times New Roman" w:eastAsia="Times New Roman" w:hAnsi="Times New Roman"/>
          <w:sz w:val="22"/>
          <w:szCs w:val="22"/>
          <w:color w:val="auto"/>
        </w:rPr>
        <w:t>The Company may impose such restrictions, conditions or limitations as it determines appropriate as to the timing and manner of any resales by the Participant or other subsequent transfers by the Participant of any Ordinary Shares issued pursuant to Vested RSUs, including (a) restrictions under an insider trading policy, (b) restrictions designed to delay and/or coordinate the timing and manner of sales by the Participant and other holders and (c) restrictions as to the use of a specified brokerage firm for such resales or other transfers.</w:t>
      </w:r>
    </w:p>
    <w:p>
      <w:pPr>
        <w:spacing w:after="0" w:line="173" w:lineRule="exact"/>
        <w:rPr>
          <w:sz w:val="20"/>
          <w:szCs w:val="20"/>
          <w:color w:val="auto"/>
        </w:rPr>
      </w:pPr>
    </w:p>
    <w:p>
      <w:pPr>
        <w:ind w:left="747" w:hanging="747"/>
        <w:spacing w:after="0"/>
        <w:tabs>
          <w:tab w:leader="none" w:pos="747"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210" w:lineRule="exact"/>
        <w:rPr>
          <w:sz w:val="20"/>
          <w:szCs w:val="20"/>
          <w:color w:val="auto"/>
        </w:rPr>
      </w:pPr>
    </w:p>
    <w:p>
      <w:pPr>
        <w:jc w:val="both"/>
        <w:ind w:left="7"/>
        <w:spacing w:after="0" w:line="235" w:lineRule="auto"/>
        <w:rPr>
          <w:sz w:val="20"/>
          <w:szCs w:val="20"/>
          <w:color w:val="auto"/>
        </w:rPr>
      </w:pPr>
      <w:r>
        <w:rPr>
          <w:rFonts w:ascii="Times New Roman" w:cs="Times New Roman" w:eastAsia="Times New Roman" w:hAnsi="Times New Roman"/>
          <w:sz w:val="22"/>
          <w:szCs w:val="22"/>
          <w:color w:val="auto"/>
        </w:rPr>
        <w:t>To the extent required by applicable federal, state, local or foreign law, the Participant shall make arrangements satisfactory to the Company for the satisfaction of any withholding tax obligations that arise by reason of the grant or vesting of the RSUs. The Company shall not be required to issue Ordinary Shares or to recognize the disposition of such Ordinary Shares until such obligations are satisfied. The Company shall have the authority to cause the required tax withholding obligation to be satisfied, in whole or in part, by the Company withholding cash from any compensation otherwise payable to or for the benefit of the Participant, the Company withholding a portion of the Ordinary Shares that otherwise would be issued to a Participant hereunder, by the Participant tendering to the Company cash or, if allowed by the Committee, Ordinary Shares, or by any other means approved by the Committee.</w:t>
      </w:r>
    </w:p>
    <w:p>
      <w:pPr>
        <w:spacing w:after="0" w:line="174" w:lineRule="exact"/>
        <w:rPr>
          <w:sz w:val="20"/>
          <w:szCs w:val="20"/>
          <w:color w:val="auto"/>
        </w:rPr>
      </w:pPr>
    </w:p>
    <w:p>
      <w:pPr>
        <w:ind w:left="747" w:hanging="747"/>
        <w:spacing w:after="0"/>
        <w:tabs>
          <w:tab w:leader="none" w:pos="747"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AWARD</w:t>
      </w:r>
    </w:p>
    <w:p>
      <w:pPr>
        <w:spacing w:after="0" w:line="210" w:lineRule="exact"/>
        <w:rPr>
          <w:sz w:val="20"/>
          <w:szCs w:val="20"/>
          <w:color w:val="auto"/>
        </w:rPr>
      </w:pPr>
    </w:p>
    <w:p>
      <w:pPr>
        <w:jc w:val="both"/>
        <w:ind w:left="7"/>
        <w:spacing w:after="0" w:line="239" w:lineRule="auto"/>
        <w:rPr>
          <w:sz w:val="20"/>
          <w:szCs w:val="20"/>
          <w:color w:val="auto"/>
        </w:rPr>
      </w:pPr>
      <w:r>
        <w:rPr>
          <w:rFonts w:ascii="Times New Roman" w:cs="Times New Roman" w:eastAsia="Times New Roman" w:hAnsi="Times New Roman"/>
          <w:sz w:val="22"/>
          <w:szCs w:val="22"/>
          <w:color w:val="auto"/>
        </w:rPr>
        <w:t>The Participant understands, acknowledges and agrees that the Award may not be sold, assigned, transferred, pledged or otherwise encumbered by the Participant, either voluntarily or by operation of law, except by will or the laws of descent and distribution. Notwithstanding the foregoing, (a) if permitted by the Committee, the Participant shall be permitted to transfer the Award as a gift to</w:t>
      </w:r>
    </w:p>
    <w:p>
      <w:pPr>
        <w:spacing w:after="0" w:line="200" w:lineRule="exact"/>
        <w:rPr>
          <w:sz w:val="20"/>
          <w:szCs w:val="20"/>
          <w:color w:val="auto"/>
        </w:rPr>
      </w:pPr>
    </w:p>
    <w:p>
      <w:pPr>
        <w:spacing w:after="0" w:line="385" w:lineRule="exact"/>
        <w:rPr>
          <w:sz w:val="20"/>
          <w:szCs w:val="20"/>
          <w:color w:val="auto"/>
        </w:rPr>
      </w:pPr>
    </w:p>
    <w:p>
      <w:pPr>
        <w:jc w:val="center"/>
        <w:ind w:right="-66"/>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wp:posOffset>
            </wp:positionV>
            <wp:extent cx="71831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07"/>
          </w:cols>
          <w:pgMar w:left="333" w:top="1399" w:right="378" w:bottom="1440" w:gutter="0" w:footer="0" w:header="0"/>
        </w:sectPr>
      </w:pPr>
    </w:p>
    <w:bookmarkStart w:id="84" w:name="page85"/>
    <w:bookmarkEnd w:id="84"/>
    <w:p>
      <w:pPr>
        <w:jc w:val="both"/>
        <w:ind w:left="7"/>
        <w:spacing w:after="0" w:line="244" w:lineRule="auto"/>
        <w:rPr>
          <w:sz w:val="20"/>
          <w:szCs w:val="20"/>
          <w:color w:val="auto"/>
        </w:rPr>
      </w:pPr>
      <w:r>
        <w:rPr>
          <w:rFonts w:ascii="Times New Roman" w:cs="Times New Roman" w:eastAsia="Times New Roman" w:hAnsi="Times New Roman"/>
          <w:sz w:val="22"/>
          <w:szCs w:val="22"/>
          <w:color w:val="auto"/>
        </w:rPr>
        <w:t>an Assignee Entity in accordance with and subject to the limits of Section 17 of the Plan and (b) if not previously so transferred, any Ordinary Shares that become issuable hereunder but which otherwise remain unissued at the time of the Participant’s death shall be issued to the Participant’s designated beneficiary or, if none, to the Participant’s estate.</w:t>
      </w:r>
    </w:p>
    <w:p>
      <w:pPr>
        <w:spacing w:after="0" w:line="169" w:lineRule="exact"/>
        <w:rPr>
          <w:sz w:val="20"/>
          <w:szCs w:val="20"/>
          <w:color w:val="auto"/>
        </w:rPr>
      </w:pPr>
    </w:p>
    <w:p>
      <w:pPr>
        <w:ind w:left="747" w:hanging="747"/>
        <w:spacing w:after="0"/>
        <w:tabs>
          <w:tab w:leader="none" w:pos="747"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SUPERSEDED</w:t>
      </w:r>
    </w:p>
    <w:p>
      <w:pPr>
        <w:spacing w:after="0" w:line="210" w:lineRule="exact"/>
        <w:rPr>
          <w:sz w:val="20"/>
          <w:szCs w:val="20"/>
          <w:color w:val="auto"/>
        </w:rPr>
      </w:pPr>
    </w:p>
    <w:p>
      <w:pPr>
        <w:jc w:val="both"/>
        <w:ind w:left="7"/>
        <w:spacing w:after="0" w:line="238" w:lineRule="auto"/>
        <w:rPr>
          <w:sz w:val="20"/>
          <w:szCs w:val="20"/>
          <w:color w:val="auto"/>
        </w:rPr>
      </w:pPr>
      <w:r>
        <w:rPr>
          <w:rFonts w:ascii="Times New Roman" w:cs="Times New Roman" w:eastAsia="Times New Roman" w:hAnsi="Times New Roman"/>
          <w:sz w:val="22"/>
          <w:szCs w:val="22"/>
          <w:color w:val="auto"/>
        </w:rPr>
        <w:t>The Grant Notice, these Standard Terms and Conditions, and the Plan constitute the entire understanding between the Participant and the Company regarding the Award; provided, however, that any provisions regarding the acceleration of the Award upon a Termination of Employment set forth in any written employment, offer, or severance agreement or letter between the Participant and the Company or under the terms of any severance plan in which the Participant participates shall continue to apply to the Award. Any prior agreements, commitments or negotiations concerning the Award are superseded.</w:t>
      </w:r>
    </w:p>
    <w:p>
      <w:pPr>
        <w:spacing w:after="0" w:line="173" w:lineRule="exact"/>
        <w:rPr>
          <w:sz w:val="20"/>
          <w:szCs w:val="20"/>
          <w:color w:val="auto"/>
        </w:rPr>
      </w:pPr>
    </w:p>
    <w:p>
      <w:pPr>
        <w:ind w:left="747" w:hanging="747"/>
        <w:spacing w:after="0"/>
        <w:tabs>
          <w:tab w:leader="none" w:pos="747"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INTEREST IN SHARES SUBJECT TO RESTRICTED STOCK UNITS</w:t>
      </w:r>
    </w:p>
    <w:p>
      <w:pPr>
        <w:spacing w:after="0" w:line="210" w:lineRule="exact"/>
        <w:rPr>
          <w:sz w:val="20"/>
          <w:szCs w:val="20"/>
          <w:color w:val="auto"/>
        </w:rPr>
      </w:pPr>
    </w:p>
    <w:p>
      <w:pPr>
        <w:jc w:val="both"/>
        <w:ind w:left="7"/>
        <w:spacing w:after="0" w:line="235" w:lineRule="auto"/>
        <w:rPr>
          <w:sz w:val="20"/>
          <w:szCs w:val="20"/>
          <w:color w:val="auto"/>
        </w:rPr>
      </w:pPr>
      <w:r>
        <w:rPr>
          <w:rFonts w:ascii="Times New Roman" w:cs="Times New Roman" w:eastAsia="Times New Roman" w:hAnsi="Times New Roman"/>
          <w:sz w:val="22"/>
          <w:szCs w:val="22"/>
          <w:color w:val="auto"/>
        </w:rPr>
        <w:t>Neither the Participant (individually or as a member of a group) nor any beneficiary or other person claiming under or through the Participant shall have any right, title, interest, or privilege in or to any Ordinary Shares allocated or reserved for the purpose of the Plan or subject to the Grant Notice or these Standard Terms and Conditions except as to such Ordinary Shares, if any, as shall have been issued to such person in connection with the Award.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or service at any time for any reason.</w:t>
      </w:r>
    </w:p>
    <w:p>
      <w:pPr>
        <w:spacing w:after="0" w:line="179" w:lineRule="exact"/>
        <w:rPr>
          <w:sz w:val="20"/>
          <w:szCs w:val="20"/>
          <w:color w:val="auto"/>
        </w:rPr>
      </w:pPr>
    </w:p>
    <w:p>
      <w:pPr>
        <w:ind w:left="747" w:hanging="747"/>
        <w:spacing w:after="0"/>
        <w:tabs>
          <w:tab w:leader="none" w:pos="747"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rFonts w:ascii="Times New Roman" w:cs="Times New Roman" w:eastAsia="Times New Roman" w:hAnsi="Times New Roman"/>
          <w:sz w:val="22"/>
          <w:szCs w:val="22"/>
          <w:b w:val="1"/>
          <w:bCs w:val="1"/>
          <w:color w:val="auto"/>
        </w:rPr>
      </w:pPr>
    </w:p>
    <w:p>
      <w:pPr>
        <w:jc w:val="both"/>
        <w:ind w:left="7" w:firstLine="744"/>
        <w:spacing w:after="0" w:line="255" w:lineRule="auto"/>
        <w:tabs>
          <w:tab w:leader="none" w:pos="1027"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62" w:lineRule="exact"/>
        <w:rPr>
          <w:sz w:val="20"/>
          <w:szCs w:val="20"/>
          <w:color w:val="auto"/>
        </w:rPr>
      </w:pPr>
    </w:p>
    <w:p>
      <w:pPr>
        <w:jc w:val="both"/>
        <w:ind w:left="7" w:firstLine="751"/>
        <w:spacing w:after="0" w:line="235" w:lineRule="auto"/>
        <w:rPr>
          <w:sz w:val="20"/>
          <w:szCs w:val="20"/>
          <w:color w:val="auto"/>
        </w:rPr>
      </w:pPr>
      <w:r>
        <w:rPr>
          <w:rFonts w:ascii="Times New Roman" w:cs="Times New Roman" w:eastAsia="Times New Roman" w:hAnsi="Times New Roman"/>
          <w:sz w:val="22"/>
          <w:szCs w:val="22"/>
          <w:color w:val="auto"/>
        </w:rPr>
        <w:t>(g)The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All references to “including” shall be construed as meaning “including without limitation” or words of similar import. References herein to any agreement, instrument or other document mean such agreement, instrument or other document as amended, supplemented and modified from time to time to the extent permitted by the provisions thereof and not prohibited by the Plan or these Standard Terms and Conditions.</w:t>
      </w:r>
    </w:p>
    <w:p>
      <w:pPr>
        <w:spacing w:after="0" w:line="183"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22"/>
          <w:szCs w:val="22"/>
          <w:color w:val="auto"/>
        </w:rPr>
        <w:t>(h)These Standard Terms and Conditions shall inure to the benefit of and be binding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6"/>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wp:posOffset>
            </wp:positionV>
            <wp:extent cx="71831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07"/>
          </w:cols>
          <w:pgMar w:left="333" w:top="1403" w:right="378" w:bottom="1440" w:gutter="0" w:footer="0" w:header="0"/>
        </w:sectPr>
      </w:pPr>
    </w:p>
    <w:bookmarkStart w:id="85" w:name="page86"/>
    <w:bookmarkEnd w:id="85"/>
    <w:p>
      <w:pPr>
        <w:ind w:left="7"/>
        <w:spacing w:after="0"/>
        <w:rPr>
          <w:sz w:val="20"/>
          <w:szCs w:val="20"/>
          <w:color w:val="auto"/>
        </w:rPr>
      </w:pPr>
      <w:r>
        <w:rPr>
          <w:rFonts w:ascii="Times New Roman" w:cs="Times New Roman" w:eastAsia="Times New Roman" w:hAnsi="Times New Roman"/>
          <w:sz w:val="22"/>
          <w:szCs w:val="22"/>
          <w:color w:val="auto"/>
        </w:rPr>
        <w:t>upon the parties hereto and their respective permitted heirs, beneficiaries, successors and assigns.</w:t>
      </w:r>
    </w:p>
    <w:p>
      <w:pPr>
        <w:spacing w:after="0" w:line="206" w:lineRule="exact"/>
        <w:rPr>
          <w:sz w:val="20"/>
          <w:szCs w:val="20"/>
          <w:color w:val="auto"/>
        </w:rPr>
      </w:pPr>
    </w:p>
    <w:p>
      <w:pPr>
        <w:ind w:left="7" w:right="60" w:firstLine="744"/>
        <w:spacing w:after="0" w:line="282" w:lineRule="auto"/>
        <w:tabs>
          <w:tab w:leader="none" w:pos="1027"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These Standard Terms and Conditions shall be governed by and interpreted in accordance with the laws of the Cayman Islands, excluding its choice-of-law principles that would require the application of the laws of a different jurisdiction.</w:t>
      </w:r>
    </w:p>
    <w:p>
      <w:pPr>
        <w:spacing w:after="0" w:line="134" w:lineRule="exact"/>
        <w:rPr>
          <w:rFonts w:ascii="Times New Roman" w:cs="Times New Roman" w:eastAsia="Times New Roman" w:hAnsi="Times New Roman"/>
          <w:sz w:val="21"/>
          <w:szCs w:val="21"/>
          <w:color w:val="auto"/>
        </w:rPr>
      </w:pPr>
    </w:p>
    <w:p>
      <w:pPr>
        <w:jc w:val="both"/>
        <w:ind w:left="7" w:right="60" w:firstLine="744"/>
        <w:spacing w:after="0" w:line="244" w:lineRule="auto"/>
        <w:tabs>
          <w:tab w:leader="none" w:pos="102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73" w:lineRule="exact"/>
        <w:rPr>
          <w:sz w:val="20"/>
          <w:szCs w:val="20"/>
          <w:color w:val="auto"/>
        </w:rPr>
      </w:pPr>
    </w:p>
    <w:p>
      <w:pPr>
        <w:ind w:left="7" w:right="60" w:firstLine="751"/>
        <w:spacing w:after="0" w:line="258" w:lineRule="auto"/>
        <w:rPr>
          <w:sz w:val="20"/>
          <w:szCs w:val="20"/>
          <w:color w:val="auto"/>
        </w:rPr>
      </w:pPr>
      <w:r>
        <w:rPr>
          <w:rFonts w:ascii="Times New Roman" w:cs="Times New Roman" w:eastAsia="Times New Roman" w:hAnsi="Times New Roman"/>
          <w:sz w:val="22"/>
          <w:szCs w:val="22"/>
          <w:color w:val="auto"/>
        </w:rPr>
        <w:t>(k)All questions arising under the Plan or under these Standard Terms and Conditions shall be decided by the Committee in its total and absolute discretion.</w:t>
      </w:r>
    </w:p>
    <w:p>
      <w:pPr>
        <w:spacing w:after="0" w:line="158" w:lineRule="exact"/>
        <w:rPr>
          <w:sz w:val="20"/>
          <w:szCs w:val="20"/>
          <w:color w:val="auto"/>
        </w:rPr>
      </w:pPr>
    </w:p>
    <w:p>
      <w:pPr>
        <w:jc w:val="both"/>
        <w:ind w:left="7" w:right="60" w:firstLine="744"/>
        <w:spacing w:after="0" w:line="236" w:lineRule="auto"/>
        <w:tabs>
          <w:tab w:leader="none" w:pos="1027"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are intended to be exempt from the requirements of Section 409A of the Code as “short-term deferrals” within the meaning of Treas. Reg. § 1.409A-1(b)(4), and these Standard Terms and Conditions shall be interpreted and administered accordingly. To the extent the RSUs constitute deferred compensation subject to Section 409A of the Code, (i) any settlement of RSUs upon a Termination of Employment shall be made only upon the Participant’s Separation from Service, (ii) such settlement shall be subject to the six-month delay for specified employees set forth in Section 25 of the Plan, to the extent applicable, and (iii) in no event shall the Participant be permitted to designate the taxable year of settlement.</w:t>
      </w:r>
    </w:p>
    <w:p>
      <w:pPr>
        <w:spacing w:after="0" w:line="177" w:lineRule="exact"/>
        <w:rPr>
          <w:rFonts w:ascii="Times New Roman" w:cs="Times New Roman" w:eastAsia="Times New Roman" w:hAnsi="Times New Roman"/>
          <w:sz w:val="22"/>
          <w:szCs w:val="22"/>
          <w:color w:val="auto"/>
        </w:rPr>
      </w:pPr>
    </w:p>
    <w:p>
      <w:pPr>
        <w:ind w:left="747" w:hanging="747"/>
        <w:spacing w:after="0"/>
        <w:tabs>
          <w:tab w:leader="none" w:pos="747"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w:t>
      </w:r>
    </w:p>
    <w:p>
      <w:pPr>
        <w:spacing w:after="0" w:line="210" w:lineRule="exact"/>
        <w:rPr>
          <w:sz w:val="20"/>
          <w:szCs w:val="20"/>
          <w:color w:val="auto"/>
        </w:rPr>
      </w:pPr>
    </w:p>
    <w:p>
      <w:pPr>
        <w:jc w:val="both"/>
        <w:ind w:left="7"/>
        <w:spacing w:after="0" w:line="233" w:lineRule="auto"/>
        <w:rPr>
          <w:sz w:val="20"/>
          <w:szCs w:val="20"/>
          <w:color w:val="auto"/>
        </w:rPr>
      </w:pPr>
      <w:r>
        <w:rPr>
          <w:rFonts w:ascii="Times New Roman" w:cs="Times New Roman" w:eastAsia="Times New Roman" w:hAnsi="Times New Roman"/>
          <w:sz w:val="22"/>
          <w:szCs w:val="22"/>
          <w:color w:val="auto"/>
        </w:rPr>
        <w:t>The RSUs and any Ordinary Shares received upon settlement of the RSUs are subject to recoupment in accordance with any recoupment policy that the Company may adopt from time to time, to the extent any such policy is applicable to the Participant and to such compensation, including the Company’s Compensation Recovery Policy (as amended from time to time), designed to comply with the requirements of Rule 10D-1 promulgated under the Act, as well as any recoupment provisions required under applicable law. For purposes of the foregoing, the Participant expressly and explicitly authorizes (x) the Company to issue instructions, on the Participant’s behalf, to any brokerage firm and/or third party administrator engaged by the Company to hold Ordinary Shares and other amounts acquired under the Award or the Plan to re-convey, transfer or otherwise return such Ordinary Shares and/or other amounts to the Company and (y) the Company’s recovery of any covered compensation through any method of recovery that the Company deems appropriate, including by reducing any amount that is or may become payable to the Participant. The Participant further agrees to comply with any request or demand for repayment by the Company or any Affiliate in order to comply with such policies or applicable law. To the extent that the Standard Terms and Conditions and any Company recoupment policy conflict, the terms of the recoupment policy shall prevail.</w:t>
      </w:r>
    </w:p>
    <w:p>
      <w:pPr>
        <w:spacing w:after="0" w:line="181" w:lineRule="exact"/>
        <w:rPr>
          <w:sz w:val="20"/>
          <w:szCs w:val="20"/>
          <w:color w:val="auto"/>
        </w:rPr>
      </w:pPr>
    </w:p>
    <w:p>
      <w:pPr>
        <w:ind w:left="747" w:hanging="747"/>
        <w:spacing w:after="0"/>
        <w:tabs>
          <w:tab w:leader="none" w:pos="747"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p>
    <w:p>
      <w:pPr>
        <w:spacing w:after="0" w:line="210" w:lineRule="exact"/>
        <w:rPr>
          <w:sz w:val="20"/>
          <w:szCs w:val="20"/>
          <w:color w:val="auto"/>
        </w:rPr>
      </w:pPr>
    </w:p>
    <w:p>
      <w:pPr>
        <w:jc w:val="both"/>
        <w:ind w:left="7" w:right="60"/>
        <w:spacing w:after="0" w:line="244" w:lineRule="auto"/>
        <w:rPr>
          <w:sz w:val="20"/>
          <w:szCs w:val="20"/>
          <w:color w:val="auto"/>
        </w:rPr>
      </w:pPr>
      <w:r>
        <w:rPr>
          <w:rFonts w:ascii="Times New Roman" w:cs="Times New Roman" w:eastAsia="Times New Roman" w:hAnsi="Times New Roman"/>
          <w:sz w:val="22"/>
          <w:szCs w:val="22"/>
          <w:color w:val="auto"/>
        </w:rPr>
        <w:t>By executing the Grant Notice, the Participant hereby consents to the delivery of information (including information required to be delivered to the Participant pursuant to applicable securities laws) regarding the Company and the Subsidiaries, the Plan, the Restricted Stock Units and the Ordinary Shares via Company web site or other electronic delivery.</w:t>
      </w:r>
    </w:p>
    <w:p>
      <w:pPr>
        <w:spacing w:after="0" w:line="200" w:lineRule="exact"/>
        <w:rPr>
          <w:sz w:val="20"/>
          <w:szCs w:val="20"/>
          <w:color w:val="auto"/>
        </w:rPr>
      </w:pPr>
    </w:p>
    <w:p>
      <w:pPr>
        <w:spacing w:after="0" w:line="37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wp:posOffset>
            </wp:positionV>
            <wp:extent cx="71831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403" w:right="318" w:bottom="1440" w:gutter="0" w:footer="0" w:header="0"/>
        </w:sectPr>
      </w:pPr>
    </w:p>
    <w:bookmarkStart w:id="86" w:name="page87"/>
    <w:bookmarkEnd w:id="86"/>
    <w:p>
      <w:pPr>
        <w:spacing w:after="0" w:line="20" w:lineRule="exact"/>
        <w:rPr>
          <w:sz w:val="20"/>
          <w:szCs w:val="20"/>
          <w:color w:val="auto"/>
        </w:rPr>
      </w:pPr>
    </w:p>
    <w:p>
      <w:pPr>
        <w:sectPr>
          <w:pgSz w:w="11920" w:h="16838" w:orient="portrait"/>
          <w:cols w:equalWidth="1" w:num="1" w:space="0"/>
          <w:pgMar w:left="1440" w:top="1440" w:right="1440" w:bottom="875"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I, Jennifer Jarrett, certify that:</w:t>
      </w:r>
    </w:p>
    <w:p>
      <w:pPr>
        <w:spacing w:after="0" w:line="225" w:lineRule="exact"/>
        <w:rPr>
          <w:sz w:val="20"/>
          <w:szCs w:val="20"/>
          <w:color w:val="auto"/>
        </w:rPr>
      </w:pPr>
    </w:p>
    <w:p>
      <w:pPr>
        <w:ind w:left="507" w:hanging="507"/>
        <w:spacing w:after="0"/>
        <w:tabs>
          <w:tab w:leader="none" w:pos="50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2026 of Damora Therapeutics, Inc.;</w:t>
      </w:r>
    </w:p>
    <w:p>
      <w:pPr>
        <w:spacing w:after="0" w:line="225" w:lineRule="exact"/>
        <w:rPr>
          <w:rFonts w:ascii="Times New Roman" w:cs="Times New Roman" w:eastAsia="Times New Roman" w:hAnsi="Times New Roman"/>
          <w:sz w:val="18"/>
          <w:szCs w:val="18"/>
          <w:color w:val="auto"/>
        </w:rPr>
      </w:pPr>
    </w:p>
    <w:p>
      <w:pPr>
        <w:jc w:val="both"/>
        <w:ind w:left="507" w:right="280" w:hanging="507"/>
        <w:spacing w:after="0" w:line="266" w:lineRule="auto"/>
        <w:tabs>
          <w:tab w:leader="none" w:pos="50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7" w:right="260" w:hanging="507"/>
        <w:spacing w:after="0" w:line="282" w:lineRule="auto"/>
        <w:tabs>
          <w:tab w:leader="none" w:pos="50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7" w:right="280" w:hanging="507"/>
        <w:spacing w:after="0" w:line="266" w:lineRule="auto"/>
        <w:tabs>
          <w:tab w:leader="none" w:pos="50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7" w:right="40" w:hanging="517"/>
        <w:spacing w:after="0" w:line="266" w:lineRule="auto"/>
        <w:tabs>
          <w:tab w:leader="none" w:pos="102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7" w:right="360" w:hanging="517"/>
        <w:spacing w:after="0" w:line="266" w:lineRule="auto"/>
        <w:tabs>
          <w:tab w:leader="none" w:pos="102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7" w:right="520" w:hanging="517"/>
        <w:spacing w:after="0" w:line="312" w:lineRule="auto"/>
        <w:tabs>
          <w:tab w:leader="none" w:pos="1027"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sz w:val="20"/>
          <w:szCs w:val="20"/>
          <w:color w:val="auto"/>
        </w:rPr>
      </w:pPr>
    </w:p>
    <w:p>
      <w:pPr>
        <w:ind w:left="1027" w:right="20" w:hanging="517"/>
        <w:spacing w:after="0" w:line="266" w:lineRule="auto"/>
        <w:tabs>
          <w:tab w:leader="none" w:pos="102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7" w:right="160" w:hanging="507"/>
        <w:spacing w:after="0" w:line="282" w:lineRule="auto"/>
        <w:tabs>
          <w:tab w:leader="none" w:pos="50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7" w:right="760" w:hanging="517"/>
        <w:spacing w:after="0" w:line="282" w:lineRule="auto"/>
        <w:tabs>
          <w:tab w:leader="none" w:pos="102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7" w:right="440" w:hanging="517"/>
        <w:spacing w:after="0" w:line="282" w:lineRule="auto"/>
        <w:tabs>
          <w:tab w:leader="none" w:pos="102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7"/>
        <w:spacing w:after="0"/>
        <w:tabs>
          <w:tab w:leader="none" w:pos="5507" w:val="left"/>
          <w:tab w:leader="none" w:pos="8027"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Jarrett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3874770</wp:posOffset>
            </wp:positionH>
            <wp:positionV relativeFrom="paragraph">
              <wp:posOffset>17145</wp:posOffset>
            </wp:positionV>
            <wp:extent cx="328295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1" w:lineRule="exact"/>
        <w:rPr>
          <w:sz w:val="20"/>
          <w:szCs w:val="20"/>
          <w:color w:val="auto"/>
        </w:rPr>
      </w:pPr>
    </w:p>
    <w:p>
      <w:pPr>
        <w:ind w:left="8067"/>
        <w:spacing w:after="0"/>
        <w:rPr>
          <w:sz w:val="20"/>
          <w:szCs w:val="20"/>
          <w:color w:val="auto"/>
        </w:rPr>
      </w:pPr>
      <w:r>
        <w:rPr>
          <w:rFonts w:ascii="Times New Roman" w:cs="Times New Roman" w:eastAsia="Times New Roman" w:hAnsi="Times New Roman"/>
          <w:sz w:val="18"/>
          <w:szCs w:val="18"/>
          <w:b w:val="1"/>
          <w:bCs w:val="1"/>
          <w:color w:val="auto"/>
        </w:rPr>
        <w:t>Jennifer Jarrett</w:t>
      </w:r>
    </w:p>
    <w:p>
      <w:pPr>
        <w:spacing w:after="0" w:line="23" w:lineRule="exact"/>
        <w:rPr>
          <w:sz w:val="20"/>
          <w:szCs w:val="20"/>
          <w:color w:val="auto"/>
        </w:rPr>
      </w:pPr>
    </w:p>
    <w:p>
      <w:pPr>
        <w:ind w:left="7227"/>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7567"/>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1021715</wp:posOffset>
            </wp:positionV>
            <wp:extent cx="71831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760" w:right="318" w:bottom="1440" w:gutter="0" w:footer="0" w:header="0"/>
        </w:sectPr>
      </w:pPr>
    </w:p>
    <w:bookmarkStart w:id="88" w:name="page89"/>
    <w:bookmarkEnd w:id="88"/>
    <w:p>
      <w:pPr>
        <w:spacing w:after="0" w:line="20" w:lineRule="exact"/>
        <w:rPr>
          <w:sz w:val="20"/>
          <w:szCs w:val="20"/>
          <w:color w:val="auto"/>
        </w:rPr>
      </w:pPr>
    </w:p>
    <w:p>
      <w:pPr>
        <w:sectPr>
          <w:pgSz w:w="11920" w:h="16838" w:orient="portrait"/>
          <w:cols w:equalWidth="1" w:num="1" w:space="0"/>
          <w:pgMar w:left="1440" w:top="1440" w:right="1440" w:bottom="875"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ind w:left="3267"/>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ind w:left="3667"/>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ind w:left="3607"/>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0"/>
          <w:szCs w:val="20"/>
          <w:color w:val="auto"/>
        </w:rPr>
      </w:pPr>
    </w:p>
    <w:p>
      <w:pPr>
        <w:ind w:left="3647"/>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ind w:left="4027"/>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I, Brian Burkavage, certify that:</w:t>
      </w:r>
    </w:p>
    <w:p>
      <w:pPr>
        <w:spacing w:after="0" w:line="225" w:lineRule="exact"/>
        <w:rPr>
          <w:sz w:val="20"/>
          <w:szCs w:val="20"/>
          <w:color w:val="auto"/>
        </w:rPr>
      </w:pPr>
    </w:p>
    <w:p>
      <w:pPr>
        <w:ind w:left="507" w:hanging="507"/>
        <w:spacing w:after="0"/>
        <w:tabs>
          <w:tab w:leader="none" w:pos="50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2026 of Damora Therapeutics, Inc.;</w:t>
      </w:r>
    </w:p>
    <w:p>
      <w:pPr>
        <w:spacing w:after="0" w:line="225" w:lineRule="exact"/>
        <w:rPr>
          <w:rFonts w:ascii="Times New Roman" w:cs="Times New Roman" w:eastAsia="Times New Roman" w:hAnsi="Times New Roman"/>
          <w:sz w:val="18"/>
          <w:szCs w:val="18"/>
          <w:color w:val="auto"/>
        </w:rPr>
      </w:pPr>
    </w:p>
    <w:p>
      <w:pPr>
        <w:jc w:val="both"/>
        <w:ind w:left="507" w:right="280" w:hanging="507"/>
        <w:spacing w:after="0" w:line="266" w:lineRule="auto"/>
        <w:tabs>
          <w:tab w:leader="none" w:pos="50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7" w:right="260" w:hanging="507"/>
        <w:spacing w:after="0" w:line="282" w:lineRule="auto"/>
        <w:tabs>
          <w:tab w:leader="none" w:pos="50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7" w:right="280" w:hanging="507"/>
        <w:spacing w:after="0" w:line="266" w:lineRule="auto"/>
        <w:tabs>
          <w:tab w:leader="none" w:pos="50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7" w:right="40" w:hanging="517"/>
        <w:spacing w:after="0" w:line="266" w:lineRule="auto"/>
        <w:tabs>
          <w:tab w:leader="none" w:pos="102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7" w:right="360" w:hanging="517"/>
        <w:spacing w:after="0" w:line="266" w:lineRule="auto"/>
        <w:tabs>
          <w:tab w:leader="none" w:pos="102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7" w:right="520" w:hanging="517"/>
        <w:spacing w:after="0" w:line="312" w:lineRule="auto"/>
        <w:tabs>
          <w:tab w:leader="none" w:pos="1027"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027" w:right="20" w:hanging="517"/>
        <w:spacing w:after="0" w:line="266" w:lineRule="auto"/>
        <w:tabs>
          <w:tab w:leader="none" w:pos="102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7" w:right="160" w:hanging="507"/>
        <w:spacing w:after="0" w:line="282" w:lineRule="auto"/>
        <w:tabs>
          <w:tab w:leader="none" w:pos="50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7" w:right="760" w:hanging="517"/>
        <w:spacing w:after="0" w:line="282" w:lineRule="auto"/>
        <w:tabs>
          <w:tab w:leader="none" w:pos="102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7" w:right="440" w:hanging="517"/>
        <w:spacing w:after="0" w:line="282" w:lineRule="auto"/>
        <w:tabs>
          <w:tab w:leader="none" w:pos="102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7"/>
        <w:spacing w:after="0"/>
        <w:tabs>
          <w:tab w:leader="none" w:pos="5387" w:val="left"/>
          <w:tab w:leader="none" w:pos="7947"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Burkavage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3874770</wp:posOffset>
            </wp:positionH>
            <wp:positionV relativeFrom="paragraph">
              <wp:posOffset>17145</wp:posOffset>
            </wp:positionV>
            <wp:extent cx="328295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1" w:lineRule="exact"/>
        <w:rPr>
          <w:sz w:val="20"/>
          <w:szCs w:val="20"/>
          <w:color w:val="auto"/>
        </w:rPr>
      </w:pPr>
    </w:p>
    <w:p>
      <w:pPr>
        <w:ind w:left="8027"/>
        <w:spacing w:after="0"/>
        <w:rPr>
          <w:sz w:val="20"/>
          <w:szCs w:val="20"/>
          <w:color w:val="auto"/>
        </w:rPr>
      </w:pPr>
      <w:r>
        <w:rPr>
          <w:rFonts w:ascii="Times New Roman" w:cs="Times New Roman" w:eastAsia="Times New Roman" w:hAnsi="Times New Roman"/>
          <w:sz w:val="18"/>
          <w:szCs w:val="18"/>
          <w:b w:val="1"/>
          <w:bCs w:val="1"/>
          <w:color w:val="auto"/>
        </w:rPr>
        <w:t>Brian Burkavage</w:t>
      </w:r>
    </w:p>
    <w:p>
      <w:pPr>
        <w:spacing w:after="0" w:line="23" w:lineRule="exact"/>
        <w:rPr>
          <w:sz w:val="20"/>
          <w:szCs w:val="20"/>
          <w:color w:val="auto"/>
        </w:rPr>
      </w:pPr>
    </w:p>
    <w:p>
      <w:pPr>
        <w:ind w:left="7507"/>
        <w:spacing w:after="0"/>
        <w:rPr>
          <w:sz w:val="20"/>
          <w:szCs w:val="20"/>
          <w:color w:val="auto"/>
        </w:rPr>
      </w:pPr>
      <w:r>
        <w:rPr>
          <w:rFonts w:ascii="Times New Roman" w:cs="Times New Roman" w:eastAsia="Times New Roman" w:hAnsi="Times New Roman"/>
          <w:sz w:val="18"/>
          <w:szCs w:val="18"/>
          <w:b w:val="1"/>
          <w:bCs w:val="1"/>
          <w:color w:val="auto"/>
        </w:rPr>
        <w:t>Senior Vice President, Finance</w:t>
      </w:r>
    </w:p>
    <w:p>
      <w:pPr>
        <w:spacing w:after="0" w:line="23" w:lineRule="exact"/>
        <w:rPr>
          <w:sz w:val="20"/>
          <w:szCs w:val="20"/>
          <w:color w:val="auto"/>
        </w:rPr>
      </w:pPr>
    </w:p>
    <w:p>
      <w:pPr>
        <w:ind w:left="6967"/>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1021715</wp:posOffset>
            </wp:positionV>
            <wp:extent cx="71831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760" w:right="318" w:bottom="1440" w:gutter="0" w:footer="0" w:header="0"/>
        </w:sectPr>
      </w:pPr>
    </w:p>
    <w:bookmarkStart w:id="90" w:name="page91"/>
    <w:bookmarkEnd w:id="90"/>
    <w:p>
      <w:pPr>
        <w:spacing w:after="0" w:line="20" w:lineRule="exact"/>
        <w:rPr>
          <w:sz w:val="20"/>
          <w:szCs w:val="20"/>
          <w:color w:val="auto"/>
        </w:rPr>
      </w:pPr>
    </w:p>
    <w:p>
      <w:pPr>
        <w:sectPr>
          <w:pgSz w:w="11920" w:h="16838" w:orient="portrait"/>
          <w:cols w:equalWidth="1" w:num="1" w:space="0"/>
          <w:pgMar w:left="1440" w:top="1440" w:right="1440" w:bottom="875"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51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Damora Therapeutics, Inc. (the “Company”) on Form 10-Q for the period ended September 30, 2026 as filed with the Securities and Exchange Commission on the date hereof (the “Report”), each of the undersigned certifies, pursuant to 18 U.S.C. § 1350, as adopted pursuant to § 906 of the Sarbanes-Oxley Act of 2002, that:</w:t>
      </w:r>
    </w:p>
    <w:p>
      <w:pPr>
        <w:spacing w:after="0" w:line="176" w:lineRule="exact"/>
        <w:rPr>
          <w:sz w:val="20"/>
          <w:szCs w:val="20"/>
          <w:color w:val="auto"/>
        </w:rPr>
      </w:pPr>
    </w:p>
    <w:p>
      <w:pPr>
        <w:ind w:left="1020" w:hanging="517"/>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720" w:hanging="517"/>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9" w:lineRule="exact"/>
        <w:rPr>
          <w:sz w:val="20"/>
          <w:szCs w:val="20"/>
          <w:color w:val="auto"/>
        </w:rPr>
      </w:pPr>
    </w:p>
    <w:p>
      <w:pPr>
        <w:spacing w:after="0"/>
        <w:tabs>
          <w:tab w:leader="none" w:pos="5380" w:val="left"/>
          <w:tab w:leader="none" w:pos="802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Jarrett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17145</wp:posOffset>
            </wp:positionV>
            <wp:extent cx="328295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1">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Jennifer Jarrett</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spacing w:after="0"/>
        <w:tabs>
          <w:tab w:leader="none" w:pos="5380" w:val="left"/>
          <w:tab w:leader="none" w:pos="794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Burkavage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17145</wp:posOffset>
            </wp:positionV>
            <wp:extent cx="328295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2">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1"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Brian Burkavage</w:t>
      </w:r>
    </w:p>
    <w:p>
      <w:pPr>
        <w:spacing w:after="0" w:line="2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Senior Vice President, Finance</w:t>
      </w:r>
    </w:p>
    <w:p>
      <w:pPr>
        <w:spacing w:after="0" w:line="2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1021715</wp:posOffset>
            </wp:positionV>
            <wp:extent cx="71831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92" w:name="page93"/>
    <w:bookmarkEnd w:id="92"/>
    <w:sectPr>
      <w:pgSz w:w="1192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lowerRoman"/>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1."/>
      <w:numFmt w:val="decimal"/>
      <w:start w:val="3"/>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1)"/>
      <w:numFmt w:val="lowerRoman"/>
      <w:start w:val="4"/>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lvl w:ilvl="1">
      <w:lvlJc w:val="left"/>
      <w:lvlText w:val="%2"/>
      <w:numFmt w:val="decimal"/>
      <w:start w:val="104"/>
    </w:lvl>
  </w:abstractNum>
  <w:abstractNum w:abstractNumId="38">
    <w:nsid w:val="579478FE"/>
    <w:multiLevelType w:val="hybridMultilevel"/>
    <w:lvl w:ilvl="0">
      <w:lvlJc w:val="left"/>
      <w:lvlText w:val="**"/>
      <w:numFmt w:val="bullet"/>
      <w:start w:val="1"/>
    </w:lvl>
    <w:lvl w:ilvl="1">
      <w:lvlJc w:val="left"/>
      <w:lvlText w:val="%2"/>
      <w:numFmt w:val="decimal"/>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1."/>
      <w:numFmt w:val="decimal"/>
      <w:start w:val="2"/>
    </w:lvl>
    <w:lvl w:ilvl="1">
      <w:lvlJc w:val="left"/>
      <w:lvlText w:val="(%2)"/>
      <w:numFmt w:val="lowerLetter"/>
      <w:start w:val="1"/>
    </w:lvl>
  </w:abstractNum>
  <w:abstractNum w:abstractNumId="42">
    <w:nsid w:val="79A1DEAA"/>
    <w:multiLevelType w:val="hybridMultilevel"/>
    <w:lvl w:ilvl="0">
      <w:lvlJc w:val="left"/>
      <w:lvlText w:val="(%1)"/>
      <w:numFmt w:val="lowerLetter"/>
      <w:start w:val="3"/>
    </w:lvl>
  </w:abstractNum>
  <w:abstractNum w:abstractNumId="43">
    <w:nsid w:val="75C6C33A"/>
    <w:multiLevelType w:val="hybridMultilevel"/>
    <w:lvl w:ilvl="0">
      <w:lvlJc w:val="left"/>
      <w:lvlText w:val="%1."/>
      <w:numFmt w:val="decimal"/>
      <w:start w:val="3"/>
    </w:lvl>
  </w:abstractNum>
  <w:abstractNum w:abstractNumId="44">
    <w:nsid w:val="12E685FB"/>
    <w:multiLevelType w:val="hybridMultilevel"/>
    <w:lvl w:ilvl="0">
      <w:lvlJc w:val="left"/>
      <w:lvlText w:val="%1"/>
      <w:numFmt w:val="decimal"/>
      <w:start w:val="1"/>
    </w:lvl>
    <w:lvl w:ilvl="1">
      <w:lvlJc w:val="left"/>
      <w:lvlText w:val="(%2)"/>
      <w:numFmt w:val="lowerLetter"/>
      <w:start w:val="5"/>
    </w:lvl>
  </w:abstractNum>
  <w:abstractNum w:abstractNumId="45">
    <w:nsid w:val="70C6A529"/>
    <w:multiLevelType w:val="hybridMultilevel"/>
    <w:lvl w:ilvl="0">
      <w:lvlJc w:val="left"/>
      <w:lvlText w:val="%1."/>
      <w:numFmt w:val="decimal"/>
      <w:start w:val="4"/>
    </w:lvl>
    <w:lvl w:ilvl="1">
      <w:lvlJc w:val="left"/>
      <w:lvlText w:val="%2"/>
      <w:numFmt w:val="lowerLetter"/>
      <w:start w:val="1"/>
    </w:lvl>
  </w:abstractNum>
  <w:abstractNum w:abstractNumId="46">
    <w:nsid w:val="520EEDD1"/>
    <w:multiLevelType w:val="hybridMultilevel"/>
    <w:lvl w:ilvl="0">
      <w:lvlJc w:val="left"/>
      <w:lvlText w:val="%1."/>
      <w:numFmt w:val="decimal"/>
      <w:start w:val="5"/>
    </w:lvl>
  </w:abstractNum>
  <w:abstractNum w:abstractNumId="47">
    <w:nsid w:val="374A3FE6"/>
    <w:multiLevelType w:val="hybridMultilevel"/>
    <w:lvl w:ilvl="0">
      <w:lvlJc w:val="left"/>
      <w:lvlText w:val="%1."/>
      <w:numFmt w:val="decimal"/>
      <w:start w:val="6"/>
    </w:lvl>
  </w:abstractNum>
  <w:abstractNum w:abstractNumId="48">
    <w:nsid w:val="4F4EF005"/>
    <w:multiLevelType w:val="hybridMultilevel"/>
    <w:lvl w:ilvl="0">
      <w:lvlJc w:val="left"/>
      <w:lvlText w:val="%1."/>
      <w:numFmt w:val="decimal"/>
      <w:start w:val="7"/>
    </w:lvl>
  </w:abstractNum>
  <w:abstractNum w:abstractNumId="49">
    <w:nsid w:val="23F9C13C"/>
    <w:multiLevelType w:val="hybridMultilevel"/>
    <w:lvl w:ilvl="0">
      <w:lvlJc w:val="left"/>
      <w:lvlText w:val="%1."/>
      <w:numFmt w:val="decimal"/>
      <w:start w:val="8"/>
    </w:lvl>
  </w:abstractNum>
  <w:abstractNum w:abstractNumId="50">
    <w:nsid w:val="649BB77C"/>
    <w:multiLevelType w:val="hybridMultilevel"/>
    <w:lvl w:ilvl="0">
      <w:lvlJc w:val="left"/>
      <w:lvlText w:val="%1."/>
      <w:numFmt w:val="decimal"/>
      <w:start w:val="9"/>
    </w:lvl>
    <w:lvl w:ilvl="1">
      <w:lvlJc w:val="left"/>
      <w:lvlText w:val="(%2)"/>
      <w:numFmt w:val="lowerLetter"/>
      <w:start w:val="6"/>
    </w:lvl>
  </w:abstractNum>
  <w:abstractNum w:abstractNumId="51">
    <w:nsid w:val="275AC794"/>
    <w:multiLevelType w:val="hybridMultilevel"/>
    <w:lvl w:ilvl="0">
      <w:lvlJc w:val="left"/>
      <w:lvlText w:val="(%1)"/>
      <w:numFmt w:val="lowerLetter"/>
      <w:start w:val="9"/>
    </w:lvl>
  </w:abstractNum>
  <w:abstractNum w:abstractNumId="52">
    <w:nsid w:val="39386575"/>
    <w:multiLevelType w:val="hybridMultilevel"/>
    <w:lvl w:ilvl="0">
      <w:lvlJc w:val="left"/>
      <w:lvlText w:val="%1"/>
      <w:numFmt w:val="decimal"/>
      <w:start w:val="1"/>
    </w:lvl>
    <w:lvl w:ilvl="1">
      <w:lvlJc w:val="left"/>
      <w:lvlText w:val="(%2)"/>
      <w:numFmt w:val="lowerLetter"/>
      <w:start w:val="12"/>
    </w:lvl>
  </w:abstractNum>
  <w:abstractNum w:abstractNumId="53">
    <w:nsid w:val="1CF10FD8"/>
    <w:multiLevelType w:val="hybridMultilevel"/>
    <w:lvl w:ilvl="0">
      <w:lvlJc w:val="left"/>
      <w:lvlText w:val="%1."/>
      <w:numFmt w:val="decimal"/>
      <w:start w:val="10"/>
    </w:lvl>
    <w:lvl w:ilvl="1">
      <w:lvlJc w:val="left"/>
      <w:lvlText w:val="%2"/>
      <w:numFmt w:val="lowerLetter"/>
      <w:start w:val="1"/>
    </w:lvl>
  </w:abstractNum>
  <w:abstractNum w:abstractNumId="54">
    <w:nsid w:val="180115BE"/>
    <w:multiLevelType w:val="hybridMultilevel"/>
    <w:lvl w:ilvl="0">
      <w:lvlJc w:val="left"/>
      <w:lvlText w:val="%1."/>
      <w:numFmt w:val="decimal"/>
      <w:start w:val="11"/>
    </w:lvl>
  </w:abstractNum>
  <w:abstractNum w:abstractNumId="55">
    <w:nsid w:val="235BA861"/>
    <w:multiLevelType w:val="hybridMultilevel"/>
    <w:lvl w:ilvl="0">
      <w:lvlJc w:val="left"/>
      <w:lvlText w:val="%1."/>
      <w:numFmt w:val="decimal"/>
      <w:start w:val="1"/>
    </w:lvl>
    <w:lvl w:ilvl="1">
      <w:lvlJc w:val="left"/>
      <w:lvlText w:val="(%2)"/>
      <w:numFmt w:val="lowerLetter"/>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5"/>
    </w:lvl>
    <w:lvl w:ilvl="1">
      <w:lvlJc w:val="left"/>
      <w:lvlText w:val="(%2)"/>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7" Type="http://schemas.openxmlformats.org/officeDocument/2006/relationships/image" Target="media/image247.png"/><Relationship Id="rId259"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70" Type="http://schemas.openxmlformats.org/officeDocument/2006/relationships/image" Target="media/image255.png"/><Relationship Id="rId272" Type="http://schemas.openxmlformats.org/officeDocument/2006/relationships/image" Target="media/image256.png"/><Relationship Id="rId273" Type="http://schemas.openxmlformats.org/officeDocument/2006/relationships/image" Target="media/image257.png"/><Relationship Id="rId275" Type="http://schemas.openxmlformats.org/officeDocument/2006/relationships/image" Target="media/image258.png"/><Relationship Id="rId276" Type="http://schemas.openxmlformats.org/officeDocument/2006/relationships/image" Target="media/image259.png"/><Relationship Id="rId278" Type="http://schemas.openxmlformats.org/officeDocument/2006/relationships/image" Target="media/image260.png"/><Relationship Id="rId280" Type="http://schemas.openxmlformats.org/officeDocument/2006/relationships/image" Target="media/image261.png"/><Relationship Id="rId281" Type="http://schemas.openxmlformats.org/officeDocument/2006/relationships/image" Target="media/image262.png"/><Relationship Id="rId283" Type="http://schemas.openxmlformats.org/officeDocument/2006/relationships/image" Target="media/image263.png"/><Relationship Id="rId284" Type="http://schemas.openxmlformats.org/officeDocument/2006/relationships/image" Target="media/image264.png"/><Relationship Id="rId286" Type="http://schemas.openxmlformats.org/officeDocument/2006/relationships/image" Target="media/image265.png"/><Relationship Id="rId287" Type="http://schemas.openxmlformats.org/officeDocument/2006/relationships/image" Target="media/image266.png"/><Relationship Id="rId289" Type="http://schemas.openxmlformats.org/officeDocument/2006/relationships/image" Target="media/image267.png"/><Relationship Id="rId290" Type="http://schemas.openxmlformats.org/officeDocument/2006/relationships/image" Target="media/image268.png"/><Relationship Id="rId292" Type="http://schemas.openxmlformats.org/officeDocument/2006/relationships/image" Target="media/image269.png"/><Relationship Id="rId293" Type="http://schemas.openxmlformats.org/officeDocument/2006/relationships/image" Target="media/image270.png"/><Relationship Id="rId295" Type="http://schemas.openxmlformats.org/officeDocument/2006/relationships/image" Target="media/image271.png"/><Relationship Id="rId296" Type="http://schemas.openxmlformats.org/officeDocument/2006/relationships/image" Target="media/image272.png"/><Relationship Id="rId297" Type="http://schemas.openxmlformats.org/officeDocument/2006/relationships/image" Target="media/image273.png"/><Relationship Id="rId298" Type="http://schemas.openxmlformats.org/officeDocument/2006/relationships/image" Target="media/image274.png"/><Relationship Id="rId300" Type="http://schemas.openxmlformats.org/officeDocument/2006/relationships/image" Target="media/image275.png"/><Relationship Id="rId301" Type="http://schemas.openxmlformats.org/officeDocument/2006/relationships/image" Target="media/image276.png"/><Relationship Id="rId302" Type="http://schemas.openxmlformats.org/officeDocument/2006/relationships/image" Target="media/image277.png"/><Relationship Id="rId303" Type="http://schemas.openxmlformats.org/officeDocument/2006/relationships/image" Target="media/image278.png"/><Relationship Id="rId304" Type="http://schemas.openxmlformats.org/officeDocument/2006/relationships/image" Target="media/image279.png"/><Relationship Id="rId305" Type="http://schemas.openxmlformats.org/officeDocument/2006/relationships/image" Target="media/image280.png"/><Relationship Id="rId306" Type="http://schemas.openxmlformats.org/officeDocument/2006/relationships/image" Target="media/image281.png"/><Relationship Id="rId307" Type="http://schemas.openxmlformats.org/officeDocument/2006/relationships/image" Target="media/image282.png"/><Relationship Id="rId308" Type="http://schemas.openxmlformats.org/officeDocument/2006/relationships/image" Target="media/image283.png"/><Relationship Id="rId309" Type="http://schemas.openxmlformats.org/officeDocument/2006/relationships/image" Target="media/image284.png"/><Relationship Id="rId310" Type="http://schemas.openxmlformats.org/officeDocument/2006/relationships/image" Target="media/image285.png"/><Relationship Id="rId311" Type="http://schemas.openxmlformats.org/officeDocument/2006/relationships/image" Target="media/image286.png"/><Relationship Id="rId312" Type="http://schemas.openxmlformats.org/officeDocument/2006/relationships/image" Target="media/image287.png"/><Relationship Id="rId313" Type="http://schemas.openxmlformats.org/officeDocument/2006/relationships/image" Target="media/image288.png"/><Relationship Id="rId314" Type="http://schemas.openxmlformats.org/officeDocument/2006/relationships/image" Target="media/image289.png"/><Relationship Id="rId315" Type="http://schemas.openxmlformats.org/officeDocument/2006/relationships/image" Target="media/image290.png"/><Relationship Id="rId316" Type="http://schemas.openxmlformats.org/officeDocument/2006/relationships/image" Target="media/image291.png"/><Relationship Id="rId317" Type="http://schemas.openxmlformats.org/officeDocument/2006/relationships/image" Target="media/image292.png"/><Relationship Id="rId318" Type="http://schemas.openxmlformats.org/officeDocument/2006/relationships/image" Target="media/image293.png"/><Relationship Id="rId319" Type="http://schemas.openxmlformats.org/officeDocument/2006/relationships/image" Target="media/image294.png"/><Relationship Id="rId320" Type="http://schemas.openxmlformats.org/officeDocument/2006/relationships/image" Target="media/image295.png"/><Relationship Id="rId321" Type="http://schemas.openxmlformats.org/officeDocument/2006/relationships/image" Target="media/image296.png"/><Relationship Id="rId322" Type="http://schemas.openxmlformats.org/officeDocument/2006/relationships/image" Target="media/image297.png"/><Relationship Id="rId323" Type="http://schemas.openxmlformats.org/officeDocument/2006/relationships/image" Target="media/image298.png"/><Relationship Id="rId91" Type="http://schemas.openxmlformats.org/officeDocument/2006/relationships/hyperlink" Target="https://www.sec.gov/ix?doc=/Archives/edgar/data/0001800315/000119312526115922/dmra-20251231.htm" TargetMode="External"/><Relationship Id="rId252" Type="http://schemas.openxmlformats.org/officeDocument/2006/relationships/hyperlink" Target="https://www.sec.gov/Archives/edgar/data/1800315/000119312525273342/d53983dex21.htm" TargetMode="External"/><Relationship Id="rId256" Type="http://schemas.openxmlformats.org/officeDocument/2006/relationships/hyperlink" Target="https://www.sec.gov/Archives/edgar/data/1800315/000119312526308899/dmra-ex2_1.htm" TargetMode="External"/><Relationship Id="rId258" Type="http://schemas.openxmlformats.org/officeDocument/2006/relationships/hyperlink" Target="https://www.sec.gov/Archives/edgar/data/1800315/000119312526308899/dmra-ex3_1.htm" TargetMode="External"/><Relationship Id="rId260" Type="http://schemas.openxmlformats.org/officeDocument/2006/relationships/hyperlink" Target="https://www.sec.gov/Archives/edgar/data/1800315/000119312526308899/dmra-ex3_2.htm" TargetMode="External"/><Relationship Id="rId263" Type="http://schemas.openxmlformats.org/officeDocument/2006/relationships/hyperlink" Target="https://www.sec.gov/Archives/edgar/data/1800315/000119312526308899/dmra-ex3_3.htm" TargetMode="External"/><Relationship Id="rId266" Type="http://schemas.openxmlformats.org/officeDocument/2006/relationships/hyperlink" Target="https://www.sec.gov/Archives/edgar/data/1800315/000119312526308899/dmra-ex3_4.htm" TargetMode="External"/><Relationship Id="rId269" Type="http://schemas.openxmlformats.org/officeDocument/2006/relationships/hyperlink" Target="https://www.sec.gov/Archives/edgar/data/1800315/000119312526308899/dmra-ex10_1.htm" TargetMode="External"/><Relationship Id="rId271" Type="http://schemas.openxmlformats.org/officeDocument/2006/relationships/hyperlink" Target="https://www.sec.gov/Archives/edgar/data/1800315/000119312526342307/dmra-ex10_2.htm" TargetMode="External"/><Relationship Id="rId274" Type="http://schemas.openxmlformats.org/officeDocument/2006/relationships/hyperlink" Target="https://www.sec.gov/Archives/edgar/data/1800315/000119312526342307/dmra-ex10_3.htm" TargetMode="External"/><Relationship Id="rId277" Type="http://schemas.openxmlformats.org/officeDocument/2006/relationships/hyperlink" Target="https://www.sec.gov/Archives/edgar/data/1800315/000119312526342307/dmra-ex10_4.htm" TargetMode="External"/><Relationship Id="rId279" Type="http://schemas.openxmlformats.org/officeDocument/2006/relationships/hyperlink" Target="https://www.sec.gov/Archives/edgar/data/1800315/000119312526342307/dmra-ex10_5.htm" TargetMode="External"/><Relationship Id="rId282" Type="http://schemas.openxmlformats.org/officeDocument/2006/relationships/hyperlink" Target="https://www.sec.gov/Archives/edgar/data/1800315/000119312526342307/dmra-ex10_6.htm" TargetMode="External"/><Relationship Id="rId285" Type="http://schemas.openxmlformats.org/officeDocument/2006/relationships/hyperlink" Target="https://www.sec.gov/Archives/edgar/data/1800315/000119312526342307/dmra-ex10_7.htm" TargetMode="External"/><Relationship Id="rId288" Type="http://schemas.openxmlformats.org/officeDocument/2006/relationships/hyperlink" Target="https://www.sec.gov/Archives/edgar/data/1800315/000119312526342307/dmra-ex10_8.htm" TargetMode="External"/><Relationship Id="rId291" Type="http://schemas.openxmlformats.org/officeDocument/2006/relationships/hyperlink" Target="https://www.sec.gov/Archives/edgar/data/1800315/000119312526342307/dmra-ex10_9.htm" TargetMode="External"/><Relationship Id="rId294" Type="http://schemas.openxmlformats.org/officeDocument/2006/relationships/hyperlink" Target="https://www.sec.gov/Archives/edgar/data/1800315/000119312526342307/dmra-ex10_10.htm" TargetMode="External"/><Relationship Id="rId299" Type="http://schemas.openxmlformats.org/officeDocument/2006/relationships/hyperlink" Target="https://www.sec.gov/Archives/edgar/data/1800315/000119312526342307/dmra-ex10_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2026-11-04T15:15:54Z</dcterms:created>
  <dcterms:modified xsi:type="dcterms:W3CDTF">2026-11-04T15:15:54Z</dcterms:modified>
</cp:coreProperties>
</file>