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170180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66675</wp:posOffset>
            </wp:positionV>
            <wp:extent cx="14344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73660</wp:posOffset>
            </wp:positionV>
            <wp:extent cx="1434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3760" w:right="2140" w:hanging="3758"/>
        <w:spacing w:after="0" w:line="344" w:lineRule="auto"/>
        <w:tabs>
          <w:tab w:leader="none" w:pos="458"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245" w:lineRule="exact"/>
        <w:rPr>
          <w:sz w:val="24"/>
          <w:szCs w:val="24"/>
          <w:color w:val="auto"/>
        </w:rPr>
      </w:pPr>
    </w:p>
    <w:p>
      <w:pPr>
        <w:ind w:left="3120" w:right="2120" w:hanging="3118"/>
        <w:spacing w:after="0" w:line="336" w:lineRule="auto"/>
        <w:tabs>
          <w:tab w:leader="none" w:pos="467"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 to _______________</w:t>
      </w:r>
    </w:p>
    <w:p>
      <w:pPr>
        <w:spacing w:after="0" w:line="1" w:lineRule="exact"/>
        <w:rPr>
          <w:rFonts w:ascii="MS PGothic" w:cs="MS PGothic" w:eastAsia="MS PGothic" w:hAnsi="MS PGothic"/>
          <w:sz w:val="17"/>
          <w:szCs w:val="17"/>
          <w:color w:val="auto"/>
          <w:highlight w:val="black"/>
        </w:rPr>
      </w:pPr>
    </w:p>
    <w:p>
      <w:pPr>
        <w:ind w:left="4280"/>
        <w:spacing w:after="0"/>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Commission File Number: 001-39655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113030</wp:posOffset>
            </wp:positionV>
            <wp:extent cx="1434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448"/>
        </w:trPr>
        <w:tc>
          <w:tcPr>
            <w:tcW w:w="5940" w:type="dxa"/>
            <w:vAlign w:val="bottom"/>
            <w:gridSpan w:val="3"/>
          </w:tcPr>
          <w:p>
            <w:pPr>
              <w:jc w:val="center"/>
              <w:ind w:left="1533"/>
              <w:spacing w:after="0"/>
              <w:rPr>
                <w:sz w:val="20"/>
                <w:szCs w:val="20"/>
                <w:color w:val="auto"/>
              </w:rPr>
            </w:pPr>
            <w:r>
              <w:rPr>
                <w:rFonts w:ascii="Arial" w:cs="Arial" w:eastAsia="Arial" w:hAnsi="Arial"/>
                <w:sz w:val="37"/>
                <w:szCs w:val="37"/>
                <w:b w:val="1"/>
                <w:bCs w:val="1"/>
                <w:color w:val="auto"/>
              </w:rPr>
              <w:t>GALECTO, INC.</w:t>
            </w:r>
          </w:p>
        </w:tc>
        <w:tc>
          <w:tcPr>
            <w:tcW w:w="1120" w:type="dxa"/>
            <w:vAlign w:val="bottom"/>
          </w:tcPr>
          <w:p>
            <w:pPr>
              <w:spacing w:after="0"/>
              <w:rPr>
                <w:sz w:val="24"/>
                <w:szCs w:val="24"/>
                <w:color w:val="auto"/>
              </w:rPr>
            </w:pPr>
          </w:p>
        </w:tc>
      </w:tr>
      <w:tr>
        <w:trPr>
          <w:trHeight w:val="220"/>
        </w:trPr>
        <w:tc>
          <w:tcPr>
            <w:tcW w:w="5940" w:type="dxa"/>
            <w:vAlign w:val="bottom"/>
            <w:gridSpan w:val="3"/>
          </w:tcPr>
          <w:p>
            <w:pPr>
              <w:jc w:val="center"/>
              <w:ind w:left="1533"/>
              <w:spacing w:after="0"/>
              <w:rPr>
                <w:sz w:val="20"/>
                <w:szCs w:val="20"/>
                <w:color w:val="auto"/>
              </w:rPr>
            </w:pPr>
            <w:r>
              <w:rPr>
                <w:rFonts w:ascii="Arial" w:cs="Arial" w:eastAsia="Arial" w:hAnsi="Arial"/>
                <w:sz w:val="17"/>
                <w:szCs w:val="17"/>
                <w:b w:val="1"/>
                <w:bCs w:val="1"/>
                <w:color w:val="auto"/>
                <w:w w:val="90"/>
              </w:rPr>
              <w:t>(Exact Name of Registrant as Specified in its Charter)</w:t>
            </w:r>
          </w:p>
        </w:tc>
        <w:tc>
          <w:tcPr>
            <w:tcW w:w="1120" w:type="dxa"/>
            <w:vAlign w:val="bottom"/>
          </w:tcPr>
          <w:p>
            <w:pPr>
              <w:spacing w:after="0"/>
              <w:rPr>
                <w:sz w:val="19"/>
                <w:szCs w:val="19"/>
                <w:color w:val="auto"/>
              </w:rPr>
            </w:pPr>
          </w:p>
        </w:tc>
      </w:tr>
      <w:tr>
        <w:trPr>
          <w:trHeight w:val="90"/>
        </w:trPr>
        <w:tc>
          <w:tcPr>
            <w:tcW w:w="266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8"/>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91"/>
              </w:rPr>
              <w:t>Delaware</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37-1957007</w:t>
            </w:r>
          </w:p>
        </w:tc>
      </w:tr>
      <w:tr>
        <w:trPr>
          <w:trHeight w:val="128"/>
        </w:trPr>
        <w:tc>
          <w:tcPr>
            <w:tcW w:w="5940" w:type="dxa"/>
            <w:vAlign w:val="bottom"/>
            <w:gridSpan w:val="3"/>
          </w:tcPr>
          <w:p>
            <w:pPr>
              <w:jc w:val="center"/>
              <w:ind w:right="3980"/>
              <w:spacing w:after="0" w:line="128" w:lineRule="exact"/>
              <w:rPr>
                <w:sz w:val="20"/>
                <w:szCs w:val="20"/>
                <w:color w:val="auto"/>
              </w:rPr>
            </w:pPr>
            <w:r>
              <w:rPr>
                <w:rFonts w:ascii="Arial" w:cs="Arial" w:eastAsia="Arial" w:hAnsi="Arial"/>
                <w:sz w:val="12"/>
                <w:szCs w:val="12"/>
                <w:b w:val="1"/>
                <w:bCs w:val="1"/>
                <w:color w:val="auto"/>
                <w:w w:val="89"/>
              </w:rPr>
              <w:t>(State or other jurisdiction of</w:t>
            </w:r>
          </w:p>
        </w:tc>
        <w:tc>
          <w:tcPr>
            <w:tcW w:w="1120" w:type="dxa"/>
            <w:vAlign w:val="bottom"/>
          </w:tcPr>
          <w:p>
            <w:pPr>
              <w:jc w:val="center"/>
              <w:ind w:left="108"/>
              <w:spacing w:after="0" w:line="128" w:lineRule="exact"/>
              <w:rPr>
                <w:sz w:val="20"/>
                <w:szCs w:val="20"/>
                <w:color w:val="auto"/>
              </w:rPr>
            </w:pPr>
            <w:r>
              <w:rPr>
                <w:rFonts w:ascii="Arial" w:cs="Arial" w:eastAsia="Arial" w:hAnsi="Arial"/>
                <w:sz w:val="12"/>
                <w:szCs w:val="12"/>
                <w:b w:val="1"/>
                <w:bCs w:val="1"/>
                <w:color w:val="auto"/>
                <w:w w:val="93"/>
              </w:rPr>
              <w:t>(I.R.S. Employer</w:t>
            </w:r>
          </w:p>
        </w:tc>
      </w:tr>
      <w:tr>
        <w:trPr>
          <w:trHeight w:val="152"/>
        </w:trPr>
        <w:tc>
          <w:tcPr>
            <w:tcW w:w="5940" w:type="dxa"/>
            <w:vAlign w:val="bottom"/>
            <w:gridSpan w:val="3"/>
          </w:tcPr>
          <w:p>
            <w:pPr>
              <w:jc w:val="center"/>
              <w:ind w:right="3980"/>
              <w:spacing w:after="0"/>
              <w:rPr>
                <w:sz w:val="20"/>
                <w:szCs w:val="20"/>
                <w:color w:val="auto"/>
              </w:rPr>
            </w:pPr>
            <w:r>
              <w:rPr>
                <w:rFonts w:ascii="Arial" w:cs="Arial" w:eastAsia="Arial" w:hAnsi="Arial"/>
                <w:sz w:val="12"/>
                <w:szCs w:val="12"/>
                <w:b w:val="1"/>
                <w:bCs w:val="1"/>
                <w:color w:val="auto"/>
                <w:w w:val="91"/>
              </w:rPr>
              <w:t>incorporation or organization)</w:t>
            </w:r>
          </w:p>
        </w:tc>
        <w:tc>
          <w:tcPr>
            <w:tcW w:w="1120" w:type="dxa"/>
            <w:vAlign w:val="bottom"/>
          </w:tcPr>
          <w:p>
            <w:pPr>
              <w:jc w:val="center"/>
              <w:ind w:left="128"/>
              <w:spacing w:after="0"/>
              <w:rPr>
                <w:sz w:val="20"/>
                <w:szCs w:val="20"/>
                <w:color w:val="auto"/>
              </w:rPr>
            </w:pPr>
            <w:r>
              <w:rPr>
                <w:rFonts w:ascii="Arial" w:cs="Arial" w:eastAsia="Arial" w:hAnsi="Arial"/>
                <w:sz w:val="12"/>
                <w:szCs w:val="12"/>
                <w:b w:val="1"/>
                <w:bCs w:val="1"/>
                <w:color w:val="auto"/>
                <w:w w:val="90"/>
              </w:rPr>
              <w:t>Identification No.)</w:t>
            </w:r>
          </w:p>
        </w:tc>
      </w:tr>
      <w:tr>
        <w:trPr>
          <w:trHeight w:val="256"/>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91"/>
              </w:rPr>
              <w:t>Ole Maaloes Vej 3</w:t>
            </w:r>
          </w:p>
        </w:tc>
        <w:tc>
          <w:tcPr>
            <w:tcW w:w="1120" w:type="dxa"/>
            <w:vAlign w:val="bottom"/>
          </w:tcPr>
          <w:p>
            <w:pPr>
              <w:spacing w:after="0"/>
              <w:rPr>
                <w:sz w:val="22"/>
                <w:szCs w:val="22"/>
                <w:color w:val="auto"/>
              </w:rPr>
            </w:pPr>
          </w:p>
        </w:tc>
      </w:tr>
      <w:tr>
        <w:trPr>
          <w:trHeight w:val="204"/>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91"/>
              </w:rPr>
              <w:t>DK-2200 Copenhagen N</w:t>
            </w:r>
          </w:p>
        </w:tc>
        <w:tc>
          <w:tcPr>
            <w:tcW w:w="1120" w:type="dxa"/>
            <w:vAlign w:val="bottom"/>
          </w:tcPr>
          <w:p>
            <w:pPr>
              <w:spacing w:after="0"/>
              <w:rPr>
                <w:sz w:val="17"/>
                <w:szCs w:val="17"/>
                <w:color w:val="auto"/>
              </w:rPr>
            </w:pPr>
          </w:p>
        </w:tc>
      </w:tr>
      <w:tr>
        <w:trPr>
          <w:trHeight w:val="220"/>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93"/>
              </w:rPr>
              <w:t>Denmark</w:t>
            </w:r>
          </w:p>
        </w:tc>
        <w:tc>
          <w:tcPr>
            <w:tcW w:w="1120" w:type="dxa"/>
            <w:vAlign w:val="bottom"/>
          </w:tcPr>
          <w:p>
            <w:pPr>
              <w:jc w:val="center"/>
              <w:ind w:left="128"/>
              <w:spacing w:after="0"/>
              <w:rPr>
                <w:sz w:val="20"/>
                <w:szCs w:val="20"/>
                <w:color w:val="auto"/>
              </w:rPr>
            </w:pPr>
            <w:r>
              <w:rPr>
                <w:rFonts w:ascii="Arial" w:cs="Arial" w:eastAsia="Arial" w:hAnsi="Arial"/>
                <w:sz w:val="17"/>
                <w:szCs w:val="17"/>
                <w:b w:val="1"/>
                <w:bCs w:val="1"/>
                <w:color w:val="auto"/>
                <w:w w:val="95"/>
              </w:rPr>
              <w:t>N/A</w:t>
            </w:r>
          </w:p>
        </w:tc>
      </w:tr>
      <w:tr>
        <w:trPr>
          <w:trHeight w:val="265"/>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88"/>
              </w:rPr>
              <w:t>75 State Street, Suite 100</w:t>
            </w:r>
          </w:p>
        </w:tc>
        <w:tc>
          <w:tcPr>
            <w:tcW w:w="1120" w:type="dxa"/>
            <w:vAlign w:val="bottom"/>
          </w:tcPr>
          <w:p>
            <w:pPr>
              <w:spacing w:after="0"/>
              <w:rPr>
                <w:sz w:val="23"/>
                <w:szCs w:val="23"/>
                <w:color w:val="auto"/>
              </w:rPr>
            </w:pPr>
          </w:p>
        </w:tc>
      </w:tr>
      <w:tr>
        <w:trPr>
          <w:trHeight w:val="205"/>
        </w:trPr>
        <w:tc>
          <w:tcPr>
            <w:tcW w:w="5940" w:type="dxa"/>
            <w:vAlign w:val="bottom"/>
            <w:gridSpan w:val="3"/>
          </w:tcPr>
          <w:p>
            <w:pPr>
              <w:jc w:val="center"/>
              <w:ind w:right="3980"/>
              <w:spacing w:after="0"/>
              <w:rPr>
                <w:sz w:val="20"/>
                <w:szCs w:val="20"/>
                <w:color w:val="auto"/>
              </w:rPr>
            </w:pPr>
            <w:r>
              <w:rPr>
                <w:rFonts w:ascii="Arial" w:cs="Arial" w:eastAsia="Arial" w:hAnsi="Arial"/>
                <w:sz w:val="17"/>
                <w:szCs w:val="17"/>
                <w:b w:val="1"/>
                <w:bCs w:val="1"/>
                <w:color w:val="auto"/>
                <w:w w:val="90"/>
              </w:rPr>
              <w:t>Boston, MA 02109</w:t>
            </w:r>
          </w:p>
        </w:tc>
        <w:tc>
          <w:tcPr>
            <w:tcW w:w="1120" w:type="dxa"/>
            <w:vAlign w:val="bottom"/>
          </w:tcPr>
          <w:p>
            <w:pPr>
              <w:jc w:val="right"/>
              <w:ind w:right="168"/>
              <w:spacing w:after="0"/>
              <w:rPr>
                <w:sz w:val="20"/>
                <w:szCs w:val="20"/>
                <w:color w:val="auto"/>
              </w:rPr>
            </w:pPr>
            <w:r>
              <w:rPr>
                <w:rFonts w:ascii="Arial" w:cs="Arial" w:eastAsia="Arial" w:hAnsi="Arial"/>
                <w:sz w:val="17"/>
                <w:szCs w:val="17"/>
                <w:b w:val="1"/>
                <w:bCs w:val="1"/>
                <w:color w:val="auto"/>
              </w:rPr>
              <w:t>02109</w:t>
            </w:r>
          </w:p>
        </w:tc>
      </w:tr>
      <w:tr>
        <w:trPr>
          <w:trHeight w:val="152"/>
        </w:trPr>
        <w:tc>
          <w:tcPr>
            <w:tcW w:w="5940" w:type="dxa"/>
            <w:vAlign w:val="bottom"/>
            <w:gridSpan w:val="3"/>
          </w:tcPr>
          <w:p>
            <w:pPr>
              <w:jc w:val="center"/>
              <w:ind w:right="3980"/>
              <w:spacing w:after="0"/>
              <w:rPr>
                <w:sz w:val="20"/>
                <w:szCs w:val="20"/>
                <w:color w:val="auto"/>
              </w:rPr>
            </w:pPr>
            <w:r>
              <w:rPr>
                <w:rFonts w:ascii="Arial" w:cs="Arial" w:eastAsia="Arial" w:hAnsi="Arial"/>
                <w:sz w:val="12"/>
                <w:szCs w:val="12"/>
                <w:b w:val="1"/>
                <w:bCs w:val="1"/>
                <w:color w:val="auto"/>
                <w:w w:val="87"/>
              </w:rPr>
              <w:t>(Address of principal executive offices)</w:t>
            </w:r>
          </w:p>
        </w:tc>
        <w:tc>
          <w:tcPr>
            <w:tcW w:w="1120" w:type="dxa"/>
            <w:vAlign w:val="bottom"/>
          </w:tcPr>
          <w:p>
            <w:pPr>
              <w:jc w:val="center"/>
              <w:ind w:left="128"/>
              <w:spacing w:after="0"/>
              <w:rPr>
                <w:sz w:val="20"/>
                <w:szCs w:val="20"/>
                <w:color w:val="auto"/>
              </w:rPr>
            </w:pPr>
            <w:r>
              <w:rPr>
                <w:rFonts w:ascii="Arial" w:cs="Arial" w:eastAsia="Arial" w:hAnsi="Arial"/>
                <w:sz w:val="12"/>
                <w:szCs w:val="12"/>
                <w:b w:val="1"/>
                <w:bCs w:val="1"/>
                <w:color w:val="auto"/>
                <w:w w:val="94"/>
              </w:rPr>
              <w:t>(Zip Code)</w:t>
            </w:r>
          </w:p>
        </w:tc>
      </w:tr>
    </w:tbl>
    <w:p>
      <w:pPr>
        <w:spacing w:after="0" w:line="128" w:lineRule="exact"/>
        <w:rPr>
          <w:sz w:val="24"/>
          <w:szCs w:val="24"/>
          <w:color w:val="auto"/>
        </w:rPr>
      </w:pPr>
    </w:p>
    <w:p>
      <w:pPr>
        <w:ind w:left="3100"/>
        <w:spacing w:after="0"/>
        <w:rPr>
          <w:sz w:val="20"/>
          <w:szCs w:val="20"/>
          <w:color w:val="auto"/>
        </w:rPr>
      </w:pPr>
      <w:r>
        <w:rPr>
          <w:rFonts w:ascii="Arial" w:cs="Arial" w:eastAsia="Arial" w:hAnsi="Arial"/>
          <w:sz w:val="17"/>
          <w:szCs w:val="17"/>
          <w:b w:val="1"/>
          <w:bCs w:val="1"/>
          <w:color w:val="auto"/>
        </w:rPr>
        <w:t>Registrant’s telephone number, including area code: (+45) 70 70 52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72390</wp:posOffset>
            </wp:positionV>
            <wp:extent cx="1434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163" w:lineRule="exact"/>
        <w:rPr>
          <w:sz w:val="24"/>
          <w:szCs w:val="24"/>
          <w:color w:val="auto"/>
        </w:rPr>
      </w:pPr>
    </w:p>
    <w:p>
      <w:pPr>
        <w:ind w:left="6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3"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Trading</w:t>
            </w:r>
          </w:p>
        </w:tc>
        <w:tc>
          <w:tcPr>
            <w:tcW w:w="9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48"/>
        </w:trPr>
        <w:tc>
          <w:tcPr>
            <w:tcW w:w="660" w:type="dxa"/>
            <w:vAlign w:val="bottom"/>
          </w:tcPr>
          <w:p>
            <w:pPr>
              <w:spacing w:after="0"/>
              <w:rPr>
                <w:sz w:val="12"/>
                <w:szCs w:val="12"/>
                <w:color w:val="auto"/>
              </w:rPr>
            </w:pPr>
          </w:p>
        </w:tc>
        <w:tc>
          <w:tcPr>
            <w:tcW w:w="1020" w:type="dxa"/>
            <w:vAlign w:val="bottom"/>
          </w:tcPr>
          <w:p>
            <w:pPr>
              <w:spacing w:after="0" w:line="148" w:lineRule="exact"/>
              <w:rPr>
                <w:sz w:val="20"/>
                <w:szCs w:val="20"/>
                <w:color w:val="auto"/>
              </w:rPr>
            </w:pPr>
            <w:r>
              <w:rPr>
                <w:rFonts w:ascii="Arial" w:cs="Arial" w:eastAsia="Arial" w:hAnsi="Arial"/>
                <w:sz w:val="14"/>
                <w:szCs w:val="14"/>
                <w:b w:val="1"/>
                <w:bCs w:val="1"/>
                <w:color w:val="auto"/>
                <w:w w:val="82"/>
              </w:rPr>
              <w:t>Title of each class</w:t>
            </w:r>
          </w:p>
        </w:tc>
        <w:tc>
          <w:tcPr>
            <w:tcW w:w="1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5"/>
              </w:rPr>
              <w:t>Symbol(s)</w:t>
            </w:r>
          </w:p>
        </w:tc>
        <w:tc>
          <w:tcPr>
            <w:tcW w:w="3460" w:type="dxa"/>
            <w:vAlign w:val="bottom"/>
            <w:gridSpan w:val="2"/>
          </w:tcPr>
          <w:p>
            <w:pPr>
              <w:jc w:val="center"/>
              <w:ind w:left="872"/>
              <w:spacing w:after="0" w:line="148" w:lineRule="exact"/>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7"/>
        </w:trPr>
        <w:tc>
          <w:tcPr>
            <w:tcW w:w="3560" w:type="dxa"/>
            <w:vAlign w:val="bottom"/>
            <w:gridSpan w:val="3"/>
          </w:tcPr>
          <w:p>
            <w:pPr>
              <w:spacing w:after="0"/>
              <w:rPr>
                <w:sz w:val="20"/>
                <w:szCs w:val="20"/>
                <w:color w:val="auto"/>
              </w:rPr>
            </w:pPr>
            <w:r>
              <w:rPr>
                <w:rFonts w:ascii="Arial" w:cs="Arial" w:eastAsia="Arial" w:hAnsi="Arial"/>
                <w:sz w:val="15"/>
                <w:szCs w:val="15"/>
                <w:color w:val="auto"/>
              </w:rPr>
              <w:t>Common Stock, par value $0.00001 per share</w:t>
            </w:r>
          </w:p>
        </w:tc>
        <w:tc>
          <w:tcPr>
            <w:tcW w:w="740" w:type="dxa"/>
            <w:vAlign w:val="bottom"/>
          </w:tcPr>
          <w:p>
            <w:pPr>
              <w:spacing w:after="0"/>
              <w:rPr>
                <w:sz w:val="18"/>
                <w:szCs w:val="18"/>
                <w:color w:val="auto"/>
              </w:rPr>
            </w:pPr>
          </w:p>
        </w:tc>
        <w:tc>
          <w:tcPr>
            <w:tcW w:w="1540" w:type="dxa"/>
            <w:vAlign w:val="bottom"/>
            <w:gridSpan w:val="2"/>
          </w:tcPr>
          <w:p>
            <w:pPr>
              <w:jc w:val="center"/>
              <w:ind w:right="940"/>
              <w:spacing w:after="0"/>
              <w:rPr>
                <w:sz w:val="20"/>
                <w:szCs w:val="20"/>
                <w:color w:val="auto"/>
              </w:rPr>
            </w:pPr>
            <w:r>
              <w:rPr>
                <w:rFonts w:ascii="Arial" w:cs="Arial" w:eastAsia="Arial" w:hAnsi="Arial"/>
                <w:sz w:val="15"/>
                <w:szCs w:val="15"/>
                <w:color w:val="auto"/>
                <w:w w:val="97"/>
              </w:rPr>
              <w:t>GLTO</w:t>
            </w:r>
          </w:p>
        </w:tc>
        <w:tc>
          <w:tcPr>
            <w:tcW w:w="94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5"/>
                <w:szCs w:val="15"/>
                <w:color w:val="auto"/>
                <w:w w:val="92"/>
              </w:rPr>
              <w:t>The Nasdaq Global Select Market</w:t>
            </w:r>
          </w:p>
        </w:tc>
      </w:tr>
    </w:tbl>
    <w:p>
      <w:pPr>
        <w:spacing w:after="0" w:line="74" w:lineRule="exact"/>
        <w:rPr>
          <w:sz w:val="24"/>
          <w:szCs w:val="24"/>
          <w:color w:val="auto"/>
        </w:rPr>
      </w:pPr>
    </w:p>
    <w:p>
      <w:pPr>
        <w:ind w:right="20" w:firstLine="599"/>
        <w:spacing w:after="0" w:line="20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400" w:firstLine="599"/>
        <w:spacing w:after="0" w:line="20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360" w:firstLine="599"/>
        <w:spacing w:after="0" w:line="3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18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200"/>
              <w:spacing w:after="0"/>
              <w:rPr>
                <w:sz w:val="20"/>
                <w:szCs w:val="20"/>
                <w:color w:val="auto"/>
              </w:rPr>
            </w:pPr>
            <w:r>
              <w:rPr>
                <w:rFonts w:ascii="Arial" w:cs="Arial" w:eastAsia="Arial" w:hAnsi="Arial"/>
                <w:sz w:val="15"/>
                <w:szCs w:val="15"/>
                <w:color w:val="auto"/>
              </w:rPr>
              <w:t>Accelerated filer</w:t>
            </w:r>
          </w:p>
        </w:tc>
        <w:tc>
          <w:tcPr>
            <w:tcW w:w="400" w:type="dxa"/>
            <w:vAlign w:val="bottom"/>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1820" w:type="dxa"/>
            <w:vAlign w:val="bottom"/>
          </w:tcPr>
          <w:p>
            <w:pPr>
              <w:spacing w:after="0"/>
              <w:rPr>
                <w:sz w:val="20"/>
                <w:szCs w:val="20"/>
                <w:color w:val="auto"/>
              </w:rPr>
            </w:pPr>
            <w:r>
              <w:rPr>
                <w:rFonts w:ascii="Arial" w:cs="Arial" w:eastAsia="Arial" w:hAnsi="Arial"/>
                <w:sz w:val="15"/>
                <w:szCs w:val="15"/>
                <w:color w:val="auto"/>
              </w:rPr>
              <w:t>Non-accelerated filer</w:t>
            </w:r>
          </w:p>
        </w:tc>
        <w:tc>
          <w:tcPr>
            <w:tcW w:w="3780" w:type="dxa"/>
            <w:vAlign w:val="bottom"/>
          </w:tcPr>
          <w:p>
            <w:pPr>
              <w:ind w:left="440"/>
              <w:spacing w:after="0" w:line="151" w:lineRule="exact"/>
              <w:rPr>
                <w:sz w:val="20"/>
                <w:szCs w:val="20"/>
                <w:color w:val="auto"/>
              </w:rPr>
            </w:pPr>
            <w:r>
              <w:rPr>
                <w:rFonts w:ascii="MS PGothic" w:cs="MS PGothic" w:eastAsia="MS PGothic" w:hAnsi="MS PGothic"/>
                <w:sz w:val="15"/>
                <w:szCs w:val="15"/>
                <w:color w:val="auto"/>
              </w:rPr>
              <w:t>☒</w:t>
            </w:r>
          </w:p>
        </w:tc>
        <w:tc>
          <w:tcPr>
            <w:tcW w:w="5160" w:type="dxa"/>
            <w:vAlign w:val="bottom"/>
          </w:tcPr>
          <w:p>
            <w:pPr>
              <w:ind w:left="3200"/>
              <w:spacing w:after="0"/>
              <w:rPr>
                <w:sz w:val="20"/>
                <w:szCs w:val="20"/>
                <w:color w:val="auto"/>
              </w:rPr>
            </w:pPr>
            <w:r>
              <w:rPr>
                <w:rFonts w:ascii="Arial" w:cs="Arial" w:eastAsia="Arial" w:hAnsi="Arial"/>
                <w:sz w:val="15"/>
                <w:szCs w:val="15"/>
                <w:color w:val="auto"/>
              </w:rPr>
              <w:t>Smaller reporting company</w:t>
            </w:r>
          </w:p>
        </w:tc>
        <w:tc>
          <w:tcPr>
            <w:tcW w:w="400" w:type="dxa"/>
            <w:vAlign w:val="bottom"/>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8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5160" w:type="dxa"/>
            <w:vAlign w:val="bottom"/>
          </w:tcPr>
          <w:p>
            <w:pPr>
              <w:ind w:left="3200"/>
              <w:spacing w:after="0"/>
              <w:rPr>
                <w:sz w:val="20"/>
                <w:szCs w:val="20"/>
                <w:color w:val="auto"/>
              </w:rPr>
            </w:pPr>
            <w:r>
              <w:rPr>
                <w:rFonts w:ascii="Arial" w:cs="Arial" w:eastAsia="Arial" w:hAnsi="Arial"/>
                <w:sz w:val="15"/>
                <w:szCs w:val="15"/>
                <w:color w:val="auto"/>
              </w:rPr>
              <w:t>Emerging growth company</w:t>
            </w:r>
          </w:p>
        </w:tc>
        <w:tc>
          <w:tcPr>
            <w:tcW w:w="400" w:type="dxa"/>
            <w:vAlign w:val="bottom"/>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58" w:lineRule="exact"/>
        <w:rPr>
          <w:sz w:val="24"/>
          <w:szCs w:val="24"/>
          <w:color w:val="auto"/>
        </w:rPr>
      </w:pPr>
    </w:p>
    <w:p>
      <w:pPr>
        <w:ind w:firstLine="599"/>
        <w:spacing w:after="0" w:line="201"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 w:lineRule="exact"/>
        <w:rPr>
          <w:sz w:val="24"/>
          <w:szCs w:val="24"/>
          <w:color w:val="auto"/>
        </w:rPr>
      </w:pPr>
    </w:p>
    <w:p>
      <w:pPr>
        <w:ind w:left="600" w:right="2500"/>
        <w:spacing w:after="0" w:line="24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2, 2021, the registrant had 25,261,832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7139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149860</wp:posOffset>
            </wp:positionV>
            <wp:extent cx="7139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266700</wp:posOffset>
            </wp:positionV>
            <wp:extent cx="7165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40" w:type="dxa"/>
            <w:vAlign w:val="bottom"/>
            <w:gridSpan w:val="8"/>
            <w:vMerge w:val="restart"/>
          </w:tcPr>
          <w:p>
            <w:pPr>
              <w:jc w:val="center"/>
              <w:ind w:right="2800"/>
              <w:spacing w:after="0"/>
              <w:rPr>
                <w:sz w:val="20"/>
                <w:szCs w:val="20"/>
                <w:color w:val="auto"/>
              </w:rPr>
            </w:pPr>
            <w:r>
              <w:rPr>
                <w:rFonts w:ascii="Arial" w:cs="Arial" w:eastAsia="Arial" w:hAnsi="Arial"/>
                <w:sz w:val="17"/>
                <w:szCs w:val="17"/>
                <w:color w:val="auto"/>
                <w:w w:val="98"/>
              </w:rPr>
              <w:t>PART I. FINANCIAL INFORMATION</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40" w:type="dxa"/>
            <w:vAlign w:val="bottom"/>
            <w:gridSpan w:val="8"/>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4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9320" w:type="dxa"/>
            <w:vAlign w:val="bottom"/>
            <w:gridSpan w:val="16"/>
          </w:tcPr>
          <w:p>
            <w:pPr>
              <w:spacing w:after="0" w:line="180" w:lineRule="exact"/>
              <w:rPr>
                <w:rFonts w:ascii="Arial" w:cs="Arial" w:eastAsia="Arial" w:hAnsi="Arial"/>
                <w:sz w:val="17"/>
                <w:szCs w:val="17"/>
                <w:color w:val="0000EE"/>
              </w:rPr>
            </w:pPr>
            <w:hyperlink w:anchor="page5">
              <w:r>
                <w:rPr>
                  <w:rFonts w:ascii="Arial" w:cs="Arial" w:eastAsia="Arial" w:hAnsi="Arial"/>
                  <w:sz w:val="17"/>
                  <w:szCs w:val="17"/>
                  <w:color w:val="0000EE"/>
                </w:rPr>
                <w:t>Condensed Consolidated Financial Statements (Unaudited)</w:t>
              </w:r>
            </w:hyperlink>
          </w:p>
        </w:tc>
        <w:tc>
          <w:tcPr>
            <w:tcW w:w="780" w:type="dxa"/>
            <w:vAlign w:val="bottom"/>
          </w:tcPr>
          <w:p>
            <w:pPr>
              <w:jc w:val="center"/>
              <w:spacing w:after="0" w:line="180"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87"/>
              </w:rPr>
            </w:pPr>
            <w:hyperlink w:anchor="page5">
              <w:r>
                <w:rPr>
                  <w:rFonts w:ascii="Arial" w:cs="Arial" w:eastAsia="Arial" w:hAnsi="Arial"/>
                  <w:sz w:val="17"/>
                  <w:szCs w:val="17"/>
                  <w:color w:val="0000EE"/>
                  <w:w w:val="87"/>
                </w:rPr>
                <w:t>Condensed Consolidated Balance Sheets</w:t>
              </w:r>
            </w:hyperlink>
          </w:p>
        </w:tc>
        <w:tc>
          <w:tcPr>
            <w:tcW w:w="1240" w:type="dxa"/>
            <w:vAlign w:val="bottom"/>
            <w:tcBorders>
              <w:top w:val="single" w:sz="8" w:color="0000EE"/>
            </w:tcBorders>
            <w:gridSpan w:val="2"/>
          </w:tcPr>
          <w:p>
            <w:pPr>
              <w:spacing w:after="0"/>
              <w:rPr>
                <w:sz w:val="17"/>
                <w:szCs w:val="17"/>
                <w:color w:val="auto"/>
              </w:rPr>
            </w:pPr>
          </w:p>
        </w:tc>
        <w:tc>
          <w:tcPr>
            <w:tcW w:w="5300" w:type="dxa"/>
            <w:vAlign w:val="bottom"/>
            <w:gridSpan w:val="6"/>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bottom w:val="single" w:sz="8" w:color="0000EE"/>
            </w:tcBorders>
            <w:gridSpan w:val="13"/>
          </w:tcPr>
          <w:p>
            <w:pPr>
              <w:spacing w:after="0"/>
              <w:rPr>
                <w:rFonts w:ascii="Arial" w:cs="Arial" w:eastAsia="Arial" w:hAnsi="Arial"/>
                <w:sz w:val="17"/>
                <w:szCs w:val="17"/>
                <w:color w:val="0000EE"/>
                <w:w w:val="88"/>
              </w:rPr>
            </w:pPr>
            <w:hyperlink w:anchor="page6">
              <w:r>
                <w:rPr>
                  <w:rFonts w:ascii="Arial" w:cs="Arial" w:eastAsia="Arial" w:hAnsi="Arial"/>
                  <w:sz w:val="17"/>
                  <w:szCs w:val="17"/>
                  <w:color w:val="0000EE"/>
                  <w:w w:val="88"/>
                </w:rPr>
                <w:t>Condensed Consolidated Statements of Operations and Comprehensive Loss</w:t>
              </w:r>
            </w:hyperlink>
          </w:p>
        </w:tc>
        <w:tc>
          <w:tcPr>
            <w:tcW w:w="4100" w:type="dxa"/>
            <w:vAlign w:val="bottom"/>
            <w:gridSpan w:val="3"/>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0" w:type="dxa"/>
            <w:vAlign w:val="bottom"/>
            <w:tcBorders>
              <w:bottom w:val="single" w:sz="8" w:color="0000EE"/>
            </w:tcBorders>
            <w:gridSpan w:val="15"/>
          </w:tcPr>
          <w:p>
            <w:pPr>
              <w:spacing w:after="0"/>
              <w:rPr>
                <w:rFonts w:ascii="Arial" w:cs="Arial" w:eastAsia="Arial" w:hAnsi="Arial"/>
                <w:sz w:val="17"/>
                <w:szCs w:val="17"/>
                <w:color w:val="0000EE"/>
                <w:w w:val="90"/>
              </w:rPr>
            </w:pPr>
            <w:hyperlink w:anchor="page7">
              <w:r>
                <w:rPr>
                  <w:rFonts w:ascii="Arial" w:cs="Arial" w:eastAsia="Arial" w:hAnsi="Arial"/>
                  <w:sz w:val="17"/>
                  <w:szCs w:val="17"/>
                  <w:color w:val="0000EE"/>
                  <w:w w:val="90"/>
                </w:rPr>
                <w:t>Condensed Consolidated Statements of Convertible Preferred Stock and Changes in Stockholders’ Equity</w:t>
              </w:r>
            </w:hyperlink>
          </w:p>
        </w:tc>
        <w:tc>
          <w:tcPr>
            <w:tcW w:w="2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16"/>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Condensed Consolidated Statements of Cash Flows</w:t>
              </w:r>
            </w:hyperlink>
          </w:p>
        </w:tc>
        <w:tc>
          <w:tcPr>
            <w:tcW w:w="78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20" w:type="dxa"/>
            <w:vAlign w:val="bottom"/>
            <w:gridSpan w:val="16"/>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Unaudited Interim Condensed Consolidated Financial Statements</w:t>
              </w:r>
            </w:hyperlink>
          </w:p>
        </w:tc>
        <w:tc>
          <w:tcPr>
            <w:tcW w:w="78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9320" w:type="dxa"/>
            <w:vAlign w:val="bottom"/>
            <w:gridSpan w:val="16"/>
          </w:tcPr>
          <w:p>
            <w:pPr>
              <w:spacing w:after="0"/>
              <w:rPr>
                <w:rFonts w:ascii="Arial" w:cs="Arial" w:eastAsia="Arial" w:hAnsi="Arial"/>
                <w:sz w:val="17"/>
                <w:szCs w:val="17"/>
                <w:color w:val="0000EE"/>
              </w:rPr>
            </w:pPr>
            <w:hyperlink w:anchor="page18">
              <w:r>
                <w:rPr>
                  <w:rFonts w:ascii="Arial" w:cs="Arial" w:eastAsia="Arial" w:hAnsi="Arial"/>
                  <w:sz w:val="17"/>
                  <w:szCs w:val="17"/>
                  <w:color w:val="0000EE"/>
                </w:rPr>
                <w:t>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2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2"/>
              </w:rPr>
            </w:pPr>
            <w:hyperlink w:anchor="page29">
              <w:r>
                <w:rPr>
                  <w:rFonts w:ascii="Arial" w:cs="Arial" w:eastAsia="Arial" w:hAnsi="Arial"/>
                  <w:sz w:val="17"/>
                  <w:szCs w:val="17"/>
                  <w:color w:val="0000EE"/>
                  <w:w w:val="92"/>
                </w:rPr>
                <w:t>Quantitative and Qualitative Disclosures About Market Risk</w:t>
              </w:r>
            </w:hyperlink>
          </w:p>
        </w:tc>
        <w:tc>
          <w:tcPr>
            <w:tcW w:w="1980" w:type="dxa"/>
            <w:vAlign w:val="bottom"/>
            <w:tcBorders>
              <w:top w:val="single" w:sz="8" w:color="0000EE"/>
            </w:tcBorders>
            <w:gridSpan w:val="3"/>
          </w:tcPr>
          <w:p>
            <w:pPr>
              <w:spacing w:after="0"/>
              <w:rPr>
                <w:sz w:val="17"/>
                <w:szCs w:val="17"/>
                <w:color w:val="auto"/>
              </w:rPr>
            </w:pPr>
          </w:p>
        </w:tc>
        <w:tc>
          <w:tcPr>
            <w:tcW w:w="3220" w:type="dxa"/>
            <w:vAlign w:val="bottom"/>
            <w:gridSpan w:val="2"/>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28</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9320" w:type="dxa"/>
            <w:vAlign w:val="bottom"/>
            <w:gridSpan w:val="16"/>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Controls and Procedures</w:t>
              </w:r>
            </w:hyperlink>
          </w:p>
        </w:tc>
        <w:tc>
          <w:tcPr>
            <w:tcW w:w="780" w:type="dxa"/>
            <w:vAlign w:val="bottom"/>
          </w:tcPr>
          <w:p>
            <w:pPr>
              <w:jc w:val="center"/>
              <w:spacing w:after="0"/>
              <w:rPr>
                <w:sz w:val="20"/>
                <w:szCs w:val="20"/>
                <w:color w:val="auto"/>
              </w:rPr>
            </w:pPr>
            <w:r>
              <w:rPr>
                <w:rFonts w:ascii="Arial" w:cs="Arial" w:eastAsia="Arial" w:hAnsi="Arial"/>
                <w:sz w:val="17"/>
                <w:szCs w:val="17"/>
                <w:color w:val="auto"/>
                <w:w w:val="84"/>
              </w:rPr>
              <w:t>28</w:t>
            </w:r>
          </w:p>
        </w:tc>
        <w:tc>
          <w:tcPr>
            <w:tcW w:w="0" w:type="dxa"/>
            <w:vAlign w:val="bottom"/>
          </w:tcPr>
          <w:p>
            <w:pPr>
              <w:spacing w:after="0"/>
              <w:rPr>
                <w:sz w:val="1"/>
                <w:szCs w:val="1"/>
                <w:color w:val="auto"/>
              </w:rPr>
            </w:pPr>
          </w:p>
        </w:tc>
      </w:tr>
      <w:tr>
        <w:trPr>
          <w:trHeight w:val="451"/>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gridSpan w:val="8"/>
          </w:tcPr>
          <w:p>
            <w:pPr>
              <w:jc w:val="center"/>
              <w:ind w:right="2800"/>
              <w:spacing w:after="0"/>
              <w:rPr>
                <w:sz w:val="20"/>
                <w:szCs w:val="20"/>
                <w:color w:val="auto"/>
              </w:rPr>
            </w:pPr>
            <w:r>
              <w:rPr>
                <w:rFonts w:ascii="Arial" w:cs="Arial" w:eastAsia="Arial" w:hAnsi="Arial"/>
                <w:sz w:val="17"/>
                <w:szCs w:val="17"/>
                <w:color w:val="auto"/>
                <w:w w:val="95"/>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gridSpan w:val="2"/>
          </w:tcPr>
          <w:p>
            <w:pPr>
              <w:spacing w:after="0" w:line="180" w:lineRule="exact"/>
              <w:rPr>
                <w:sz w:val="20"/>
                <w:szCs w:val="20"/>
                <w:color w:val="auto"/>
              </w:rPr>
            </w:pPr>
            <w:r>
              <w:rPr>
                <w:rFonts w:ascii="Arial" w:cs="Arial" w:eastAsia="Arial" w:hAnsi="Arial"/>
                <w:sz w:val="17"/>
                <w:szCs w:val="17"/>
                <w:color w:val="auto"/>
              </w:rPr>
              <w:t>Item 1.</w:t>
            </w:r>
          </w:p>
        </w:tc>
        <w:tc>
          <w:tcPr>
            <w:tcW w:w="1260" w:type="dxa"/>
            <w:vAlign w:val="bottom"/>
            <w:tcBorders>
              <w:bottom w:val="single" w:sz="8" w:color="0000EE"/>
            </w:tcBorders>
            <w:gridSpan w:val="4"/>
          </w:tcPr>
          <w:p>
            <w:pPr>
              <w:spacing w:after="0" w:line="180" w:lineRule="exact"/>
              <w:rPr>
                <w:rFonts w:ascii="Arial" w:cs="Arial" w:eastAsia="Arial" w:hAnsi="Arial"/>
                <w:sz w:val="17"/>
                <w:szCs w:val="17"/>
                <w:color w:val="0000EE"/>
                <w:w w:val="88"/>
              </w:rPr>
            </w:pPr>
            <w:hyperlink w:anchor="page31">
              <w:r>
                <w:rPr>
                  <w:rFonts w:ascii="Arial" w:cs="Arial" w:eastAsia="Arial" w:hAnsi="Arial"/>
                  <w:sz w:val="17"/>
                  <w:szCs w:val="17"/>
                  <w:color w:val="0000EE"/>
                  <w:w w:val="88"/>
                </w:rPr>
                <w:t>Legal Proceedings</w:t>
              </w:r>
            </w:hyperlink>
          </w:p>
        </w:tc>
        <w:tc>
          <w:tcPr>
            <w:tcW w:w="8060" w:type="dxa"/>
            <w:vAlign w:val="bottom"/>
            <w:gridSpan w:val="12"/>
          </w:tcPr>
          <w:p>
            <w:pPr>
              <w:spacing w:after="0"/>
              <w:rPr>
                <w:sz w:val="15"/>
                <w:szCs w:val="15"/>
                <w:color w:val="auto"/>
              </w:rPr>
            </w:pPr>
          </w:p>
        </w:tc>
        <w:tc>
          <w:tcPr>
            <w:tcW w:w="780" w:type="dxa"/>
            <w:vAlign w:val="bottom"/>
          </w:tcPr>
          <w:p>
            <w:pPr>
              <w:jc w:val="center"/>
              <w:spacing w:after="0" w:line="180" w:lineRule="exact"/>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2"/>
          </w:tcPr>
          <w:p>
            <w:pPr>
              <w:spacing w:after="0"/>
              <w:rPr>
                <w:rFonts w:ascii="Arial" w:cs="Arial" w:eastAsia="Arial" w:hAnsi="Arial"/>
                <w:sz w:val="17"/>
                <w:szCs w:val="17"/>
                <w:color w:val="0000EE"/>
                <w:w w:val="88"/>
              </w:rPr>
            </w:pPr>
            <w:hyperlink w:anchor="page31">
              <w:r>
                <w:rPr>
                  <w:rFonts w:ascii="Arial" w:cs="Arial" w:eastAsia="Arial" w:hAnsi="Arial"/>
                  <w:sz w:val="17"/>
                  <w:szCs w:val="17"/>
                  <w:color w:val="0000EE"/>
                  <w:w w:val="88"/>
                </w:rPr>
                <w:t>Risk Factors</w:t>
              </w:r>
            </w:hyperlink>
          </w:p>
        </w:tc>
        <w:tc>
          <w:tcPr>
            <w:tcW w:w="8460" w:type="dxa"/>
            <w:vAlign w:val="bottom"/>
            <w:gridSpan w:val="14"/>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2.</w:t>
            </w:r>
          </w:p>
        </w:tc>
        <w:tc>
          <w:tcPr>
            <w:tcW w:w="268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31">
              <w:r>
                <w:rPr>
                  <w:rFonts w:ascii="Arial" w:cs="Arial" w:eastAsia="Arial" w:hAnsi="Arial"/>
                  <w:sz w:val="17"/>
                  <w:szCs w:val="17"/>
                  <w:color w:val="0000EE"/>
                  <w:w w:val="90"/>
                </w:rPr>
                <w:t>Unregistered Sales of Equity Securities</w:t>
              </w:r>
            </w:hyperlink>
          </w:p>
        </w:tc>
        <w:tc>
          <w:tcPr>
            <w:tcW w:w="6640" w:type="dxa"/>
            <w:vAlign w:val="bottom"/>
            <w:gridSpan w:val="9"/>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0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31">
              <w:r>
                <w:rPr>
                  <w:rFonts w:ascii="Arial" w:cs="Arial" w:eastAsia="Arial" w:hAnsi="Arial"/>
                  <w:sz w:val="17"/>
                  <w:szCs w:val="17"/>
                  <w:color w:val="0000EE"/>
                  <w:w w:val="90"/>
                </w:rPr>
                <w:t>Defaults Upon Senior Securities</w:t>
              </w:r>
            </w:hyperlink>
          </w:p>
        </w:tc>
        <w:tc>
          <w:tcPr>
            <w:tcW w:w="7120" w:type="dxa"/>
            <w:vAlign w:val="bottom"/>
            <w:gridSpan w:val="10"/>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68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31">
              <w:r>
                <w:rPr>
                  <w:rFonts w:ascii="Arial" w:cs="Arial" w:eastAsia="Arial" w:hAnsi="Arial"/>
                  <w:sz w:val="17"/>
                  <w:szCs w:val="17"/>
                  <w:color w:val="0000EE"/>
                  <w:w w:val="91"/>
                </w:rPr>
                <w:t>Mine Safety Disclosures</w:t>
              </w:r>
            </w:hyperlink>
          </w:p>
        </w:tc>
        <w:tc>
          <w:tcPr>
            <w:tcW w:w="7640" w:type="dxa"/>
            <w:vAlign w:val="bottom"/>
            <w:gridSpan w:val="11"/>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5.</w:t>
            </w:r>
          </w:p>
        </w:tc>
        <w:tc>
          <w:tcPr>
            <w:tcW w:w="9320" w:type="dxa"/>
            <w:vAlign w:val="bottom"/>
            <w:gridSpan w:val="16"/>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Other Information</w:t>
              </w:r>
            </w:hyperlink>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30</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sz w:val="20"/>
                <w:szCs w:val="20"/>
                <w:color w:val="auto"/>
              </w:rPr>
            </w:pPr>
            <w:r>
              <w:rPr>
                <w:rFonts w:ascii="Arial" w:cs="Arial" w:eastAsia="Arial" w:hAnsi="Arial"/>
                <w:sz w:val="17"/>
                <w:szCs w:val="17"/>
                <w:color w:val="auto"/>
              </w:rPr>
              <w:t>Item 6.</w:t>
            </w:r>
          </w:p>
        </w:tc>
        <w:tc>
          <w:tcPr>
            <w:tcW w:w="1240" w:type="dxa"/>
            <w:vAlign w:val="bottom"/>
            <w:tcBorders>
              <w:top w:val="single" w:sz="8" w:color="0000EE"/>
            </w:tcBorders>
            <w:gridSpan w:val="3"/>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Exhibits</w:t>
              </w:r>
            </w:hyperlink>
          </w:p>
        </w:tc>
        <w:tc>
          <w:tcPr>
            <w:tcW w:w="8080" w:type="dxa"/>
            <w:vAlign w:val="bottom"/>
            <w:gridSpan w:val="13"/>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31</w:t>
            </w:r>
          </w:p>
        </w:tc>
        <w:tc>
          <w:tcPr>
            <w:tcW w:w="0" w:type="dxa"/>
            <w:vAlign w:val="bottom"/>
          </w:tcPr>
          <w:p>
            <w:pPr>
              <w:spacing w:after="0"/>
              <w:rPr>
                <w:sz w:val="1"/>
                <w:szCs w:val="1"/>
                <w:color w:val="auto"/>
              </w:rPr>
            </w:pPr>
          </w:p>
        </w:tc>
      </w:tr>
      <w:tr>
        <w:trPr>
          <w:trHeight w:val="197"/>
        </w:trPr>
        <w:tc>
          <w:tcPr>
            <w:tcW w:w="1140" w:type="dxa"/>
            <w:vAlign w:val="bottom"/>
            <w:gridSpan w:val="2"/>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Signatures</w:t>
              </w:r>
            </w:hyperlink>
          </w:p>
        </w:tc>
        <w:tc>
          <w:tcPr>
            <w:tcW w:w="5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81" w:lineRule="exact"/>
        <w:rPr>
          <w:sz w:val="20"/>
          <w:szCs w:val="20"/>
          <w:color w:val="auto"/>
        </w:rPr>
      </w:pPr>
    </w:p>
    <w:p>
      <w:pPr>
        <w:jc w:val="both"/>
        <w:ind w:firstLine="1019"/>
        <w:spacing w:after="0" w:line="255" w:lineRule="auto"/>
        <w:rPr>
          <w:sz w:val="20"/>
          <w:szCs w:val="20"/>
          <w:color w:val="auto"/>
        </w:rPr>
      </w:pPr>
      <w:r>
        <w:rPr>
          <w:rFonts w:ascii="Arial" w:cs="Arial" w:eastAsia="Arial" w:hAnsi="Arial"/>
          <w:sz w:val="17"/>
          <w:szCs w:val="17"/>
          <w:color w:val="auto"/>
        </w:rPr>
        <w:t>This Quarterly Report on Form 10-Q includes “forward-looking statements” within the meaning of Section 27A of the Securities Act of 1933, as amended, or the Securities Act, and Section 21E of the Securities Exchange Act of 1934, as amended, or the Exchange Act. All statements other than statements of historical fact are “forward-looking statements” for purposes of this Quarterly Report on Form 10-Q.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regarding:</w:t>
      </w:r>
    </w:p>
    <w:p>
      <w:pPr>
        <w:spacing w:after="0" w:line="183" w:lineRule="exact"/>
        <w:rPr>
          <w:sz w:val="20"/>
          <w:szCs w:val="20"/>
          <w:color w:val="auto"/>
        </w:rPr>
      </w:pPr>
    </w:p>
    <w:p>
      <w:pPr>
        <w:ind w:left="1120" w:right="260" w:hanging="378"/>
        <w:spacing w:after="0" w:line="264" w:lineRule="auto"/>
        <w:tabs>
          <w:tab w:leader="none" w:pos="1120" w:val="left"/>
        </w:tabs>
        <w:numPr>
          <w:ilvl w:val="0"/>
          <w:numId w:val="3"/>
        </w:numPr>
        <w:rPr>
          <w:rFonts w:ascii="Courier New" w:cs="Courier New" w:eastAsia="Courier New" w:hAnsi="Courier New"/>
          <w:sz w:val="16"/>
          <w:szCs w:val="16"/>
          <w:color w:val="auto"/>
        </w:rPr>
      </w:pPr>
      <w:r>
        <w:rPr>
          <w:rFonts w:ascii="Arial" w:cs="Arial" w:eastAsia="Arial" w:hAnsi="Arial"/>
          <w:sz w:val="16"/>
          <w:szCs w:val="16"/>
          <w:color w:val="auto"/>
        </w:rPr>
        <w:t>the success, cost and timing of our product development activities and planned initiation and completion of clinical trials of our lead product candidate, GB0139, including our ability to enroll patients in our ongoing Phase 2b clinical trial of GB0139 at anticipated rates and our ability to complete such trial with fewer dosage groups, as well as our other current product candidates and any future product candidates;</w:t>
      </w:r>
    </w:p>
    <w:p>
      <w:pPr>
        <w:spacing w:after="0" w:line="1" w:lineRule="exact"/>
        <w:rPr>
          <w:rFonts w:ascii="Courier New" w:cs="Courier New" w:eastAsia="Courier New" w:hAnsi="Courier New"/>
          <w:sz w:val="16"/>
          <w:szCs w:val="16"/>
          <w:color w:val="auto"/>
        </w:rPr>
      </w:pPr>
    </w:p>
    <w:p>
      <w:pPr>
        <w:ind w:left="1120" w:hanging="378"/>
        <w:spacing w:after="0" w:line="232"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the success, cost and timing of our product development activities and planned initiation and completion of our clinical trials;</w:t>
      </w:r>
    </w:p>
    <w:p>
      <w:pPr>
        <w:spacing w:after="0" w:line="14"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need to raise additional funding before we can expect to generate any revenues from product sales;</w:t>
      </w:r>
    </w:p>
    <w:p>
      <w:pPr>
        <w:spacing w:after="0" w:line="19" w:lineRule="exact"/>
        <w:rPr>
          <w:rFonts w:ascii="Courier New" w:cs="Courier New" w:eastAsia="Courier New" w:hAnsi="Courier New"/>
          <w:sz w:val="17"/>
          <w:szCs w:val="17"/>
          <w:color w:val="auto"/>
        </w:rPr>
      </w:pPr>
    </w:p>
    <w:p>
      <w:pPr>
        <w:ind w:left="1120" w:right="80" w:hanging="378"/>
        <w:spacing w:after="0" w:line="248"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obtain regulatory approval for our current or future product candidates that we may identify or develop, including our expectation that the U.S. Food and Drug Administration, or the FDA, or other regulatory agencies would agree with our belief that our Phase 2b clinical trial of GB0139 may be registrational;</w:t>
      </w:r>
    </w:p>
    <w:p>
      <w:pPr>
        <w:spacing w:after="0" w:line="2" w:lineRule="exact"/>
        <w:rPr>
          <w:rFonts w:ascii="Courier New" w:cs="Courier New" w:eastAsia="Courier New" w:hAnsi="Courier New"/>
          <w:sz w:val="17"/>
          <w:szCs w:val="17"/>
          <w:color w:val="auto"/>
        </w:rPr>
      </w:pPr>
    </w:p>
    <w:p>
      <w:pPr>
        <w:ind w:left="1120" w:hanging="378"/>
        <w:spacing w:after="0" w:line="232"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ensure adequate supply of our current or future product candidates;</w:t>
      </w:r>
    </w:p>
    <w:p>
      <w:pPr>
        <w:spacing w:after="0" w:line="14"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maintain third-party relationships necessary to conduct our business;</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heavy dependence upon the success of our research to generate and advance additional product candidates;</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establish an adequate safety or efficacy profile for our current or future product candidates that we may pursue;</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6"/>
          <w:szCs w:val="16"/>
          <w:color w:val="auto"/>
        </w:rPr>
      </w:pPr>
      <w:r>
        <w:rPr>
          <w:rFonts w:ascii="Arial" w:cs="Arial" w:eastAsia="Arial" w:hAnsi="Arial"/>
          <w:sz w:val="16"/>
          <w:szCs w:val="16"/>
          <w:color w:val="auto"/>
        </w:rPr>
        <w:t>the implementation of our strategic plans for our business, our current or future product candidates we may develop and our technology;</w:t>
      </w:r>
    </w:p>
    <w:p>
      <w:pPr>
        <w:spacing w:after="0" w:line="31" w:lineRule="exact"/>
        <w:rPr>
          <w:rFonts w:ascii="Courier New" w:cs="Courier New" w:eastAsia="Courier New" w:hAnsi="Courier New"/>
          <w:sz w:val="16"/>
          <w:szCs w:val="16"/>
          <w:color w:val="auto"/>
        </w:rPr>
      </w:pPr>
    </w:p>
    <w:p>
      <w:pPr>
        <w:ind w:left="1120" w:right="20" w:hanging="378"/>
        <w:spacing w:after="0" w:line="248"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and technology;</w:t>
      </w:r>
    </w:p>
    <w:p>
      <w:pPr>
        <w:ind w:left="1120" w:hanging="378"/>
        <w:spacing w:after="0" w:line="232"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the rate and degree of market acceptance and clinical utility for our current or future product candidates we may develop;</w:t>
      </w:r>
    </w:p>
    <w:p>
      <w:pPr>
        <w:spacing w:after="0" w:line="14"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estimates about the size of our market opportunity;</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use the capital we have raised in ways that increase the value of your investment;</w:t>
      </w:r>
    </w:p>
    <w:p>
      <w:pPr>
        <w:spacing w:after="0" w:line="19" w:lineRule="exact"/>
        <w:rPr>
          <w:rFonts w:ascii="Courier New" w:cs="Courier New" w:eastAsia="Courier New" w:hAnsi="Courier New"/>
          <w:sz w:val="17"/>
          <w:szCs w:val="17"/>
          <w:color w:val="auto"/>
        </w:rPr>
      </w:pPr>
    </w:p>
    <w:p>
      <w:pPr>
        <w:ind w:left="1120" w:right="60" w:hanging="378"/>
        <w:spacing w:after="0" w:line="248"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expectations related to the use the capital we have raised, and estimates of our expenses, future revenues, capital requirements and our needs for additional financing;</w:t>
      </w:r>
    </w:p>
    <w:p>
      <w:pPr>
        <w:ind w:left="1120" w:hanging="378"/>
        <w:spacing w:after="0" w:line="232"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establish and maintain collaborations;</w:t>
      </w:r>
    </w:p>
    <w:p>
      <w:pPr>
        <w:spacing w:after="0" w:line="14"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financial performance and liquidity;</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effectively manage our potential growth;</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developments relating to our competitors and our industry, including the impact of government regulation;</w:t>
      </w:r>
    </w:p>
    <w:p>
      <w:pPr>
        <w:spacing w:after="0" w:line="19"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5"/>
          <w:szCs w:val="15"/>
          <w:color w:val="auto"/>
        </w:rPr>
      </w:pPr>
      <w:r>
        <w:rPr>
          <w:rFonts w:ascii="Arial" w:cs="Arial" w:eastAsia="Arial" w:hAnsi="Arial"/>
          <w:sz w:val="15"/>
          <w:szCs w:val="15"/>
          <w:color w:val="auto"/>
        </w:rPr>
        <w:t>our ability to retain the continued service of our key professionals and consultants and to identify, hire and retain additional qualified professionals;</w:t>
      </w:r>
    </w:p>
    <w:p>
      <w:pPr>
        <w:spacing w:after="0" w:line="43" w:lineRule="exact"/>
        <w:rPr>
          <w:rFonts w:ascii="Courier New" w:cs="Courier New" w:eastAsia="Courier New" w:hAnsi="Courier New"/>
          <w:sz w:val="15"/>
          <w:szCs w:val="15"/>
          <w:color w:val="auto"/>
        </w:rPr>
      </w:pPr>
    </w:p>
    <w:p>
      <w:pPr>
        <w:ind w:left="1120" w:right="240" w:hanging="378"/>
        <w:spacing w:after="0" w:line="248"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the effect of the COVID-19 pandemic, including mitigation efforts and economic effects, on any of the foregoing or other aspects of our business operations and those of our collaborators, service providers and other vendors;</w:t>
      </w:r>
    </w:p>
    <w:p>
      <w:pPr>
        <w:ind w:left="1120" w:hanging="378"/>
        <w:spacing w:after="0" w:line="232" w:lineRule="auto"/>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our ability to maintain adequate internal controls over financial reporting; and</w:t>
      </w:r>
    </w:p>
    <w:p>
      <w:pPr>
        <w:spacing w:after="0" w:line="14" w:lineRule="exact"/>
        <w:rPr>
          <w:rFonts w:ascii="Courier New" w:cs="Courier New" w:eastAsia="Courier New" w:hAnsi="Courier New"/>
          <w:sz w:val="17"/>
          <w:szCs w:val="17"/>
          <w:color w:val="auto"/>
        </w:rPr>
      </w:pPr>
    </w:p>
    <w:p>
      <w:pPr>
        <w:ind w:left="1120" w:hanging="378"/>
        <w:spacing w:after="0"/>
        <w:tabs>
          <w:tab w:leader="none" w:pos="1120" w:val="left"/>
        </w:tabs>
        <w:numPr>
          <w:ilvl w:val="0"/>
          <w:numId w:val="3"/>
        </w:numPr>
        <w:rPr>
          <w:rFonts w:ascii="Courier New" w:cs="Courier New" w:eastAsia="Courier New" w:hAnsi="Courier New"/>
          <w:sz w:val="17"/>
          <w:szCs w:val="17"/>
          <w:color w:val="auto"/>
        </w:rPr>
      </w:pPr>
      <w:r>
        <w:rPr>
          <w:rFonts w:ascii="Arial" w:cs="Arial" w:eastAsia="Arial" w:hAnsi="Arial"/>
          <w:sz w:val="17"/>
          <w:szCs w:val="17"/>
          <w:color w:val="auto"/>
        </w:rPr>
        <w:t>other risks and uncertainties, including those listed under the section titled “Risk Factors.”</w:t>
      </w:r>
    </w:p>
    <w:p>
      <w:pPr>
        <w:spacing w:after="0" w:line="223" w:lineRule="exact"/>
        <w:rPr>
          <w:sz w:val="20"/>
          <w:szCs w:val="20"/>
          <w:color w:val="auto"/>
        </w:rPr>
      </w:pPr>
    </w:p>
    <w:p>
      <w:pPr>
        <w:jc w:val="both"/>
        <w:ind w:firstLine="1019"/>
        <w:spacing w:after="0" w:line="298" w:lineRule="auto"/>
        <w:rPr>
          <w:rFonts w:ascii="Arial" w:cs="Arial" w:eastAsia="Arial" w:hAnsi="Arial"/>
          <w:sz w:val="15"/>
          <w:szCs w:val="15"/>
          <w:color w:val="auto"/>
        </w:rPr>
      </w:pPr>
      <w:r>
        <w:rPr>
          <w:rFonts w:ascii="Arial" w:cs="Arial" w:eastAsia="Arial" w:hAnsi="Arial"/>
          <w:sz w:val="15"/>
          <w:szCs w:val="15"/>
          <w:color w:val="auto"/>
        </w:rPr>
        <w:t xml:space="preserve">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the reasons described elsewhere in this Quarterly Report on Form 10-Q and those set forth in Part I, Item 1A - “Risk Factors” in our </w:t>
      </w:r>
      <w:hyperlink r:id="rId18">
        <w:r>
          <w:rPr>
            <w:rFonts w:ascii="Arial" w:cs="Arial" w:eastAsia="Arial" w:hAnsi="Arial"/>
            <w:sz w:val="15"/>
            <w:szCs w:val="15"/>
            <w:u w:val="single" w:color="auto"/>
            <w:color w:val="auto"/>
          </w:rPr>
          <w:t xml:space="preserve">Annual Report on Form 10-K </w:t>
        </w:r>
      </w:hyperlink>
      <w:r>
        <w:rPr>
          <w:rFonts w:ascii="Arial" w:cs="Arial" w:eastAsia="Arial" w:hAnsi="Arial"/>
          <w:sz w:val="15"/>
          <w:szCs w:val="15"/>
          <w:color w:val="auto"/>
        </w:rPr>
        <w:t>for the fiscal year ended December 31, 2020. Any forward-looking statement in this Quarterly Report on Form 10-Q reflects our current view with respect to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5676900</wp:posOffset>
            </wp:positionH>
            <wp:positionV relativeFrom="paragraph">
              <wp:posOffset>-177165</wp:posOffset>
            </wp:positionV>
            <wp:extent cx="13354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jc w:val="both"/>
        <w:spacing w:after="0" w:line="270" w:lineRule="auto"/>
        <w:rPr>
          <w:sz w:val="20"/>
          <w:szCs w:val="20"/>
          <w:color w:val="auto"/>
        </w:rPr>
      </w:pPr>
      <w:r>
        <w:rPr>
          <w:rFonts w:ascii="Arial" w:cs="Arial" w:eastAsia="Arial" w:hAnsi="Arial"/>
          <w:sz w:val="17"/>
          <w:szCs w:val="17"/>
          <w:color w:val="auto"/>
        </w:rPr>
        <w:t>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34" w:lineRule="exact"/>
        <w:rPr>
          <w:sz w:val="20"/>
          <w:szCs w:val="20"/>
          <w:color w:val="auto"/>
        </w:rPr>
      </w:pPr>
    </w:p>
    <w:p>
      <w:pPr>
        <w:jc w:val="both"/>
        <w:ind w:firstLine="1019"/>
        <w:spacing w:after="0" w:line="258"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7"/>
          <w:szCs w:val="17"/>
          <w:color w:val="auto"/>
        </w:rPr>
        <w:t>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4" w:lineRule="exact"/>
        <w:rPr>
          <w:sz w:val="20"/>
          <w:szCs w:val="20"/>
          <w:color w:val="auto"/>
        </w:rPr>
      </w:pPr>
    </w:p>
    <w:p>
      <w:pPr>
        <w:jc w:val="both"/>
        <w:ind w:firstLine="1019"/>
        <w:spacing w:after="0" w:line="275" w:lineRule="auto"/>
        <w:rPr>
          <w:sz w:val="20"/>
          <w:szCs w:val="20"/>
          <w:color w:val="auto"/>
        </w:rPr>
      </w:pPr>
      <w:r>
        <w:rPr>
          <w:rFonts w:ascii="Arial" w:cs="Arial" w:eastAsia="Arial" w:hAnsi="Arial"/>
          <w:sz w:val="17"/>
          <w:szCs w:val="17"/>
          <w:color w:val="auto"/>
        </w:rPr>
        <w:t>Except where the context otherwise requires, in this Quarterly Report on Form 10-Q, “we,” “us,” “our,” “Galecto,” and the “Company” refer to Galecto, Inc. and, where appropriate, its consolidated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w:t>
      </w:r>
    </w:p>
    <w:p>
      <w:pPr>
        <w:spacing w:after="0" w:line="281" w:lineRule="exact"/>
        <w:rPr>
          <w:sz w:val="20"/>
          <w:szCs w:val="20"/>
          <w:color w:val="auto"/>
        </w:rPr>
      </w:pPr>
    </w:p>
    <w:p>
      <w:pPr>
        <w:jc w:val="both"/>
        <w:ind w:firstLine="1019"/>
        <w:spacing w:after="0" w:line="289" w:lineRule="auto"/>
        <w:rPr>
          <w:sz w:val="20"/>
          <w:szCs w:val="20"/>
          <w:color w:val="auto"/>
        </w:rPr>
      </w:pPr>
      <w:r>
        <w:rPr>
          <w:rFonts w:ascii="Arial" w:cs="Arial" w:eastAsia="Arial" w:hAnsi="Arial"/>
          <w:sz w:val="15"/>
          <w:szCs w:val="15"/>
          <w:color w:val="auto"/>
        </w:rPr>
        <w:t>We have applied for various trademarks that we use in connection with the operation of our business. This Quarterly Report on Form 10-Q includes trademarks, service marks, and trade names owned by us or other companies. All trademarks, service marks, and trade names included in this Quarterly Report on Form 10-Q are the property of their respective owners. Solely for convenience, the trademarks and trade names in this report may be referred to without the ® and</w:t>
      </w:r>
    </w:p>
    <w:p>
      <w:pPr>
        <w:spacing w:after="0" w:line="1" w:lineRule="exact"/>
        <w:rPr>
          <w:sz w:val="20"/>
          <w:szCs w:val="20"/>
          <w:color w:val="auto"/>
        </w:rPr>
      </w:pPr>
    </w:p>
    <w:p>
      <w:pPr>
        <w:ind w:firstLine="2"/>
        <w:spacing w:after="0" w:line="261" w:lineRule="auto"/>
        <w:tabs>
          <w:tab w:leader="none" w:pos="214" w:val="left"/>
        </w:tabs>
        <w:numPr>
          <w:ilvl w:val="0"/>
          <w:numId w:val="4"/>
        </w:numPr>
        <w:rPr>
          <w:rFonts w:ascii="Arial" w:cs="Arial" w:eastAsia="Arial" w:hAnsi="Arial"/>
          <w:sz w:val="17"/>
          <w:szCs w:val="17"/>
          <w:color w:val="auto"/>
        </w:rPr>
      </w:pPr>
      <w:r>
        <w:rPr>
          <w:rFonts w:ascii="Arial" w:cs="Arial" w:eastAsia="Arial" w:hAnsi="Arial"/>
          <w:sz w:val="17"/>
          <w:szCs w:val="17"/>
          <w:color w:val="auto"/>
        </w:rPr>
        <w:t>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GALECTO,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77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center"/>
              <w:ind w:right="157"/>
              <w:spacing w:after="0"/>
              <w:rPr>
                <w:sz w:val="20"/>
                <w:szCs w:val="20"/>
                <w:color w:val="auto"/>
              </w:rPr>
            </w:pPr>
            <w:r>
              <w:rPr>
                <w:rFonts w:ascii="Arial" w:cs="Arial" w:eastAsia="Arial" w:hAnsi="Arial"/>
                <w:sz w:val="14"/>
                <w:szCs w:val="14"/>
                <w:color w:val="auto"/>
                <w:w w:val="87"/>
              </w:rPr>
              <w:t>(unaudited)</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66,157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Marketable securities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35,987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107,008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169,295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Marketable securities, long-term</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Operating lease right-of-use asset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Tax credit receivable, noncurrent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assets, noncurrent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135,874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1,981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46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 liabilities,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9)</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Preferred stock, par value of $0.00001 per share; 10,000,000 shares authorized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shd w:val="clear" w:color="auto" w:fill="CFF0FC"/>
          </w:tcPr>
          <w:p>
            <w:pPr>
              <w:ind w:left="440"/>
              <w:spacing w:after="0"/>
              <w:rPr>
                <w:sz w:val="20"/>
                <w:szCs w:val="20"/>
                <w:color w:val="auto"/>
              </w:rPr>
            </w:pPr>
            <w:r>
              <w:rPr>
                <w:rFonts w:ascii="Arial" w:cs="Arial" w:eastAsia="Arial" w:hAnsi="Arial"/>
                <w:sz w:val="17"/>
                <w:szCs w:val="17"/>
                <w:color w:val="auto"/>
              </w:rPr>
              <w:t>at September 30, 2021 and December 31, 2020; no shares issued or outstanding</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400"/>
              <w:spacing w:after="0"/>
              <w:rPr>
                <w:sz w:val="20"/>
                <w:szCs w:val="20"/>
                <w:color w:val="auto"/>
              </w:rPr>
            </w:pPr>
            <w:r>
              <w:rPr>
                <w:rFonts w:ascii="Arial" w:cs="Arial" w:eastAsia="Arial" w:hAnsi="Arial"/>
                <w:sz w:val="17"/>
                <w:szCs w:val="17"/>
                <w:color w:val="auto"/>
              </w:rPr>
              <w:t>as of September 30, 2021 and December 31, 2020</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7740" w:type="dxa"/>
            <w:vAlign w:val="bottom"/>
          </w:tcPr>
          <w:p>
            <w:pPr>
              <w:ind w:left="240"/>
              <w:spacing w:after="0"/>
              <w:rPr>
                <w:sz w:val="20"/>
                <w:szCs w:val="20"/>
                <w:color w:val="auto"/>
              </w:rPr>
            </w:pPr>
            <w:r>
              <w:rPr>
                <w:rFonts w:ascii="Arial" w:cs="Arial" w:eastAsia="Arial" w:hAnsi="Arial"/>
                <w:sz w:val="17"/>
                <w:szCs w:val="17"/>
                <w:color w:val="auto"/>
              </w:rPr>
              <w:t>Common stock, par value of $0.00001 per share; 300,000,000 shares authorized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740" w:type="dxa"/>
            <w:vAlign w:val="bottom"/>
          </w:tcPr>
          <w:p>
            <w:pPr>
              <w:ind w:left="440"/>
              <w:spacing w:after="0"/>
              <w:rPr>
                <w:sz w:val="20"/>
                <w:szCs w:val="20"/>
                <w:color w:val="auto"/>
              </w:rPr>
            </w:pPr>
            <w:r>
              <w:rPr>
                <w:rFonts w:ascii="Arial" w:cs="Arial" w:eastAsia="Arial" w:hAnsi="Arial"/>
                <w:sz w:val="17"/>
                <w:szCs w:val="17"/>
                <w:color w:val="auto"/>
              </w:rPr>
              <w:t>at September 30, 2021 and December 31, 2020; 25,261,832 shares issued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40"/>
              <w:spacing w:after="0"/>
              <w:rPr>
                <w:sz w:val="20"/>
                <w:szCs w:val="20"/>
                <w:color w:val="auto"/>
              </w:rPr>
            </w:pPr>
            <w:r>
              <w:rPr>
                <w:rFonts w:ascii="Arial" w:cs="Arial" w:eastAsia="Arial" w:hAnsi="Arial"/>
                <w:sz w:val="17"/>
                <w:szCs w:val="17"/>
                <w:color w:val="auto"/>
              </w:rPr>
              <w:t>outstanding at September 30, 2021 and December 31, 2020</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272,412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269,175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(142,703)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(104,360)</w:t>
            </w:r>
          </w:p>
        </w:tc>
        <w:tc>
          <w:tcPr>
            <w:tcW w:w="0" w:type="dxa"/>
            <w:vAlign w:val="bottom"/>
          </w:tcPr>
          <w:p>
            <w:pPr>
              <w:spacing w:after="0"/>
              <w:rPr>
                <w:sz w:val="1"/>
                <w:szCs w:val="1"/>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other comprehensive income</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(89)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129,620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165,489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135,874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171,596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GALECTO,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right"/>
              <w:ind w:right="6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0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6"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6"/>
              <w:spacing w:after="0" w:line="146"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6"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6"/>
              <w:spacing w:after="0" w:line="146"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9,748</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7,651</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28,373</w:t>
            </w:r>
          </w:p>
        </w:tc>
        <w:tc>
          <w:tcPr>
            <w:tcW w:w="14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16,874</w:t>
            </w:r>
          </w:p>
        </w:tc>
        <w:tc>
          <w:tcPr>
            <w:tcW w:w="0" w:type="dxa"/>
            <w:vAlign w:val="bottom"/>
          </w:tcPr>
          <w:p>
            <w:pPr>
              <w:spacing w:after="0"/>
              <w:rPr>
                <w:sz w:val="1"/>
                <w:szCs w:val="1"/>
                <w:color w:val="auto"/>
              </w:rPr>
            </w:pPr>
          </w:p>
        </w:tc>
      </w:tr>
      <w:tr>
        <w:trPr>
          <w:trHeight w:val="217"/>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7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3,191</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2,515</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10,386</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5,461</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tcPr>
          <w:p>
            <w:pPr>
              <w:ind w:left="460"/>
              <w:spacing w:after="0"/>
              <w:rPr>
                <w:sz w:val="20"/>
                <w:szCs w:val="20"/>
                <w:color w:val="auto"/>
              </w:rPr>
            </w:pPr>
            <w:r>
              <w:rPr>
                <w:rFonts w:ascii="Arial" w:cs="Arial" w:eastAsia="Arial" w:hAnsi="Arial"/>
                <w:sz w:val="17"/>
                <w:szCs w:val="17"/>
                <w:color w:val="auto"/>
              </w:rPr>
              <w:t>Total operating expenses</w:t>
            </w: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12,939</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10,166</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38,759</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22,335</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7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(12,939)</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(10,166)</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(38,759)</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(22,335)</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income, net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35</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126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Foreign exchange transaction gain (loss), net</w:t>
            </w: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208</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(1,485)</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290</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Total other income (expense), net</w:t>
            </w:r>
          </w:p>
        </w:tc>
        <w:tc>
          <w:tcPr>
            <w:tcW w:w="7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243</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(1,485)</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416</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7"/>
                <w:szCs w:val="17"/>
                <w:color w:val="auto"/>
              </w:rPr>
              <w:t>Net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(12,696)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(11,651)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(38,343)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(23,260)</w:t>
            </w:r>
          </w:p>
        </w:tc>
        <w:tc>
          <w:tcPr>
            <w:tcW w:w="0" w:type="dxa"/>
            <w:vAlign w:val="bottom"/>
          </w:tcPr>
          <w:p>
            <w:pPr>
              <w:spacing w:after="0"/>
              <w:rPr>
                <w:sz w:val="1"/>
                <w:szCs w:val="1"/>
                <w:color w:val="auto"/>
              </w:rPr>
            </w:pPr>
          </w:p>
        </w:tc>
      </w:tr>
      <w:tr>
        <w:trPr>
          <w:trHeight w:val="217"/>
        </w:trPr>
        <w:tc>
          <w:tcPr>
            <w:tcW w:w="51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Dividends on convertible preferred stock</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(7,648)</w:t>
            </w: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loss attributable to common shareholders</w:t>
            </w:r>
          </w:p>
        </w:tc>
        <w:tc>
          <w:tcPr>
            <w:tcW w:w="7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(12,696)</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(14,364)</w:t>
            </w:r>
          </w:p>
        </w:tc>
        <w:tc>
          <w:tcPr>
            <w:tcW w:w="1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(38,343)</w:t>
            </w:r>
          </w:p>
        </w:tc>
        <w:tc>
          <w:tcPr>
            <w:tcW w:w="14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(30,908)</w:t>
            </w:r>
          </w:p>
        </w:tc>
        <w:tc>
          <w:tcPr>
            <w:tcW w:w="0" w:type="dxa"/>
            <w:vAlign w:val="bottom"/>
          </w:tcPr>
          <w:p>
            <w:pPr>
              <w:spacing w:after="0"/>
              <w:rPr>
                <w:sz w:val="1"/>
                <w:szCs w:val="1"/>
                <w:color w:val="auto"/>
              </w:rPr>
            </w:pPr>
          </w:p>
        </w:tc>
      </w:tr>
      <w:tr>
        <w:trPr>
          <w:trHeight w:val="195"/>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Net loss per common share, basic and diluted</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(0.50)</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(55.25)</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(118.89)</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number of shares used in computing net loss</w:t>
            </w: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per common share, basic and diluted</w:t>
            </w:r>
          </w:p>
        </w:tc>
        <w:tc>
          <w:tcPr>
            <w:tcW w:w="7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25,261,832</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259,966</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25,261,832</w:t>
            </w:r>
          </w:p>
        </w:tc>
        <w:tc>
          <w:tcPr>
            <w:tcW w:w="1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259,966</w:t>
            </w:r>
          </w:p>
        </w:tc>
        <w:tc>
          <w:tcPr>
            <w:tcW w:w="0" w:type="dxa"/>
            <w:vAlign w:val="bottom"/>
          </w:tcPr>
          <w:p>
            <w:pPr>
              <w:spacing w:after="0"/>
              <w:rPr>
                <w:sz w:val="1"/>
                <w:szCs w:val="1"/>
                <w:color w:val="auto"/>
              </w:rPr>
            </w:pPr>
          </w:p>
        </w:tc>
      </w:tr>
      <w:tr>
        <w:trPr>
          <w:trHeight w:val="196"/>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loss, net of tax</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7"/>
                <w:szCs w:val="17"/>
                <w:color w:val="auto"/>
              </w:rPr>
              <w:t>Currency translation gain (loss)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2,331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2,136</w:t>
            </w:r>
          </w:p>
        </w:tc>
        <w:tc>
          <w:tcPr>
            <w:tcW w:w="0" w:type="dxa"/>
            <w:vAlign w:val="bottom"/>
          </w:tcPr>
          <w:p>
            <w:pPr>
              <w:spacing w:after="0"/>
              <w:rPr>
                <w:sz w:val="1"/>
                <w:szCs w:val="1"/>
                <w:color w:val="auto"/>
              </w:rPr>
            </w:pPr>
          </w:p>
        </w:tc>
      </w:tr>
      <w:tr>
        <w:trPr>
          <w:trHeight w:val="217"/>
        </w:trPr>
        <w:tc>
          <w:tcPr>
            <w:tcW w:w="51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Unrealized gain (loss) on marketable securities</w:t>
            </w:r>
          </w:p>
        </w:tc>
        <w:tc>
          <w:tcPr>
            <w:tcW w:w="7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comprehensive gain (loss), net of tax</w:t>
            </w: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2,331</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(763)</w:t>
            </w:r>
          </w:p>
        </w:tc>
        <w:tc>
          <w:tcPr>
            <w:tcW w:w="1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2,136</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Total comprehensive loss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(13,031)</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(9,320)</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(39,106)</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(21,124)</w:t>
            </w: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7"/>
          <w:szCs w:val="17"/>
          <w:b w:val="1"/>
          <w:bCs w:val="1"/>
          <w:color w:val="auto"/>
        </w:rPr>
        <w:t>GALECTO, INC.</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Convertible Preferred Stock and Changes in Stockholders’ Equity</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amounts)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left="183"/>
              <w:spacing w:after="0"/>
              <w:rPr>
                <w:sz w:val="20"/>
                <w:szCs w:val="20"/>
                <w:color w:val="auto"/>
              </w:rPr>
            </w:pPr>
            <w:r>
              <w:rPr>
                <w:rFonts w:ascii="Arial" w:cs="Arial" w:eastAsia="Arial" w:hAnsi="Arial"/>
                <w:sz w:val="14"/>
                <w:szCs w:val="14"/>
                <w:b w:val="1"/>
                <w:bCs w:val="1"/>
                <w:color w:val="auto"/>
                <w:w w:val="85"/>
              </w:rPr>
              <w:t>Series B</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Series C</w:t>
            </w:r>
          </w:p>
        </w:tc>
        <w:tc>
          <w:tcPr>
            <w:tcW w:w="1180" w:type="dxa"/>
            <w:vAlign w:val="bottom"/>
            <w:gridSpan w:val="3"/>
          </w:tcPr>
          <w:p>
            <w:pPr>
              <w:jc w:val="center"/>
              <w:ind w:left="223"/>
              <w:spacing w:after="0"/>
              <w:rPr>
                <w:sz w:val="20"/>
                <w:szCs w:val="20"/>
                <w:color w:val="auto"/>
              </w:rPr>
            </w:pPr>
            <w:r>
              <w:rPr>
                <w:rFonts w:ascii="Arial" w:cs="Arial" w:eastAsia="Arial" w:hAnsi="Arial"/>
                <w:sz w:val="14"/>
                <w:szCs w:val="14"/>
                <w:b w:val="1"/>
                <w:bCs w:val="1"/>
                <w:color w:val="auto"/>
                <w:w w:val="85"/>
              </w:rPr>
              <w:t>Series D</w:t>
            </w:r>
          </w:p>
        </w:tc>
        <w:tc>
          <w:tcPr>
            <w:tcW w:w="4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0"/>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Convertible</w:t>
            </w:r>
          </w:p>
        </w:tc>
        <w:tc>
          <w:tcPr>
            <w:tcW w:w="1180" w:type="dxa"/>
            <w:vAlign w:val="bottom"/>
            <w:gridSpan w:val="3"/>
          </w:tcPr>
          <w:p>
            <w:pPr>
              <w:jc w:val="center"/>
              <w:ind w:left="203"/>
              <w:spacing w:after="0" w:line="141" w:lineRule="exact"/>
              <w:rPr>
                <w:sz w:val="20"/>
                <w:szCs w:val="20"/>
                <w:color w:val="auto"/>
              </w:rPr>
            </w:pPr>
            <w:r>
              <w:rPr>
                <w:rFonts w:ascii="Arial" w:cs="Arial" w:eastAsia="Arial" w:hAnsi="Arial"/>
                <w:sz w:val="14"/>
                <w:szCs w:val="14"/>
                <w:b w:val="1"/>
                <w:bCs w:val="1"/>
                <w:color w:val="auto"/>
                <w:w w:val="90"/>
              </w:rPr>
              <w:t>Convertible</w:t>
            </w: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0"/>
        </w:trPr>
        <w:tc>
          <w:tcPr>
            <w:tcW w:w="12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For the Three</w:t>
            </w: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9"/>
              </w:rPr>
              <w:t>Preferred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gridSpan w:val="3"/>
          </w:tcPr>
          <w:p>
            <w:pPr>
              <w:jc w:val="center"/>
              <w:ind w:left="223"/>
              <w:spacing w:after="0" w:line="141" w:lineRule="exact"/>
              <w:rPr>
                <w:sz w:val="20"/>
                <w:szCs w:val="20"/>
                <w:color w:val="auto"/>
              </w:rPr>
            </w:pPr>
            <w:r>
              <w:rPr>
                <w:rFonts w:ascii="Arial" w:cs="Arial" w:eastAsia="Arial" w:hAnsi="Arial"/>
                <w:sz w:val="14"/>
                <w:szCs w:val="14"/>
                <w:b w:val="1"/>
                <w:bCs w:val="1"/>
                <w:color w:val="auto"/>
                <w:w w:val="89"/>
              </w:rPr>
              <w:t>Preferred</w:t>
            </w: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jc w:val="center"/>
              <w:ind w:right="119"/>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Months Ended</w:t>
            </w:r>
          </w:p>
        </w:tc>
        <w:tc>
          <w:tcPr>
            <w:tcW w:w="110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Accumulated</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Comprehensive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Stockholders’</w:t>
            </w:r>
          </w:p>
        </w:tc>
      </w:tr>
      <w:tr>
        <w:trPr>
          <w:trHeight w:val="146"/>
        </w:trPr>
        <w:tc>
          <w:tcPr>
            <w:tcW w:w="12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87"/>
              </w:rPr>
              <w:t>September 30, 2021</w:t>
            </w:r>
          </w:p>
        </w:tc>
        <w:tc>
          <w:tcPr>
            <w:tcW w:w="6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ind w:right="103"/>
              <w:spacing w:after="0" w:line="146"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gridSpan w:val="2"/>
          </w:tcPr>
          <w:p>
            <w:pPr>
              <w:jc w:val="right"/>
              <w:ind w:right="35"/>
              <w:spacing w:after="0" w:line="146"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183"/>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6"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183"/>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FF0FC"/>
            </w:tcBorders>
          </w:tcPr>
          <w:p>
            <w:pPr>
              <w:spacing w:after="0"/>
              <w:rPr>
                <w:sz w:val="12"/>
                <w:szCs w:val="12"/>
                <w:color w:val="auto"/>
              </w:rPr>
            </w:pPr>
          </w:p>
        </w:tc>
        <w:tc>
          <w:tcPr>
            <w:tcW w:w="740" w:type="dxa"/>
            <w:vAlign w:val="bottom"/>
            <w:tcBorders>
              <w:bottom w:val="single" w:sz="8" w:color="auto"/>
              <w:right w:val="single" w:sz="8" w:color="auto"/>
            </w:tcBorders>
            <w:gridSpan w:val="2"/>
          </w:tcPr>
          <w:p>
            <w:pPr>
              <w:jc w:val="right"/>
              <w:ind w:right="135"/>
              <w:spacing w:after="0" w:line="146"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FF0FC"/>
            </w:tcBorders>
          </w:tcPr>
          <w:p>
            <w:pPr>
              <w:spacing w:after="0"/>
              <w:rPr>
                <w:sz w:val="12"/>
                <w:szCs w:val="12"/>
                <w:color w:val="auto"/>
              </w:rPr>
            </w:pPr>
          </w:p>
        </w:tc>
        <w:tc>
          <w:tcPr>
            <w:tcW w:w="900" w:type="dxa"/>
            <w:vAlign w:val="bottom"/>
            <w:tcBorders>
              <w:bottom w:val="single" w:sz="8" w:color="auto"/>
            </w:tcBorders>
          </w:tcPr>
          <w:p>
            <w:pPr>
              <w:jc w:val="right"/>
              <w:ind w:right="219"/>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6"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59"/>
              <w:spacing w:after="0" w:line="146" w:lineRule="exact"/>
              <w:rPr>
                <w:sz w:val="20"/>
                <w:szCs w:val="20"/>
                <w:color w:val="auto"/>
              </w:rPr>
            </w:pPr>
            <w:r>
              <w:rPr>
                <w:rFonts w:ascii="Arial" w:cs="Arial" w:eastAsia="Arial" w:hAnsi="Arial"/>
                <w:sz w:val="14"/>
                <w:szCs w:val="14"/>
                <w:b w:val="1"/>
                <w:bCs w:val="1"/>
                <w:color w:val="auto"/>
                <w:w w:val="85"/>
              </w:rPr>
              <w:t>Income</w:t>
            </w:r>
          </w:p>
        </w:tc>
        <w:tc>
          <w:tcPr>
            <w:tcW w:w="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9"/>
              <w:spacing w:after="0" w:line="146" w:lineRule="exact"/>
              <w:rPr>
                <w:sz w:val="20"/>
                <w:szCs w:val="20"/>
                <w:color w:val="auto"/>
              </w:rPr>
            </w:pPr>
            <w:r>
              <w:rPr>
                <w:rFonts w:ascii="Arial" w:cs="Arial" w:eastAsia="Arial" w:hAnsi="Arial"/>
                <w:sz w:val="14"/>
                <w:szCs w:val="14"/>
                <w:b w:val="1"/>
                <w:bCs w:val="1"/>
                <w:color w:val="auto"/>
                <w:w w:val="93"/>
              </w:rPr>
              <w:t>Equity</w:t>
            </w:r>
          </w:p>
        </w:tc>
      </w:tr>
      <w:tr>
        <w:trPr>
          <w:trHeight w:val="197"/>
        </w:trPr>
        <w:tc>
          <w:tcPr>
            <w:tcW w:w="1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 June</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7"/>
        </w:trPr>
        <w:tc>
          <w:tcPr>
            <w:tcW w:w="1200" w:type="dxa"/>
            <w:vAlign w:val="bottom"/>
            <w:shd w:val="clear" w:color="auto" w:fill="CFF0FC"/>
          </w:tcPr>
          <w:p>
            <w:pPr>
              <w:spacing w:after="0"/>
              <w:rPr>
                <w:sz w:val="20"/>
                <w:szCs w:val="20"/>
                <w:color w:val="auto"/>
              </w:rPr>
            </w:pPr>
            <w:r>
              <w:rPr>
                <w:rFonts w:ascii="Arial" w:cs="Arial" w:eastAsia="Arial" w:hAnsi="Arial"/>
                <w:sz w:val="17"/>
                <w:szCs w:val="17"/>
                <w:color w:val="auto"/>
              </w:rPr>
              <w:t>30, 2021</w:t>
            </w:r>
          </w:p>
        </w:tc>
        <w:tc>
          <w:tcPr>
            <w:tcW w:w="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25,261,832</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$ 271,193</w:t>
            </w:r>
          </w:p>
        </w:tc>
        <w:tc>
          <w:tcPr>
            <w:tcW w:w="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94"/>
              </w:rPr>
              <w:t>$ (130,007)</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246</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141,432</w:t>
            </w: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Stock-based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w w:val="94"/>
              </w:rPr>
              <w:t>compensation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1,219</w:t>
            </w: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Currency</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translation</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loss</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w:t>
            </w: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Net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unrealized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gain 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marketable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securities</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Net loss</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(12,696)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(12,696)</w:t>
            </w:r>
          </w:p>
        </w:tc>
      </w:tr>
      <w:tr>
        <w:trPr>
          <w:trHeight w:val="197"/>
        </w:trPr>
        <w:tc>
          <w:tcPr>
            <w:tcW w:w="1260" w:type="dxa"/>
            <w:vAlign w:val="bottom"/>
            <w:gridSpan w:val="2"/>
          </w:tcPr>
          <w:p>
            <w:pPr>
              <w:spacing w:after="0"/>
              <w:rPr>
                <w:sz w:val="20"/>
                <w:szCs w:val="20"/>
                <w:color w:val="auto"/>
              </w:rPr>
            </w:pPr>
            <w:r>
              <w:rPr>
                <w:rFonts w:ascii="Arial" w:cs="Arial" w:eastAsia="Arial" w:hAnsi="Arial"/>
                <w:sz w:val="17"/>
                <w:szCs w:val="17"/>
                <w:color w:val="auto"/>
              </w:rPr>
              <w:t>Balance at</w:t>
            </w: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40" w:type="dxa"/>
            <w:vAlign w:val="bottom"/>
            <w:tcBorders>
              <w:top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04"/>
        </w:trPr>
        <w:tc>
          <w:tcPr>
            <w:tcW w:w="1260" w:type="dxa"/>
            <w:vAlign w:val="bottom"/>
            <w:gridSpan w:val="2"/>
          </w:tcPr>
          <w:p>
            <w:pPr>
              <w:spacing w:after="0"/>
              <w:rPr>
                <w:sz w:val="20"/>
                <w:szCs w:val="20"/>
                <w:color w:val="auto"/>
              </w:rPr>
            </w:pPr>
            <w:r>
              <w:rPr>
                <w:rFonts w:ascii="Arial" w:cs="Arial" w:eastAsia="Arial" w:hAnsi="Arial"/>
                <w:sz w:val="17"/>
                <w:szCs w:val="17"/>
                <w:color w:val="auto"/>
              </w:rPr>
              <w:t>September 30,</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w w:val="93"/>
              </w:rPr>
              <w:t>25,261,832</w:t>
            </w:r>
          </w:p>
        </w:tc>
        <w:tc>
          <w:tcPr>
            <w:tcW w:w="6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w w:val="84"/>
              </w:rPr>
              <w:t>$ 272,412</w:t>
            </w:r>
          </w:p>
        </w:tc>
        <w:tc>
          <w:tcPr>
            <w:tcW w:w="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4"/>
              </w:rPr>
              <w:t>$ (142,703)</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129,620</w:t>
            </w:r>
          </w:p>
        </w:tc>
      </w:tr>
      <w:tr>
        <w:trPr>
          <w:trHeight w:val="196"/>
        </w:trPr>
        <w:tc>
          <w:tcPr>
            <w:tcW w:w="1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r>
      <w:tr>
        <w:trPr>
          <w:trHeight w:val="133"/>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center"/>
              <w:ind w:left="183"/>
              <w:spacing w:after="0" w:line="133" w:lineRule="exact"/>
              <w:rPr>
                <w:sz w:val="20"/>
                <w:szCs w:val="20"/>
                <w:color w:val="auto"/>
              </w:rPr>
            </w:pPr>
            <w:r>
              <w:rPr>
                <w:rFonts w:ascii="Arial" w:cs="Arial" w:eastAsia="Arial" w:hAnsi="Arial"/>
                <w:sz w:val="14"/>
                <w:szCs w:val="14"/>
                <w:b w:val="1"/>
                <w:bCs w:val="1"/>
                <w:color w:val="auto"/>
                <w:w w:val="85"/>
              </w:rPr>
              <w:t>Series B</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5"/>
          </w:tcPr>
          <w:p>
            <w:pPr>
              <w:jc w:val="center"/>
              <w:ind w:right="140"/>
              <w:spacing w:after="0" w:line="133" w:lineRule="exact"/>
              <w:rPr>
                <w:sz w:val="20"/>
                <w:szCs w:val="20"/>
                <w:color w:val="auto"/>
              </w:rPr>
            </w:pPr>
            <w:r>
              <w:rPr>
                <w:rFonts w:ascii="Arial" w:cs="Arial" w:eastAsia="Arial" w:hAnsi="Arial"/>
                <w:sz w:val="14"/>
                <w:szCs w:val="14"/>
                <w:b w:val="1"/>
                <w:bCs w:val="1"/>
                <w:color w:val="auto"/>
                <w:w w:val="85"/>
              </w:rPr>
              <w:t>Series C</w:t>
            </w:r>
          </w:p>
        </w:tc>
        <w:tc>
          <w:tcPr>
            <w:tcW w:w="1180" w:type="dxa"/>
            <w:vAlign w:val="bottom"/>
            <w:gridSpan w:val="3"/>
          </w:tcPr>
          <w:p>
            <w:pPr>
              <w:jc w:val="center"/>
              <w:ind w:left="223"/>
              <w:spacing w:after="0" w:line="133" w:lineRule="exact"/>
              <w:rPr>
                <w:sz w:val="20"/>
                <w:szCs w:val="20"/>
                <w:color w:val="auto"/>
              </w:rPr>
            </w:pPr>
            <w:r>
              <w:rPr>
                <w:rFonts w:ascii="Arial" w:cs="Arial" w:eastAsia="Arial" w:hAnsi="Arial"/>
                <w:sz w:val="14"/>
                <w:szCs w:val="14"/>
                <w:b w:val="1"/>
                <w:bCs w:val="1"/>
                <w:color w:val="auto"/>
                <w:w w:val="85"/>
              </w:rPr>
              <w:t>Series D</w:t>
            </w:r>
          </w:p>
        </w:tc>
        <w:tc>
          <w:tcPr>
            <w:tcW w:w="4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0"/>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Convertible</w:t>
            </w:r>
          </w:p>
        </w:tc>
        <w:tc>
          <w:tcPr>
            <w:tcW w:w="1180" w:type="dxa"/>
            <w:vAlign w:val="bottom"/>
            <w:gridSpan w:val="3"/>
          </w:tcPr>
          <w:p>
            <w:pPr>
              <w:jc w:val="center"/>
              <w:ind w:left="203"/>
              <w:spacing w:after="0" w:line="141" w:lineRule="exact"/>
              <w:rPr>
                <w:sz w:val="20"/>
                <w:szCs w:val="20"/>
                <w:color w:val="auto"/>
              </w:rPr>
            </w:pPr>
            <w:r>
              <w:rPr>
                <w:rFonts w:ascii="Arial" w:cs="Arial" w:eastAsia="Arial" w:hAnsi="Arial"/>
                <w:sz w:val="14"/>
                <w:szCs w:val="14"/>
                <w:b w:val="1"/>
                <w:bCs w:val="1"/>
                <w:color w:val="auto"/>
                <w:w w:val="90"/>
              </w:rPr>
              <w:t>Convertible</w:t>
            </w: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0"/>
        </w:trPr>
        <w:tc>
          <w:tcPr>
            <w:tcW w:w="12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89"/>
              </w:rPr>
              <w:t>For the Three</w:t>
            </w: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9"/>
              </w:rPr>
              <w:t>Preferred</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gridSpan w:val="3"/>
          </w:tcPr>
          <w:p>
            <w:pPr>
              <w:jc w:val="center"/>
              <w:ind w:left="223"/>
              <w:spacing w:after="0" w:line="141" w:lineRule="exact"/>
              <w:rPr>
                <w:sz w:val="20"/>
                <w:szCs w:val="20"/>
                <w:color w:val="auto"/>
              </w:rPr>
            </w:pPr>
            <w:r>
              <w:rPr>
                <w:rFonts w:ascii="Arial" w:cs="Arial" w:eastAsia="Arial" w:hAnsi="Arial"/>
                <w:sz w:val="14"/>
                <w:szCs w:val="14"/>
                <w:b w:val="1"/>
                <w:bCs w:val="1"/>
                <w:color w:val="auto"/>
                <w:w w:val="89"/>
              </w:rPr>
              <w:t>Preferred</w:t>
            </w:r>
          </w:p>
        </w:tc>
        <w:tc>
          <w:tcPr>
            <w:tcW w:w="4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tcPr>
          <w:p>
            <w:pPr>
              <w:jc w:val="center"/>
              <w:ind w:right="119"/>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Months Ended</w:t>
            </w:r>
          </w:p>
        </w:tc>
        <w:tc>
          <w:tcPr>
            <w:tcW w:w="110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w w:val="83"/>
              </w:rPr>
              <w:t>Stock</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w w:val="83"/>
              </w:rPr>
              <w:t>Stock</w:t>
            </w: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Common Stock</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Accumulated</w:t>
            </w: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w w:val="97"/>
              </w:rPr>
              <w:t>Comprehensive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2"/>
              </w:rPr>
              <w:t>Stockholders’</w:t>
            </w:r>
          </w:p>
        </w:tc>
      </w:tr>
      <w:tr>
        <w:trPr>
          <w:trHeight w:val="146"/>
        </w:trPr>
        <w:tc>
          <w:tcPr>
            <w:tcW w:w="12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87"/>
              </w:rPr>
              <w:t>September 30, 2020</w:t>
            </w:r>
          </w:p>
        </w:tc>
        <w:tc>
          <w:tcPr>
            <w:tcW w:w="60" w:type="dxa"/>
            <w:vAlign w:val="bottom"/>
          </w:tcPr>
          <w:p>
            <w:pPr>
              <w:spacing w:after="0"/>
              <w:rPr>
                <w:sz w:val="12"/>
                <w:szCs w:val="12"/>
                <w:color w:val="auto"/>
              </w:rPr>
            </w:pPr>
          </w:p>
        </w:tc>
        <w:tc>
          <w:tcPr>
            <w:tcW w:w="700" w:type="dxa"/>
            <w:vAlign w:val="bottom"/>
            <w:tcBorders>
              <w:bottom w:val="single" w:sz="8" w:color="auto"/>
            </w:tcBorders>
          </w:tcPr>
          <w:p>
            <w:pPr>
              <w:jc w:val="right"/>
              <w:ind w:right="103"/>
              <w:spacing w:after="0" w:line="146"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35"/>
              <w:spacing w:after="0" w:line="146"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ind w:right="183"/>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6" w:lineRule="exact"/>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ind w:right="183"/>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740" w:type="dxa"/>
            <w:vAlign w:val="bottom"/>
            <w:tcBorders>
              <w:bottom w:val="single" w:sz="8" w:color="auto"/>
              <w:right w:val="single" w:sz="8" w:color="auto"/>
            </w:tcBorders>
            <w:gridSpan w:val="2"/>
          </w:tcPr>
          <w:p>
            <w:pPr>
              <w:jc w:val="right"/>
              <w:ind w:right="135"/>
              <w:spacing w:after="0" w:line="146"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900" w:type="dxa"/>
            <w:vAlign w:val="bottom"/>
            <w:tcBorders>
              <w:bottom w:val="single" w:sz="8" w:color="auto"/>
            </w:tcBorders>
          </w:tcPr>
          <w:p>
            <w:pPr>
              <w:jc w:val="right"/>
              <w:ind w:right="219"/>
              <w:spacing w:after="0" w:line="146"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6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6"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59"/>
              <w:spacing w:after="0" w:line="146" w:lineRule="exact"/>
              <w:rPr>
                <w:sz w:val="20"/>
                <w:szCs w:val="20"/>
                <w:color w:val="auto"/>
              </w:rPr>
            </w:pPr>
            <w:r>
              <w:rPr>
                <w:rFonts w:ascii="Arial" w:cs="Arial" w:eastAsia="Arial" w:hAnsi="Arial"/>
                <w:sz w:val="14"/>
                <w:szCs w:val="14"/>
                <w:b w:val="1"/>
                <w:bCs w:val="1"/>
                <w:color w:val="auto"/>
                <w:w w:val="79"/>
              </w:rPr>
              <w:t>Loss</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9"/>
              <w:spacing w:after="0" w:line="146" w:lineRule="exact"/>
              <w:rPr>
                <w:sz w:val="20"/>
                <w:szCs w:val="20"/>
                <w:color w:val="auto"/>
              </w:rPr>
            </w:pPr>
            <w:r>
              <w:rPr>
                <w:rFonts w:ascii="Arial" w:cs="Arial" w:eastAsia="Arial" w:hAnsi="Arial"/>
                <w:sz w:val="14"/>
                <w:szCs w:val="14"/>
                <w:b w:val="1"/>
                <w:bCs w:val="1"/>
                <w:color w:val="auto"/>
                <w:w w:val="93"/>
              </w:rPr>
              <w:t>Equity</w:t>
            </w:r>
          </w:p>
        </w:tc>
      </w:tr>
      <w:tr>
        <w:trPr>
          <w:trHeight w:val="197"/>
        </w:trPr>
        <w:tc>
          <w:tcPr>
            <w:tcW w:w="1260" w:type="dxa"/>
            <w:vAlign w:val="bottom"/>
            <w:gridSpan w:val="2"/>
          </w:tcPr>
          <w:p>
            <w:pPr>
              <w:spacing w:after="0"/>
              <w:rPr>
                <w:sz w:val="20"/>
                <w:szCs w:val="20"/>
                <w:color w:val="auto"/>
              </w:rPr>
            </w:pPr>
            <w:r>
              <w:rPr>
                <w:rFonts w:ascii="Arial" w:cs="Arial" w:eastAsia="Arial" w:hAnsi="Arial"/>
                <w:sz w:val="17"/>
                <w:szCs w:val="17"/>
                <w:color w:val="auto"/>
              </w:rPr>
              <w:t>Balance at June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30, 2020</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684,068</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w w:val="81"/>
              </w:rPr>
              <w:t>$ 13,414</w:t>
            </w:r>
          </w:p>
        </w:tc>
        <w:tc>
          <w:tcPr>
            <w:tcW w:w="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7"/>
                <w:szCs w:val="17"/>
                <w:color w:val="auto"/>
                <w:w w:val="97"/>
              </w:rPr>
              <w:t>4,125,056</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106,205</w:t>
            </w:r>
          </w:p>
        </w:tc>
        <w:tc>
          <w:tcPr>
            <w:tcW w:w="6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259,966</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1,227</w:t>
            </w: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(81,132)</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(2,646)</w:t>
            </w:r>
          </w:p>
        </w:tc>
        <w:tc>
          <w:tcPr>
            <w:tcW w:w="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(82,551)</w:t>
            </w: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Issuance of</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Series D</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preferred</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 net of</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issuance</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costs of</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7"/>
        </w:trPr>
        <w:tc>
          <w:tcPr>
            <w:tcW w:w="1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$2,797</w:t>
            </w:r>
          </w:p>
        </w:tc>
        <w:tc>
          <w:tcPr>
            <w:tcW w:w="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w w:val="95"/>
              </w:rPr>
              <w:t>2,368,118</w:t>
            </w:r>
          </w:p>
        </w:tc>
        <w:tc>
          <w:tcPr>
            <w:tcW w:w="800" w:type="dxa"/>
            <w:vAlign w:val="bottom"/>
            <w:tcBorders>
              <w:right w:val="single" w:sz="8" w:color="auto"/>
            </w:tcBorders>
            <w:gridSpan w:val="3"/>
            <w:shd w:val="clear" w:color="auto" w:fill="CFF0FC"/>
          </w:tcPr>
          <w:p>
            <w:pPr>
              <w:jc w:val="right"/>
              <w:ind w:right="75"/>
              <w:spacing w:after="0"/>
              <w:rPr>
                <w:sz w:val="20"/>
                <w:szCs w:val="20"/>
                <w:color w:val="auto"/>
              </w:rPr>
            </w:pPr>
            <w:r>
              <w:rPr>
                <w:rFonts w:ascii="Arial" w:cs="Arial" w:eastAsia="Arial" w:hAnsi="Arial"/>
                <w:sz w:val="17"/>
                <w:szCs w:val="17"/>
                <w:color w:val="auto"/>
              </w:rPr>
              <w:t>61,402</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Stock-based</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w w:val="94"/>
              </w:rPr>
              <w:t>compensation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Currency</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translation</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gain</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2,331</w:t>
            </w: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(11,651)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(11,651)</w:t>
            </w:r>
          </w:p>
        </w:tc>
      </w:tr>
      <w:tr>
        <w:trPr>
          <w:trHeight w:val="185"/>
        </w:trPr>
        <w:tc>
          <w:tcPr>
            <w:tcW w:w="1260" w:type="dxa"/>
            <w:vAlign w:val="bottom"/>
            <w:tcBorders>
              <w:top w:val="single" w:sz="8" w:color="CFF0FC"/>
            </w:tcBorders>
            <w:gridSpan w:val="2"/>
            <w:shd w:val="clear" w:color="auto" w:fill="CFF0FC"/>
          </w:tcPr>
          <w:p>
            <w:pPr>
              <w:spacing w:after="0" w:line="185" w:lineRule="exact"/>
              <w:rPr>
                <w:sz w:val="20"/>
                <w:szCs w:val="20"/>
                <w:color w:val="auto"/>
              </w:rPr>
            </w:pPr>
            <w:r>
              <w:rPr>
                <w:rFonts w:ascii="Arial" w:cs="Arial" w:eastAsia="Arial" w:hAnsi="Arial"/>
                <w:sz w:val="17"/>
                <w:szCs w:val="17"/>
                <w:color w:val="auto"/>
              </w:rPr>
              <w:t>Balance at</w:t>
            </w:r>
          </w:p>
        </w:tc>
        <w:tc>
          <w:tcPr>
            <w:tcW w:w="7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right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r>
      <w:tr>
        <w:trPr>
          <w:trHeight w:val="204"/>
        </w:trPr>
        <w:tc>
          <w:tcPr>
            <w:tcW w:w="1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September 30,</w:t>
            </w: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684,068</w:t>
            </w: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13,414</w:t>
            </w: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w w:val="97"/>
              </w:rPr>
              <w:t>4,125,056</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106,205</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
              <w:spacing w:after="0"/>
              <w:rPr>
                <w:sz w:val="20"/>
                <w:szCs w:val="20"/>
                <w:color w:val="auto"/>
              </w:rPr>
            </w:pPr>
            <w:r>
              <w:rPr>
                <w:rFonts w:ascii="Arial" w:cs="Arial" w:eastAsia="Arial" w:hAnsi="Arial"/>
                <w:sz w:val="17"/>
                <w:szCs w:val="17"/>
                <w:color w:val="auto"/>
                <w:w w:val="95"/>
              </w:rPr>
              <w:t>2,368,118</w:t>
            </w:r>
          </w:p>
        </w:tc>
        <w:tc>
          <w:tcPr>
            <w:tcW w:w="800" w:type="dxa"/>
            <w:vAlign w:val="bottom"/>
            <w:tcBorders>
              <w:right w:val="single" w:sz="8" w:color="auto"/>
            </w:tcBorders>
            <w:gridSpan w:val="3"/>
            <w:shd w:val="clear" w:color="auto" w:fill="CFF0FC"/>
          </w:tcPr>
          <w:p>
            <w:pPr>
              <w:jc w:val="right"/>
              <w:ind w:right="75"/>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 xml:space="preserve"> 61,402</w:t>
            </w: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259,966</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(92,783)</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(91,737)</w:t>
            </w: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340" w:right="239" w:bottom="1440" w:gutter="0" w:footer="0" w:header="0"/>
        </w:sectPr>
      </w:pPr>
    </w:p>
    <w:bookmarkStart w:id="7" w:name="page8"/>
    <w:bookmarkEnd w:id="7"/>
    <w:p>
      <w:pPr>
        <w:jc w:val="center"/>
        <w:ind w:right="100"/>
        <w:spacing w:after="0"/>
        <w:rPr>
          <w:sz w:val="20"/>
          <w:szCs w:val="20"/>
          <w:color w:val="auto"/>
        </w:rPr>
      </w:pPr>
      <w:r>
        <w:rPr>
          <w:rFonts w:ascii="Arial" w:cs="Arial" w:eastAsia="Arial" w:hAnsi="Arial"/>
          <w:sz w:val="17"/>
          <w:szCs w:val="17"/>
          <w:b w:val="1"/>
          <w:bCs w:val="1"/>
          <w:color w:val="auto"/>
        </w:rPr>
        <w:t>GALECTO, INC.</w:t>
      </w:r>
    </w:p>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Convertible Preferred Stock and Changes in Stockholders’ Equity</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amounts)</w:t>
      </w:r>
    </w:p>
    <w:p>
      <w:pPr>
        <w:spacing w:after="0" w:line="115"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3"/>
          </w:tcPr>
          <w:p>
            <w:pPr>
              <w:jc w:val="center"/>
              <w:ind w:left="183"/>
              <w:spacing w:after="0"/>
              <w:rPr>
                <w:sz w:val="20"/>
                <w:szCs w:val="20"/>
                <w:color w:val="auto"/>
              </w:rPr>
            </w:pPr>
            <w:r>
              <w:rPr>
                <w:rFonts w:ascii="Arial" w:cs="Arial" w:eastAsia="Arial" w:hAnsi="Arial"/>
                <w:sz w:val="14"/>
                <w:szCs w:val="14"/>
                <w:b w:val="1"/>
                <w:bCs w:val="1"/>
                <w:color w:val="auto"/>
                <w:w w:val="85"/>
              </w:rPr>
              <w:t>Series B</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Series C</w:t>
            </w:r>
          </w:p>
        </w:tc>
        <w:tc>
          <w:tcPr>
            <w:tcW w:w="1180" w:type="dxa"/>
            <w:vAlign w:val="bottom"/>
            <w:gridSpan w:val="3"/>
          </w:tcPr>
          <w:p>
            <w:pPr>
              <w:jc w:val="center"/>
              <w:ind w:left="223"/>
              <w:spacing w:after="0"/>
              <w:rPr>
                <w:sz w:val="20"/>
                <w:szCs w:val="20"/>
                <w:color w:val="auto"/>
              </w:rPr>
            </w:pPr>
            <w:r>
              <w:rPr>
                <w:rFonts w:ascii="Arial" w:cs="Arial" w:eastAsia="Arial" w:hAnsi="Arial"/>
                <w:sz w:val="14"/>
                <w:szCs w:val="14"/>
                <w:b w:val="1"/>
                <w:bCs w:val="1"/>
                <w:color w:val="auto"/>
                <w:w w:val="85"/>
              </w:rPr>
              <w:t>Series D</w:t>
            </w:r>
          </w:p>
        </w:tc>
        <w:tc>
          <w:tcPr>
            <w:tcW w:w="3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8"/>
              </w:rPr>
              <w:t>Convertible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Convertible</w:t>
            </w:r>
          </w:p>
        </w:tc>
        <w:tc>
          <w:tcPr>
            <w:tcW w:w="1180" w:type="dxa"/>
            <w:vAlign w:val="bottom"/>
            <w:gridSpan w:val="3"/>
          </w:tcPr>
          <w:p>
            <w:pPr>
              <w:jc w:val="center"/>
              <w:ind w:left="203"/>
              <w:spacing w:after="0" w:line="141" w:lineRule="exact"/>
              <w:rPr>
                <w:sz w:val="20"/>
                <w:szCs w:val="20"/>
                <w:color w:val="auto"/>
              </w:rPr>
            </w:pPr>
            <w:r>
              <w:rPr>
                <w:rFonts w:ascii="Arial" w:cs="Arial" w:eastAsia="Arial" w:hAnsi="Arial"/>
                <w:sz w:val="14"/>
                <w:szCs w:val="14"/>
                <w:b w:val="1"/>
                <w:bCs w:val="1"/>
                <w:color w:val="auto"/>
                <w:w w:val="90"/>
              </w:rPr>
              <w:t>Convertible</w:t>
            </w:r>
          </w:p>
        </w:tc>
        <w:tc>
          <w:tcPr>
            <w:tcW w:w="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1260" w:type="dxa"/>
            <w:vAlign w:val="bottom"/>
            <w:gridSpan w:val="2"/>
          </w:tcPr>
          <w:p>
            <w:pPr>
              <w:ind w:left="220"/>
              <w:spacing w:after="0" w:line="141" w:lineRule="exact"/>
              <w:rPr>
                <w:sz w:val="20"/>
                <w:szCs w:val="20"/>
                <w:color w:val="auto"/>
              </w:rPr>
            </w:pPr>
            <w:r>
              <w:rPr>
                <w:rFonts w:ascii="Arial" w:cs="Arial" w:eastAsia="Arial" w:hAnsi="Arial"/>
                <w:sz w:val="14"/>
                <w:szCs w:val="14"/>
                <w:b w:val="1"/>
                <w:bCs w:val="1"/>
                <w:color w:val="auto"/>
              </w:rPr>
              <w:t>For the Nine</w:t>
            </w: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9"/>
              </w:rPr>
              <w:t>Preferred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gridSpan w:val="3"/>
          </w:tcPr>
          <w:p>
            <w:pPr>
              <w:jc w:val="center"/>
              <w:ind w:left="223"/>
              <w:spacing w:after="0" w:line="141" w:lineRule="exact"/>
              <w:rPr>
                <w:sz w:val="20"/>
                <w:szCs w:val="20"/>
                <w:color w:val="auto"/>
              </w:rPr>
            </w:pPr>
            <w:r>
              <w:rPr>
                <w:rFonts w:ascii="Arial" w:cs="Arial" w:eastAsia="Arial" w:hAnsi="Arial"/>
                <w:sz w:val="14"/>
                <w:szCs w:val="14"/>
                <w:b w:val="1"/>
                <w:bCs w:val="1"/>
                <w:color w:val="auto"/>
                <w:w w:val="89"/>
              </w:rPr>
              <w:t>Preferred</w:t>
            </w:r>
          </w:p>
        </w:tc>
        <w:tc>
          <w:tcPr>
            <w:tcW w:w="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Months Ended</w:t>
            </w:r>
          </w:p>
        </w:tc>
        <w:tc>
          <w:tcPr>
            <w:tcW w:w="110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w w:val="83"/>
              </w:rPr>
              <w:t>Stock</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1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r>
      <w:tr>
        <w:trPr>
          <w:trHeight w:val="146"/>
        </w:trPr>
        <w:tc>
          <w:tcPr>
            <w:tcW w:w="12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87"/>
              </w:rPr>
              <w:t>September 30, 2021</w:t>
            </w:r>
          </w:p>
        </w:tc>
        <w:tc>
          <w:tcPr>
            <w:tcW w:w="6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ind w:right="43"/>
              <w:spacing w:after="0" w:line="146"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2"/>
                <w:szCs w:val="12"/>
                <w:color w:val="auto"/>
              </w:rPr>
            </w:pPr>
          </w:p>
        </w:tc>
        <w:tc>
          <w:tcPr>
            <w:tcW w:w="58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3"/>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7"/>
              <w:spacing w:after="0" w:line="146"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ind w:right="123"/>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CFF0FC"/>
              <w:right w:val="single" w:sz="8" w:color="auto"/>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159"/>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0"/>
              <w:spacing w:after="0" w:line="146"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8"/>
              <w:spacing w:after="0" w:line="146"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9"/>
              <w:spacing w:after="0" w:line="146"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9"/>
              <w:spacing w:after="0" w:line="146"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Borders>
              <w:bottom w:val="single" w:sz="8" w:color="CFF0FC"/>
            </w:tcBorders>
          </w:tcPr>
          <w:p>
            <w:pPr>
              <w:spacing w:after="0"/>
              <w:rPr>
                <w:sz w:val="12"/>
                <w:szCs w:val="12"/>
                <w:color w:val="auto"/>
              </w:rPr>
            </w:pPr>
          </w:p>
        </w:tc>
      </w:tr>
      <w:tr>
        <w:trPr>
          <w:trHeight w:val="197"/>
        </w:trPr>
        <w:tc>
          <w:tcPr>
            <w:tcW w:w="1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Balance at</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December 31,</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12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FF0FC"/>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25,261,832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w w:val="84"/>
              </w:rPr>
              <w:t>$ 269,175</w:t>
            </w:r>
          </w:p>
        </w:tc>
        <w:tc>
          <w:tcPr>
            <w:tcW w:w="120" w:type="dxa"/>
            <w:vAlign w:val="bottom"/>
            <w:shd w:val="clear" w:color="auto" w:fill="CFF0FC"/>
          </w:tcPr>
          <w:p>
            <w:pPr>
              <w:spacing w:after="0"/>
              <w:rPr>
                <w:sz w:val="18"/>
                <w:szCs w:val="18"/>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w w:val="94"/>
              </w:rPr>
              <w:t>$ (104,360)</w:t>
            </w:r>
          </w:p>
        </w:tc>
        <w:tc>
          <w:tcPr>
            <w:tcW w:w="200" w:type="dxa"/>
            <w:vAlign w:val="bottom"/>
            <w:gridSpan w:val="2"/>
            <w:shd w:val="clear" w:color="auto" w:fill="CFF0FC"/>
          </w:tcPr>
          <w:p>
            <w:pPr>
              <w:jc w:val="right"/>
              <w:ind w:right="12"/>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165,489</w:t>
            </w:r>
          </w:p>
        </w:tc>
        <w:tc>
          <w:tcPr>
            <w:tcW w:w="60" w:type="dxa"/>
            <w:vAlign w:val="bottom"/>
            <w:shd w:val="clear" w:color="auto" w:fill="CFF0FC"/>
          </w:tcPr>
          <w:p>
            <w:pPr>
              <w:spacing w:after="0"/>
              <w:rPr>
                <w:sz w:val="18"/>
                <w:szCs w:val="18"/>
                <w:color w:val="auto"/>
              </w:rPr>
            </w:pP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Stock-based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w w:val="94"/>
              </w:rPr>
              <w:t>compensation</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3,237</w:t>
            </w:r>
          </w:p>
        </w:tc>
        <w:tc>
          <w:tcPr>
            <w:tcW w:w="60" w:type="dxa"/>
            <w:vAlign w:val="bottom"/>
          </w:tcPr>
          <w:p>
            <w:pPr>
              <w:spacing w:after="0"/>
              <w:rPr>
                <w:sz w:val="18"/>
                <w:szCs w:val="18"/>
                <w:color w:val="auto"/>
              </w:rPr>
            </w:pP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Currency</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translation</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loss</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(740)</w:t>
            </w: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Net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unrealized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loss on</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marketable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securities</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w:t>
            </w: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Net loss</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(38,343)</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(38,343)</w:t>
            </w:r>
          </w:p>
        </w:tc>
      </w:tr>
      <w:tr>
        <w:trPr>
          <w:trHeight w:val="197"/>
        </w:trPr>
        <w:tc>
          <w:tcPr>
            <w:tcW w:w="1260" w:type="dxa"/>
            <w:vAlign w:val="bottom"/>
            <w:gridSpan w:val="2"/>
          </w:tcPr>
          <w:p>
            <w:pPr>
              <w:spacing w:after="0"/>
              <w:rPr>
                <w:sz w:val="20"/>
                <w:szCs w:val="20"/>
                <w:color w:val="auto"/>
              </w:rPr>
            </w:pPr>
            <w:r>
              <w:rPr>
                <w:rFonts w:ascii="Arial" w:cs="Arial" w:eastAsia="Arial" w:hAnsi="Arial"/>
                <w:sz w:val="17"/>
                <w:szCs w:val="17"/>
                <w:color w:val="auto"/>
              </w:rPr>
              <w:t>Balance at</w:t>
            </w: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spacing w:after="0"/>
              <w:rPr>
                <w:sz w:val="20"/>
                <w:szCs w:val="20"/>
                <w:color w:val="auto"/>
              </w:rPr>
            </w:pPr>
            <w:r>
              <w:rPr>
                <w:rFonts w:ascii="Arial" w:cs="Arial" w:eastAsia="Arial" w:hAnsi="Arial"/>
                <w:sz w:val="17"/>
                <w:szCs w:val="17"/>
                <w:color w:val="auto"/>
              </w:rPr>
              <w:t>September 30,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25,261,832</w:t>
            </w:r>
          </w:p>
        </w:tc>
        <w:tc>
          <w:tcPr>
            <w:tcW w:w="1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w w:val="84"/>
              </w:rPr>
              <w:t>$ 272,412</w:t>
            </w:r>
          </w:p>
        </w:tc>
        <w:tc>
          <w:tcPr>
            <w:tcW w:w="120" w:type="dxa"/>
            <w:vAlign w:val="bottom"/>
          </w:tcPr>
          <w:p>
            <w:pPr>
              <w:spacing w:after="0"/>
              <w:rPr>
                <w:sz w:val="22"/>
                <w:szCs w:val="22"/>
                <w:color w:val="auto"/>
              </w:rPr>
            </w:pPr>
          </w:p>
        </w:tc>
        <w:tc>
          <w:tcPr>
            <w:tcW w:w="1080" w:type="dxa"/>
            <w:vAlign w:val="bottom"/>
            <w:gridSpan w:val="5"/>
          </w:tcPr>
          <w:p>
            <w:pPr>
              <w:jc w:val="right"/>
              <w:ind w:right="12"/>
              <w:spacing w:after="0"/>
              <w:rPr>
                <w:sz w:val="20"/>
                <w:szCs w:val="20"/>
                <w:color w:val="auto"/>
              </w:rPr>
            </w:pPr>
            <w:r>
              <w:rPr>
                <w:rFonts w:ascii="Arial" w:cs="Arial" w:eastAsia="Arial" w:hAnsi="Arial"/>
                <w:sz w:val="17"/>
                <w:szCs w:val="17"/>
                <w:color w:val="auto"/>
                <w:w w:val="96"/>
              </w:rPr>
              <w:t>$ (142,703) $</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129,620</w:t>
            </w:r>
          </w:p>
        </w:tc>
        <w:tc>
          <w:tcPr>
            <w:tcW w:w="60" w:type="dxa"/>
            <w:vAlign w:val="bottom"/>
          </w:tcPr>
          <w:p>
            <w:pPr>
              <w:spacing w:after="0"/>
              <w:rPr>
                <w:sz w:val="22"/>
                <w:szCs w:val="22"/>
                <w:color w:val="auto"/>
              </w:rPr>
            </w:pPr>
          </w:p>
        </w:tc>
      </w:tr>
      <w:tr>
        <w:trPr>
          <w:trHeight w:val="196"/>
        </w:trPr>
        <w:tc>
          <w:tcPr>
            <w:tcW w:w="1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133"/>
        </w:trPr>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tcPr>
          <w:p>
            <w:pPr>
              <w:jc w:val="center"/>
              <w:ind w:left="183"/>
              <w:spacing w:after="0" w:line="133" w:lineRule="exact"/>
              <w:rPr>
                <w:sz w:val="20"/>
                <w:szCs w:val="20"/>
                <w:color w:val="auto"/>
              </w:rPr>
            </w:pPr>
            <w:r>
              <w:rPr>
                <w:rFonts w:ascii="Arial" w:cs="Arial" w:eastAsia="Arial" w:hAnsi="Arial"/>
                <w:sz w:val="14"/>
                <w:szCs w:val="14"/>
                <w:b w:val="1"/>
                <w:bCs w:val="1"/>
                <w:color w:val="auto"/>
                <w:w w:val="85"/>
              </w:rPr>
              <w:t>Series B</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5"/>
          </w:tcPr>
          <w:p>
            <w:pPr>
              <w:jc w:val="center"/>
              <w:ind w:right="140"/>
              <w:spacing w:after="0" w:line="133" w:lineRule="exact"/>
              <w:rPr>
                <w:sz w:val="20"/>
                <w:szCs w:val="20"/>
                <w:color w:val="auto"/>
              </w:rPr>
            </w:pPr>
            <w:r>
              <w:rPr>
                <w:rFonts w:ascii="Arial" w:cs="Arial" w:eastAsia="Arial" w:hAnsi="Arial"/>
                <w:sz w:val="14"/>
                <w:szCs w:val="14"/>
                <w:b w:val="1"/>
                <w:bCs w:val="1"/>
                <w:color w:val="auto"/>
                <w:w w:val="85"/>
              </w:rPr>
              <w:t>Series C</w:t>
            </w:r>
          </w:p>
        </w:tc>
        <w:tc>
          <w:tcPr>
            <w:tcW w:w="1180" w:type="dxa"/>
            <w:vAlign w:val="bottom"/>
            <w:gridSpan w:val="3"/>
          </w:tcPr>
          <w:p>
            <w:pPr>
              <w:jc w:val="center"/>
              <w:ind w:left="223"/>
              <w:spacing w:after="0" w:line="133" w:lineRule="exact"/>
              <w:rPr>
                <w:sz w:val="20"/>
                <w:szCs w:val="20"/>
                <w:color w:val="auto"/>
              </w:rPr>
            </w:pPr>
            <w:r>
              <w:rPr>
                <w:rFonts w:ascii="Arial" w:cs="Arial" w:eastAsia="Arial" w:hAnsi="Arial"/>
                <w:sz w:val="14"/>
                <w:szCs w:val="14"/>
                <w:b w:val="1"/>
                <w:bCs w:val="1"/>
                <w:color w:val="auto"/>
                <w:w w:val="85"/>
              </w:rPr>
              <w:t>Series D</w:t>
            </w:r>
          </w:p>
        </w:tc>
        <w:tc>
          <w:tcPr>
            <w:tcW w:w="3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8"/>
              </w:rPr>
              <w:t>Convertible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Convertible</w:t>
            </w:r>
          </w:p>
        </w:tc>
        <w:tc>
          <w:tcPr>
            <w:tcW w:w="1180" w:type="dxa"/>
            <w:vAlign w:val="bottom"/>
            <w:gridSpan w:val="3"/>
          </w:tcPr>
          <w:p>
            <w:pPr>
              <w:jc w:val="center"/>
              <w:ind w:left="203"/>
              <w:spacing w:after="0" w:line="141" w:lineRule="exact"/>
              <w:rPr>
                <w:sz w:val="20"/>
                <w:szCs w:val="20"/>
                <w:color w:val="auto"/>
              </w:rPr>
            </w:pPr>
            <w:r>
              <w:rPr>
                <w:rFonts w:ascii="Arial" w:cs="Arial" w:eastAsia="Arial" w:hAnsi="Arial"/>
                <w:sz w:val="14"/>
                <w:szCs w:val="14"/>
                <w:b w:val="1"/>
                <w:bCs w:val="1"/>
                <w:color w:val="auto"/>
                <w:w w:val="90"/>
              </w:rPr>
              <w:t>Convertible</w:t>
            </w:r>
          </w:p>
        </w:tc>
        <w:tc>
          <w:tcPr>
            <w:tcW w:w="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1260" w:type="dxa"/>
            <w:vAlign w:val="bottom"/>
            <w:gridSpan w:val="2"/>
          </w:tcPr>
          <w:p>
            <w:pPr>
              <w:ind w:left="220"/>
              <w:spacing w:after="0" w:line="141" w:lineRule="exact"/>
              <w:rPr>
                <w:sz w:val="20"/>
                <w:szCs w:val="20"/>
                <w:color w:val="auto"/>
              </w:rPr>
            </w:pPr>
            <w:r>
              <w:rPr>
                <w:rFonts w:ascii="Arial" w:cs="Arial" w:eastAsia="Arial" w:hAnsi="Arial"/>
                <w:sz w:val="14"/>
                <w:szCs w:val="14"/>
                <w:b w:val="1"/>
                <w:bCs w:val="1"/>
                <w:color w:val="auto"/>
              </w:rPr>
              <w:t>For the Nine</w:t>
            </w:r>
          </w:p>
        </w:tc>
        <w:tc>
          <w:tcPr>
            <w:tcW w:w="1100" w:type="dxa"/>
            <w:vAlign w:val="bottom"/>
            <w:gridSpan w:val="3"/>
          </w:tcPr>
          <w:p>
            <w:pPr>
              <w:jc w:val="center"/>
              <w:ind w:left="183"/>
              <w:spacing w:after="0" w:line="141" w:lineRule="exact"/>
              <w:rPr>
                <w:sz w:val="20"/>
                <w:szCs w:val="20"/>
                <w:color w:val="auto"/>
              </w:rPr>
            </w:pPr>
            <w:r>
              <w:rPr>
                <w:rFonts w:ascii="Arial" w:cs="Arial" w:eastAsia="Arial" w:hAnsi="Arial"/>
                <w:sz w:val="14"/>
                <w:szCs w:val="14"/>
                <w:b w:val="1"/>
                <w:bCs w:val="1"/>
                <w:color w:val="auto"/>
                <w:w w:val="89"/>
              </w:rPr>
              <w:t>Preferred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5"/>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Preferred</w:t>
            </w:r>
          </w:p>
        </w:tc>
        <w:tc>
          <w:tcPr>
            <w:tcW w:w="1180" w:type="dxa"/>
            <w:vAlign w:val="bottom"/>
            <w:gridSpan w:val="3"/>
          </w:tcPr>
          <w:p>
            <w:pPr>
              <w:jc w:val="center"/>
              <w:ind w:left="223"/>
              <w:spacing w:after="0" w:line="141" w:lineRule="exact"/>
              <w:rPr>
                <w:sz w:val="20"/>
                <w:szCs w:val="20"/>
                <w:color w:val="auto"/>
              </w:rPr>
            </w:pPr>
            <w:r>
              <w:rPr>
                <w:rFonts w:ascii="Arial" w:cs="Arial" w:eastAsia="Arial" w:hAnsi="Arial"/>
                <w:sz w:val="14"/>
                <w:szCs w:val="14"/>
                <w:b w:val="1"/>
                <w:bCs w:val="1"/>
                <w:color w:val="auto"/>
                <w:w w:val="89"/>
              </w:rPr>
              <w:t>Preferred</w:t>
            </w:r>
          </w:p>
        </w:tc>
        <w:tc>
          <w:tcPr>
            <w:tcW w:w="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74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Months Ended</w:t>
            </w:r>
          </w:p>
        </w:tc>
        <w:tc>
          <w:tcPr>
            <w:tcW w:w="1100" w:type="dxa"/>
            <w:vAlign w:val="bottom"/>
            <w:tcBorders>
              <w:bottom w:val="single" w:sz="8" w:color="auto"/>
            </w:tcBorders>
            <w:gridSpan w:val="3"/>
          </w:tcPr>
          <w:p>
            <w:pPr>
              <w:jc w:val="center"/>
              <w:ind w:left="183"/>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4"/>
                <w:szCs w:val="14"/>
                <w:b w:val="1"/>
                <w:bCs w:val="1"/>
                <w:color w:val="auto"/>
                <w:w w:val="83"/>
              </w:rPr>
              <w:t>Stock</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bottom w:val="single" w:sz="8" w:color="auto"/>
            </w:tcBorders>
            <w:gridSpan w:val="3"/>
          </w:tcPr>
          <w:p>
            <w:pPr>
              <w:jc w:val="center"/>
              <w:ind w:left="203"/>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Common Stock</w:t>
            </w: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Paid-In</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10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Stockholders’</w:t>
            </w:r>
          </w:p>
        </w:tc>
      </w:tr>
      <w:tr>
        <w:trPr>
          <w:trHeight w:val="146"/>
        </w:trPr>
        <w:tc>
          <w:tcPr>
            <w:tcW w:w="12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87"/>
              </w:rPr>
              <w:t>September 30, 2020</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right"/>
              <w:ind w:right="43"/>
              <w:spacing w:after="0" w:line="146"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8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ind w:right="123"/>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7"/>
              <w:spacing w:after="0" w:line="146"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ind w:right="123"/>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ind w:right="159"/>
              <w:spacing w:after="0" w:line="146"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50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40"/>
              <w:spacing w:after="0" w:line="146"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8"/>
              <w:spacing w:after="0" w:line="146"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79"/>
              <w:spacing w:after="0" w:line="146" w:lineRule="exact"/>
              <w:rPr>
                <w:sz w:val="20"/>
                <w:szCs w:val="20"/>
                <w:color w:val="auto"/>
              </w:rPr>
            </w:pPr>
            <w:r>
              <w:rPr>
                <w:rFonts w:ascii="Arial" w:cs="Arial" w:eastAsia="Arial" w:hAnsi="Arial"/>
                <w:sz w:val="14"/>
                <w:szCs w:val="14"/>
                <w:b w:val="1"/>
                <w:bCs w:val="1"/>
                <w:color w:val="auto"/>
                <w:w w:val="79"/>
              </w:rPr>
              <w:t>Loss</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9"/>
              <w:spacing w:after="0" w:line="146"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2"/>
                <w:szCs w:val="12"/>
                <w:color w:val="auto"/>
              </w:rPr>
            </w:pPr>
          </w:p>
        </w:tc>
      </w:tr>
      <w:tr>
        <w:trPr>
          <w:trHeight w:val="197"/>
        </w:trPr>
        <w:tc>
          <w:tcPr>
            <w:tcW w:w="1260" w:type="dxa"/>
            <w:vAlign w:val="bottom"/>
            <w:gridSpan w:val="2"/>
          </w:tcPr>
          <w:p>
            <w:pPr>
              <w:spacing w:after="0"/>
              <w:rPr>
                <w:sz w:val="20"/>
                <w:szCs w:val="20"/>
                <w:color w:val="auto"/>
              </w:rPr>
            </w:pPr>
            <w:r>
              <w:rPr>
                <w:rFonts w:ascii="Arial" w:cs="Arial" w:eastAsia="Arial" w:hAnsi="Arial"/>
                <w:sz w:val="17"/>
                <w:szCs w:val="17"/>
                <w:color w:val="auto"/>
              </w:rPr>
              <w:t>Balance at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spacing w:after="0"/>
              <w:rPr>
                <w:sz w:val="20"/>
                <w:szCs w:val="20"/>
                <w:color w:val="auto"/>
              </w:rPr>
            </w:pPr>
            <w:r>
              <w:rPr>
                <w:rFonts w:ascii="Arial" w:cs="Arial" w:eastAsia="Arial" w:hAnsi="Arial"/>
                <w:sz w:val="17"/>
                <w:szCs w:val="17"/>
                <w:color w:val="auto"/>
              </w:rPr>
              <w:t>December 31,</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7"/>
                <w:szCs w:val="17"/>
                <w:color w:val="auto"/>
              </w:rPr>
              <w:t>2019</w:t>
            </w: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684,068</w:t>
            </w: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w w:val="81"/>
              </w:rPr>
              <w:t>$ 13,414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97"/>
              </w:rPr>
              <w:t>4,125,056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106,205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52"/>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259,966</w:t>
            </w: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826</w:t>
            </w:r>
          </w:p>
        </w:tc>
        <w:tc>
          <w:tcPr>
            <w:tcW w:w="1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(69,523)</w:t>
            </w:r>
          </w:p>
        </w:tc>
        <w:tc>
          <w:tcPr>
            <w:tcW w:w="20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(2,451)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(71,148)</w:t>
            </w: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Issuance of</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Series D</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preferred</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 net of</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issuance</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costs of</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12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$2,797</w:t>
            </w:r>
          </w:p>
        </w:tc>
        <w:tc>
          <w:tcPr>
            <w:tcW w:w="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2,368,118</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61,402</w:t>
            </w:r>
          </w:p>
        </w:tc>
        <w:tc>
          <w:tcPr>
            <w:tcW w:w="1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r>
      <w:tr>
        <w:trPr>
          <w:trHeight w:val="205"/>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Stock-based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1260" w:type="dxa"/>
            <w:vAlign w:val="bottom"/>
            <w:gridSpan w:val="2"/>
          </w:tcPr>
          <w:p>
            <w:pPr>
              <w:ind w:left="240"/>
              <w:spacing w:after="0"/>
              <w:rPr>
                <w:sz w:val="20"/>
                <w:szCs w:val="20"/>
                <w:color w:val="auto"/>
              </w:rPr>
            </w:pPr>
            <w:r>
              <w:rPr>
                <w:rFonts w:ascii="Arial" w:cs="Arial" w:eastAsia="Arial" w:hAnsi="Arial"/>
                <w:sz w:val="17"/>
                <w:szCs w:val="17"/>
                <w:color w:val="auto"/>
                <w:w w:val="94"/>
              </w:rPr>
              <w:t>compensation</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expense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535</w:t>
            </w:r>
          </w:p>
        </w:tc>
        <w:tc>
          <w:tcPr>
            <w:tcW w:w="60" w:type="dxa"/>
            <w:vAlign w:val="bottom"/>
          </w:tcPr>
          <w:p>
            <w:pPr>
              <w:spacing w:after="0"/>
              <w:rPr>
                <w:sz w:val="18"/>
                <w:szCs w:val="18"/>
                <w:color w:val="auto"/>
              </w:rPr>
            </w:pPr>
          </w:p>
        </w:tc>
      </w:tr>
      <w:tr>
        <w:trPr>
          <w:trHeight w:val="205"/>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Currency</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translation</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7"/>
        </w:trPr>
        <w:tc>
          <w:tcPr>
            <w:tcW w:w="126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gain</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2,136</w:t>
            </w:r>
          </w:p>
        </w:tc>
        <w:tc>
          <w:tcPr>
            <w:tcW w:w="60" w:type="dxa"/>
            <w:vAlign w:val="bottom"/>
            <w:shd w:val="clear" w:color="auto" w:fill="CFF0FC"/>
          </w:tcPr>
          <w:p>
            <w:pPr>
              <w:spacing w:after="0"/>
              <w:rPr>
                <w:sz w:val="18"/>
                <w:szCs w:val="18"/>
                <w:color w:val="auto"/>
              </w:rPr>
            </w:pPr>
          </w:p>
        </w:tc>
      </w:tr>
      <w:tr>
        <w:trPr>
          <w:trHeight w:val="216"/>
        </w:trPr>
        <w:tc>
          <w:tcPr>
            <w:tcW w:w="1260" w:type="dxa"/>
            <w:vAlign w:val="bottom"/>
            <w:gridSpan w:val="2"/>
          </w:tcPr>
          <w:p>
            <w:pPr>
              <w:ind w:left="240"/>
              <w:spacing w:after="0"/>
              <w:rPr>
                <w:sz w:val="20"/>
                <w:szCs w:val="20"/>
                <w:color w:val="auto"/>
              </w:rPr>
            </w:pPr>
            <w:r>
              <w:rPr>
                <w:rFonts w:ascii="Arial" w:cs="Arial" w:eastAsia="Arial" w:hAnsi="Arial"/>
                <w:sz w:val="17"/>
                <w:szCs w:val="17"/>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(23,260)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(23,260)</w:t>
            </w:r>
          </w:p>
        </w:tc>
      </w:tr>
      <w:tr>
        <w:trPr>
          <w:trHeight w:val="198"/>
        </w:trPr>
        <w:tc>
          <w:tcPr>
            <w:tcW w:w="1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Balance at</w:t>
            </w: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04"/>
        </w:trPr>
        <w:tc>
          <w:tcPr>
            <w:tcW w:w="12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September 30,</w:t>
            </w: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684,068</w:t>
            </w:r>
          </w:p>
        </w:tc>
        <w:tc>
          <w:tcPr>
            <w:tcW w:w="1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13,414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4,125,056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106,205</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2,368,118</w:t>
            </w: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61,402</w:t>
            </w:r>
          </w:p>
        </w:tc>
        <w:tc>
          <w:tcPr>
            <w:tcW w:w="1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259,966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FF0FC"/>
          </w:tcPr>
          <w:p>
            <w:pPr>
              <w:jc w:val="right"/>
              <w:ind w:right="12"/>
              <w:spacing w:after="0"/>
              <w:rPr>
                <w:sz w:val="20"/>
                <w:szCs w:val="20"/>
                <w:color w:val="auto"/>
              </w:rPr>
            </w:pPr>
            <w:r>
              <w:rPr>
                <w:rFonts w:ascii="Arial" w:cs="Arial" w:eastAsia="Arial" w:hAnsi="Arial"/>
                <w:sz w:val="17"/>
                <w:szCs w:val="17"/>
                <w:color w:val="auto"/>
              </w:rPr>
              <w:t>(92,783) $</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(315)</w:t>
            </w:r>
          </w:p>
        </w:tc>
        <w:tc>
          <w:tcPr>
            <w:tcW w:w="1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(91,737)</w:t>
            </w:r>
          </w:p>
        </w:tc>
      </w:tr>
      <w:tr>
        <w:trPr>
          <w:trHeight w:val="20"/>
        </w:trPr>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right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192" w:lineRule="exact"/>
        <w:rPr>
          <w:sz w:val="20"/>
          <w:szCs w:val="20"/>
          <w:color w:val="auto"/>
        </w:rPr>
      </w:pPr>
    </w:p>
    <w:p>
      <w:pPr>
        <w:jc w:val="center"/>
        <w:ind w:right="100"/>
        <w:spacing w:after="0"/>
        <w:rPr>
          <w:sz w:val="20"/>
          <w:szCs w:val="20"/>
          <w:color w:val="auto"/>
        </w:rPr>
      </w:pPr>
      <w:r>
        <w:rPr>
          <w:rFonts w:ascii="Arial" w:cs="Arial" w:eastAsia="Arial" w:hAnsi="Arial"/>
          <w:sz w:val="17"/>
          <w:szCs w:val="17"/>
          <w:i w:val="1"/>
          <w:iCs w:val="1"/>
          <w:color w:val="auto"/>
        </w:rPr>
        <w:t>See accompanying notes to the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340"/>
          </w:cols>
          <w:pgMar w:left="320" w:top="134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GALECTO,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4"/>
                <w:szCs w:val="14"/>
                <w:color w:val="auto"/>
              </w:rPr>
            </w:pPr>
          </w:p>
        </w:tc>
      </w:tr>
      <w:tr>
        <w:trPr>
          <w:trHeight w:val="161"/>
        </w:trPr>
        <w:tc>
          <w:tcPr>
            <w:tcW w:w="77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3"/>
                <w:szCs w:val="13"/>
                <w:color w:val="auto"/>
              </w:rPr>
            </w:pPr>
          </w:p>
        </w:tc>
      </w:tr>
      <w:tr>
        <w:trPr>
          <w:trHeight w:val="146"/>
        </w:trPr>
        <w:tc>
          <w:tcPr>
            <w:tcW w:w="77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5"/>
              <w:spacing w:after="0" w:line="146" w:lineRule="exact"/>
              <w:rPr>
                <w:sz w:val="20"/>
                <w:szCs w:val="20"/>
                <w:color w:val="auto"/>
              </w:rPr>
            </w:pPr>
            <w:r>
              <w:rPr>
                <w:rFonts w:ascii="Arial" w:cs="Arial" w:eastAsia="Arial" w:hAnsi="Arial"/>
                <w:sz w:val="14"/>
                <w:szCs w:val="14"/>
                <w:b w:val="1"/>
                <w:bCs w:val="1"/>
                <w:color w:val="auto"/>
              </w:rPr>
              <w:t>2020</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Net loss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(38,343)</w:t>
            </w:r>
          </w:p>
        </w:tc>
        <w:tc>
          <w:tcPr>
            <w:tcW w:w="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(23,260)</w:t>
            </w: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Adjustment to reconcile net loss to net cash used in operating activities: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460"/>
              <w:spacing w:after="0"/>
              <w:rPr>
                <w:sz w:val="20"/>
                <w:szCs w:val="20"/>
                <w:color w:val="auto"/>
              </w:rPr>
            </w:pPr>
            <w:r>
              <w:rPr>
                <w:rFonts w:ascii="Arial" w:cs="Arial" w:eastAsia="Arial" w:hAnsi="Arial"/>
                <w:sz w:val="17"/>
                <w:szCs w:val="17"/>
                <w:color w:val="auto"/>
              </w:rPr>
              <w:t>Depreciation</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Stock-based compensation</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3,237</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507</w:t>
            </w:r>
          </w:p>
        </w:tc>
      </w:tr>
      <w:tr>
        <w:trPr>
          <w:trHeight w:val="216"/>
        </w:trPr>
        <w:tc>
          <w:tcPr>
            <w:tcW w:w="7740" w:type="dxa"/>
            <w:vAlign w:val="bottom"/>
          </w:tcPr>
          <w:p>
            <w:pPr>
              <w:ind w:left="460"/>
              <w:spacing w:after="0"/>
              <w:rPr>
                <w:sz w:val="20"/>
                <w:szCs w:val="20"/>
                <w:color w:val="auto"/>
              </w:rPr>
            </w:pPr>
            <w:r>
              <w:rPr>
                <w:rFonts w:ascii="Arial" w:cs="Arial" w:eastAsia="Arial" w:hAnsi="Arial"/>
                <w:sz w:val="17"/>
                <w:szCs w:val="17"/>
                <w:color w:val="auto"/>
              </w:rPr>
              <w:t>Amortization of premiums and discounts on marketable securities</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731</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Amortization of right of use lease asset</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317</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136</w:t>
            </w:r>
          </w:p>
        </w:tc>
      </w:tr>
      <w:tr>
        <w:trPr>
          <w:trHeight w:val="216"/>
        </w:trPr>
        <w:tc>
          <w:tcPr>
            <w:tcW w:w="7740" w:type="dxa"/>
            <w:vAlign w:val="bottom"/>
          </w:tcPr>
          <w:p>
            <w:pPr>
              <w:ind w:left="460"/>
              <w:spacing w:after="0"/>
              <w:rPr>
                <w:sz w:val="20"/>
                <w:szCs w:val="20"/>
                <w:color w:val="auto"/>
              </w:rPr>
            </w:pPr>
            <w:r>
              <w:rPr>
                <w:rFonts w:ascii="Arial" w:cs="Arial" w:eastAsia="Arial" w:hAnsi="Arial"/>
                <w:sz w:val="17"/>
                <w:szCs w:val="17"/>
                <w:color w:val="auto"/>
              </w:rPr>
              <w:t>Accretion of lease liability</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57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Changes in operating assets and liabilities: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70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849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(220)</w:t>
            </w:r>
          </w:p>
        </w:tc>
      </w:tr>
      <w:tr>
        <w:trPr>
          <w:trHeight w:val="217"/>
        </w:trPr>
        <w:tc>
          <w:tcPr>
            <w:tcW w:w="7740" w:type="dxa"/>
            <w:vAlign w:val="bottom"/>
            <w:shd w:val="clear" w:color="auto" w:fill="CFF0FC"/>
          </w:tcPr>
          <w:p>
            <w:pPr>
              <w:ind w:left="700"/>
              <w:spacing w:after="0"/>
              <w:rPr>
                <w:sz w:val="20"/>
                <w:szCs w:val="20"/>
                <w:color w:val="auto"/>
              </w:rPr>
            </w:pPr>
            <w:r>
              <w:rPr>
                <w:rFonts w:ascii="Arial" w:cs="Arial" w:eastAsia="Arial" w:hAnsi="Arial"/>
                <w:sz w:val="17"/>
                <w:szCs w:val="17"/>
                <w:color w:val="auto"/>
              </w:rPr>
              <w:t>Tax credit receivable, noncurrent</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(865)</w:t>
            </w:r>
          </w:p>
        </w:tc>
      </w:tr>
      <w:tr>
        <w:trPr>
          <w:trHeight w:val="216"/>
        </w:trPr>
        <w:tc>
          <w:tcPr>
            <w:tcW w:w="7740" w:type="dxa"/>
            <w:vAlign w:val="bottom"/>
          </w:tcPr>
          <w:p>
            <w:pPr>
              <w:ind w:left="700"/>
              <w:spacing w:after="0"/>
              <w:rPr>
                <w:sz w:val="20"/>
                <w:szCs w:val="20"/>
                <w:color w:val="auto"/>
              </w:rPr>
            </w:pPr>
            <w:r>
              <w:rPr>
                <w:rFonts w:ascii="Arial" w:cs="Arial" w:eastAsia="Arial" w:hAnsi="Arial"/>
                <w:sz w:val="17"/>
                <w:szCs w:val="17"/>
                <w:color w:val="auto"/>
              </w:rPr>
              <w:t>Other assets, noncurrent</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ind w:left="700"/>
              <w:spacing w:after="0"/>
              <w:rPr>
                <w:sz w:val="20"/>
                <w:szCs w:val="20"/>
                <w:color w:val="auto"/>
              </w:rPr>
            </w:pPr>
            <w:r>
              <w:rPr>
                <w:rFonts w:ascii="Arial" w:cs="Arial" w:eastAsia="Arial" w:hAnsi="Arial"/>
                <w:sz w:val="17"/>
                <w:szCs w:val="17"/>
                <w:color w:val="auto"/>
              </w:rPr>
              <w:t>Accounts payable</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(871)</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1,134</w:t>
            </w:r>
          </w:p>
        </w:tc>
      </w:tr>
      <w:tr>
        <w:trPr>
          <w:trHeight w:val="216"/>
        </w:trPr>
        <w:tc>
          <w:tcPr>
            <w:tcW w:w="7740" w:type="dxa"/>
            <w:vAlign w:val="bottom"/>
          </w:tcPr>
          <w:p>
            <w:pPr>
              <w:ind w:left="700"/>
              <w:spacing w:after="0"/>
              <w:rPr>
                <w:sz w:val="20"/>
                <w:szCs w:val="20"/>
                <w:color w:val="auto"/>
              </w:rPr>
            </w:pPr>
            <w:r>
              <w:rPr>
                <w:rFonts w:ascii="Arial" w:cs="Arial" w:eastAsia="Arial" w:hAnsi="Arial"/>
                <w:sz w:val="17"/>
                <w:szCs w:val="17"/>
                <w:color w:val="auto"/>
              </w:rPr>
              <w:t>Accrued expenses and other current liabilities</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993</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(1,019)</w:t>
            </w:r>
          </w:p>
        </w:tc>
      </w:tr>
      <w:tr>
        <w:trPr>
          <w:trHeight w:val="217"/>
        </w:trPr>
        <w:tc>
          <w:tcPr>
            <w:tcW w:w="7740" w:type="dxa"/>
            <w:vAlign w:val="bottom"/>
            <w:shd w:val="clear" w:color="auto" w:fill="CFF0FC"/>
          </w:tcPr>
          <w:p>
            <w:pPr>
              <w:ind w:left="700"/>
              <w:spacing w:after="0"/>
              <w:rPr>
                <w:sz w:val="20"/>
                <w:szCs w:val="20"/>
                <w:color w:val="auto"/>
              </w:rPr>
            </w:pPr>
            <w:r>
              <w:rPr>
                <w:rFonts w:ascii="Arial" w:cs="Arial" w:eastAsia="Arial" w:hAnsi="Arial"/>
                <w:sz w:val="17"/>
                <w:szCs w:val="17"/>
                <w:color w:val="auto"/>
              </w:rPr>
              <w:t>Operating lease liabilities</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(403)</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w:t>
            </w:r>
          </w:p>
        </w:tc>
      </w:tr>
      <w:tr>
        <w:trPr>
          <w:trHeight w:val="209"/>
        </w:trPr>
        <w:tc>
          <w:tcPr>
            <w:tcW w:w="7740" w:type="dxa"/>
            <w:vAlign w:val="bottom"/>
            <w:tcBorders>
              <w:bottom w:val="single" w:sz="8" w:color="CFF0FC"/>
            </w:tcBorders>
          </w:tcPr>
          <w:p>
            <w:pPr>
              <w:ind w:left="940"/>
              <w:spacing w:after="0"/>
              <w:rPr>
                <w:sz w:val="20"/>
                <w:szCs w:val="20"/>
                <w:color w:val="auto"/>
              </w:rPr>
            </w:pPr>
            <w:r>
              <w:rPr>
                <w:rFonts w:ascii="Arial" w:cs="Arial" w:eastAsia="Arial" w:hAnsi="Arial"/>
                <w:sz w:val="17"/>
                <w:szCs w:val="17"/>
                <w:color w:val="auto"/>
              </w:rPr>
              <w:t>Net cash used in operating activities</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(34,479)</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(23,686)</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Cash flows from investing activities: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Purchases of marketable securities</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(84,209)</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sale of marketable securities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21,976</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216"/>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Purchases of property and equipment</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r>
      <w:tr>
        <w:trPr>
          <w:trHeight w:val="210"/>
        </w:trPr>
        <w:tc>
          <w:tcPr>
            <w:tcW w:w="7740" w:type="dxa"/>
            <w:vAlign w:val="bottom"/>
            <w:shd w:val="clear" w:color="auto" w:fill="CFF0FC"/>
          </w:tcPr>
          <w:p>
            <w:pPr>
              <w:ind w:left="94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(62,460)</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209"/>
        </w:trPr>
        <w:tc>
          <w:tcPr>
            <w:tcW w:w="774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Proceeds from issuance of Series C preferred stock, net</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39,669</w:t>
            </w: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Proceeds from issuance of Series D preferred stock</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58,727</w:t>
            </w: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Series D preferred stock issuance costs</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(2,797)</w:t>
            </w:r>
          </w:p>
        </w:tc>
      </w:tr>
      <w:tr>
        <w:trPr>
          <w:trHeight w:val="209"/>
        </w:trPr>
        <w:tc>
          <w:tcPr>
            <w:tcW w:w="7740" w:type="dxa"/>
            <w:vAlign w:val="bottom"/>
            <w:tcBorders>
              <w:bottom w:val="single" w:sz="8" w:color="CFF0FC"/>
            </w:tcBorders>
          </w:tcPr>
          <w:p>
            <w:pPr>
              <w:ind w:left="940"/>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95,599</w:t>
            </w: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(96,939)</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71,913</w:t>
            </w:r>
          </w:p>
        </w:tc>
      </w:tr>
      <w:tr>
        <w:trPr>
          <w:trHeight w:val="209"/>
        </w:trPr>
        <w:tc>
          <w:tcPr>
            <w:tcW w:w="7740" w:type="dxa"/>
            <w:vAlign w:val="bottom"/>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9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(740)</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2,136</w:t>
            </w: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w w:val="94"/>
              </w:rPr>
              <w:t>163,836</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11,525</w:t>
            </w:r>
          </w:p>
        </w:tc>
      </w:tr>
      <w:tr>
        <w:trPr>
          <w:trHeight w:val="249"/>
        </w:trPr>
        <w:tc>
          <w:tcPr>
            <w:tcW w:w="7740" w:type="dxa"/>
            <w:vAlign w:val="bottom"/>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66,157</w:t>
            </w:r>
          </w:p>
        </w:tc>
        <w:tc>
          <w:tcPr>
            <w:tcW w:w="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85,574</w:t>
            </w:r>
          </w:p>
        </w:tc>
      </w:tr>
      <w:tr>
        <w:trPr>
          <w:trHeight w:val="196"/>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Components of cash, cash equivalents and restricted cash</w:t>
            </w:r>
          </w:p>
        </w:tc>
        <w:tc>
          <w:tcPr>
            <w:tcW w:w="9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9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66,157</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85,333</w:t>
            </w: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rPr>
              <w:t>241</w:t>
            </w:r>
          </w:p>
        </w:tc>
      </w:tr>
      <w:tr>
        <w:trPr>
          <w:trHeight w:val="249"/>
        </w:trPr>
        <w:tc>
          <w:tcPr>
            <w:tcW w:w="7740" w:type="dxa"/>
            <w:vAlign w:val="bottom"/>
          </w:tcPr>
          <w:p>
            <w:pPr>
              <w:spacing w:after="0"/>
              <w:rPr>
                <w:sz w:val="20"/>
                <w:szCs w:val="20"/>
                <w:color w:val="auto"/>
              </w:rPr>
            </w:pPr>
            <w:r>
              <w:rPr>
                <w:rFonts w:ascii="Arial" w:cs="Arial" w:eastAsia="Arial" w:hAnsi="Arial"/>
                <w:sz w:val="17"/>
                <w:szCs w:val="17"/>
                <w:color w:val="auto"/>
              </w:rPr>
              <w:t>Total cash, cash equivalents and restricted cash</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66,157</w:t>
            </w:r>
          </w:p>
        </w:tc>
        <w:tc>
          <w:tcPr>
            <w:tcW w:w="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85,574</w:t>
            </w:r>
          </w:p>
        </w:tc>
      </w:tr>
      <w:tr>
        <w:trPr>
          <w:trHeight w:val="196"/>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9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Cash paid for taxes</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40</w:t>
            </w:r>
          </w:p>
        </w:tc>
        <w:tc>
          <w:tcPr>
            <w:tcW w:w="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217"/>
        </w:trPr>
        <w:tc>
          <w:tcPr>
            <w:tcW w:w="77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disclosures of noncash activities:</w:t>
            </w: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40" w:type="dxa"/>
            <w:vAlign w:val="bottom"/>
          </w:tcPr>
          <w:p>
            <w:pPr>
              <w:ind w:left="240"/>
              <w:spacing w:after="0"/>
              <w:rPr>
                <w:sz w:val="20"/>
                <w:szCs w:val="20"/>
                <w:color w:val="auto"/>
              </w:rPr>
            </w:pPr>
            <w:r>
              <w:rPr>
                <w:rFonts w:ascii="Arial" w:cs="Arial" w:eastAsia="Arial" w:hAnsi="Arial"/>
                <w:sz w:val="17"/>
                <w:szCs w:val="17"/>
                <w:color w:val="auto"/>
              </w:rPr>
              <w:t>Receivable on issuance of Series D preferred stock</w:t>
            </w:r>
          </w:p>
        </w:tc>
        <w:tc>
          <w:tcPr>
            <w:tcW w:w="940" w:type="dxa"/>
            <w:vAlign w:val="bottom"/>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5,473</w:t>
            </w:r>
          </w:p>
        </w:tc>
      </w:tr>
      <w:tr>
        <w:trPr>
          <w:trHeight w:val="217"/>
        </w:trPr>
        <w:tc>
          <w:tcPr>
            <w:tcW w:w="77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409</w:t>
            </w:r>
          </w:p>
        </w:tc>
        <w:tc>
          <w:tcPr>
            <w:tcW w:w="720" w:type="dxa"/>
            <w:vAlign w:val="bottom"/>
            <w:gridSpan w:val="2"/>
            <w:shd w:val="clear" w:color="auto" w:fill="CFF0FC"/>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672</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the unaudited interim condensed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7"/>
          <w:szCs w:val="17"/>
          <w:b w:val="1"/>
          <w:bCs w:val="1"/>
          <w:color w:val="auto"/>
        </w:rPr>
        <w:t>GALECTO,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ORGANIZATION AND LIQUIDITY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and Organization</w:t>
      </w:r>
    </w:p>
    <w:p>
      <w:pPr>
        <w:spacing w:after="0" w:line="21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Galecto, Inc., together with its consolidated subsidiaries, or the Company or Galecto, is a clinical-stage biotechnology company developing therapeutics that are designed to target the biological processes that lie at the heart of fibrosis and impact a broad range of fibrotic and related diseases, including cancer. The Company’s initial focus is on the development of small-molecule inhibitors of galectin-3 and lysyl oxidase-like 2, or LOXL2, which play key roles in regulating fibrosis and cancer.</w:t>
      </w:r>
    </w:p>
    <w:p>
      <w:pPr>
        <w:spacing w:after="0" w:line="180"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auto"/>
        </w:rPr>
        <w:t>As of September 30, 2021, the Company’s wholly owned subsidiaries were PharmAkea, Inc. or PharmAkea, Galecto Securities Corporation, and Galecto Biotech AB, a Swedish company. Galecto Biotech ApS, a Danish operating company, is a wholly-owned subsidiary of Galecto Biotech AB.</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13"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183"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management plans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the Company has devoted substantially all its efforts to business planning, research and development,</w:t>
      </w:r>
    </w:p>
    <w:p>
      <w:pPr>
        <w:spacing w:after="0" w:line="20"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recruiting management and technical staff and raising capital, and has financed its operations primarily through the issuance of redeemable convertible preferred shares, debt financings and, most recently, the Company’s initial public offering, or IPO.</w:t>
      </w:r>
    </w:p>
    <w:p>
      <w:pPr>
        <w:spacing w:after="0" w:line="17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As of September 30, 2021, the Company had an accumulated deficit of $142.7 million, from recurring losses since inception in 2011. The Company has incurred recurring losses and has no sales as none of its product candidates have obtained the necessary regulatory approval for commercialization and to be marketed as approved products. The Company expects to continue to incur losses as a result of costs and expenses related to the Company’s clinical development and corporate general and administrative activities. The Company had negative cash flows from operating activities during the nine months ended September 30, 2021 and 2020 of $34.5 million and $23.7 million, respectively, and current projections indicate that the Company will have continued negative cash flows for the foreseeable future as it continues to develop its product candidates. Net losses incurred for the three and nine months ended September 30, 2021 were $12.7 million and $38.3 million, respectively. Net losses incurred for the three and nine months ended September 30, 2020 were $11.7 million and $23.3 million, respectively.</w:t>
      </w:r>
    </w:p>
    <w:p>
      <w:pPr>
        <w:spacing w:after="0" w:line="15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At September 30, 2021, the Company’s cash, cash equivalents and marketable securities amounted to $127.6 million and current assets amounted to $107.0 million and current liabilities amounted to $5.7 million. At December 31, 2020, the Company’s cash and cash equivalents amounted to $163.6 million, current assets amounted to $169.3 million and current liabilities amounted to $5.6 million.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 the future, the Company will consider the following ways to fund its operations including: (1) raising additional capital through equity and/ or debt financings;</w:t>
      </w:r>
    </w:p>
    <w:p>
      <w:pPr>
        <w:spacing w:after="0" w:line="32" w:lineRule="exact"/>
        <w:rPr>
          <w:sz w:val="20"/>
          <w:szCs w:val="20"/>
          <w:color w:val="auto"/>
        </w:rPr>
      </w:pPr>
    </w:p>
    <w:p>
      <w:pPr>
        <w:ind w:right="240" w:firstLine="2"/>
        <w:spacing w:after="0" w:line="256" w:lineRule="auto"/>
        <w:tabs>
          <w:tab w:leader="none" w:pos="241"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commercial relationships to help fund future clinical trial costs (i.e. licensing and partnerships); (3) reducing spending on one or more research and development programs by discontinuing development; and/or (4) restructuring operations to change its overhead structure. The Company’s future liquidity needs, and ability to address those needs,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will largely be determined by the success of its product candidates and key development and regulatory events and its decisions in the future.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Coronavirus pandemic</w:t>
      </w:r>
    </w:p>
    <w:p>
      <w:pPr>
        <w:spacing w:after="0" w:line="21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coronavirus disease 2019 pandemic, or COVID-19, which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and facilities and production have been suspended. Demand for certain goods and services, such as medical services and supplies, however, has spiked, while demand for other goods and services, such as travel, has fallen. The future progression of the outbreak and its effects on the Company’s business and operations are uncertain.</w:t>
      </w:r>
    </w:p>
    <w:p>
      <w:pPr>
        <w:spacing w:after="0" w:line="183"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In response to the impact of COVID-19, the Company has implemented certain measures intended to help the Company manage its impact and position the Company to resume operations quickly and efficiently once these restrictions are lifted, such as executing a work-from-home strategy for administrative functions and operations. The Company continues to monitor the impact of COVID-19 and assess its strategy accordingly.</w:t>
      </w:r>
    </w:p>
    <w:p>
      <w:pPr>
        <w:spacing w:after="0" w:line="17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Despite the Company’s implementation of such measures, the actual and perceived impact of the COVID-19 pandemic is changing daily, and its ultimate effect on the Company cannot be predicted. As a result, there can be no assurance that the Company will not experience additional negative impacts associated with COVID-19, which could be significant. The COVID-19 pandemic may negatively impact the Company’s business, financial condition and results of operations by decreasing or delaying the enrollment of patients in the Company’s clinical trials or otherwise causing interruptions or delays in the Company’s programs and services.</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March 27, 2020, the United States enacted the Coronavirus Aid, Relief and Economic Security Act, or CARES Act. The CARES Act is an emergency economic stimulus package that includes spending and tax breaks to strengthen the United States economy and fund a nationwide effort to curtail the effect of COVID-19. The CARES Act provides sweeping tax changes in response to the COVID-19 pandemic, some of the more significant provisions include removing certain limitations on the utilization of net operating losses, increasing the loss carryback period for certain losses to five years, increasing the ability to deduct interest expense, and deferring social security payments, as well as amending certain provisions of the previously enacted Tax Cuts and Jobs Act of 2017. The CARES Act has not had a material impact on the Company’s financial position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7"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color w:val="auto"/>
        </w:rPr>
        <w:t>The accompanying interim condensed consolidated financial statements have been prepared in accordance with United States generally accepted accounting principles (“U.S. GAAP”).</w:t>
      </w:r>
    </w:p>
    <w:p>
      <w:pPr>
        <w:spacing w:after="0" w:line="165" w:lineRule="exact"/>
        <w:rPr>
          <w:sz w:val="20"/>
          <w:szCs w:val="20"/>
          <w:color w:val="auto"/>
        </w:rPr>
      </w:pPr>
    </w:p>
    <w:p>
      <w:pPr>
        <w:spacing w:after="0" w:line="270" w:lineRule="auto"/>
        <w:rPr>
          <w:rFonts w:ascii="Arial" w:cs="Arial" w:eastAsia="Arial" w:hAnsi="Arial"/>
          <w:sz w:val="16"/>
          <w:szCs w:val="16"/>
          <w:color w:val="auto"/>
        </w:rPr>
      </w:pPr>
      <w:r>
        <w:rPr>
          <w:rFonts w:ascii="Arial" w:cs="Arial" w:eastAsia="Arial" w:hAnsi="Arial"/>
          <w:sz w:val="16"/>
          <w:szCs w:val="16"/>
          <w:color w:val="auto"/>
        </w:rPr>
        <w:t xml:space="preserve">The accompanying interim condensed consolidated financial statements as of September 30, 2021 and for the three and nine months ended September 30, 2021 and 2020, and related interim information contained within the notes to the interim condensed consolidated financial statements, are unaudited. In management’s opinion, the unaudited interim condensed consolidated financial statements have been prepared on the same basis as the Company’s audited consolidated financial statements and include all adjustments (including normal recurring adjustments) necessary for the fair presentation of the Company’s financial position as of September 30, 2021, results of operations, statement of convertible preferred stock and stockholders’ equity for the three and nine months ended September 30, 2021 and 2020 and its cash flows for the nine months ended September 30, 2021 and 2020. All intercompany balances and transactions have been eliminated. These unaudited interim condensed consolidated financial statements should be read in conjunction with the Company’s audited consolidated financial statements and accompanying notes contained in the Company’s </w:t>
      </w:r>
      <w:hyperlink r:id="rId18">
        <w:r>
          <w:rPr>
            <w:rFonts w:ascii="Arial" w:cs="Arial" w:eastAsia="Arial" w:hAnsi="Arial"/>
            <w:sz w:val="16"/>
            <w:szCs w:val="16"/>
            <w:u w:val="single" w:color="auto"/>
            <w:color w:val="auto"/>
          </w:rPr>
          <w:t xml:space="preserve">Annual Report on Form 10-K </w:t>
        </w:r>
      </w:hyperlink>
      <w:r>
        <w:rPr>
          <w:rFonts w:ascii="Arial" w:cs="Arial" w:eastAsia="Arial" w:hAnsi="Arial"/>
          <w:sz w:val="16"/>
          <w:szCs w:val="16"/>
          <w:color w:val="auto"/>
        </w:rPr>
        <w:t>for the fiscal year ended December 31, 2020, as filed with the Securities and Exchange Commission (“SEC”) on March 29, 2021. The results for the three and nine months ended September 30, 2021 are not necessarily indicative of the results expected for the full fiscal year or any interim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-292735</wp:posOffset>
            </wp:positionV>
            <wp:extent cx="1283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15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Other than noted below, for the nine months ended September 30, 2021, there have been no changes to the significant accounting policies as disclosed in Note 2 to the Company’s annual consolidated financial statements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Investments in Marketable Securities</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invests excess cash balances in short-term and long-term marketable debt securities. The Company classifies investments in marketable debt securities as either held-to-maturity or available-for-sale based on the facts and circumstances present at the time of purchase and re-evaluates classification at each balance sheet date. All investments in marketable debt securities at each balance sheet date presented, are generally considered as available-for-sale. Marketable debt securities with maturities of twelve months or less are classified as short-term investments and marketable debt securities with maturities greater than twelve months 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1" w:name="page12"/>
    <w:bookmarkEnd w:id="11"/>
    <w:p>
      <w:pPr>
        <w:ind w:right="80"/>
        <w:spacing w:after="0" w:line="254" w:lineRule="auto"/>
        <w:rPr>
          <w:sz w:val="20"/>
          <w:szCs w:val="20"/>
          <w:color w:val="auto"/>
        </w:rPr>
      </w:pPr>
      <w:r>
        <w:rPr>
          <w:rFonts w:ascii="Arial" w:cs="Arial" w:eastAsia="Arial" w:hAnsi="Arial"/>
          <w:sz w:val="17"/>
          <w:szCs w:val="17"/>
          <w:color w:val="auto"/>
        </w:rPr>
        <w:t>classified based on their availability for use in current operations. The Company reports available-for-sale debt securities at fair value at each balance sheet date and includes any unrealized holding gains and losses (the adjustment to fair value), net of applicable taxes, in accumulated other comprehensive income (loss), a component of stockholders’ equity. In addition, the cost of debt securities in this category is adjusted for amortization of premium and accretion of discount to maturity. Realized gains and losses are determined using the specific identification method and are included in other income (expense). If any adjustment to fair value reflects a decline in the value of the investment, the Company considers all available evidence to evaluate the extent to which the decline is “other than temporary,” including the intention to sell and, if so, marks the investment to market through a charge to the Company’s condensed consolidated statements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and Equipment, Net</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Property and equipment are recorded at cost. Costs associated with maintenance and repairs are expensed as incurred. Depreciation is provided using the straight-line method over the estimated useful lives:</w:t>
      </w:r>
    </w:p>
    <w:p>
      <w:pPr>
        <w:spacing w:after="0" w:line="361" w:lineRule="exact"/>
        <w:rPr>
          <w:sz w:val="20"/>
          <w:szCs w:val="20"/>
          <w:color w:val="auto"/>
        </w:rPr>
      </w:pPr>
    </w:p>
    <w:tbl>
      <w:tblPr>
        <w:tblLayout w:type="fixed"/>
        <w:tblInd w:w="2120" w:type="dxa"/>
        <w:tblCellMar>
          <w:top w:w="0" w:type="dxa"/>
          <w:left w:w="0" w:type="dxa"/>
          <w:bottom w:w="0" w:type="dxa"/>
          <w:right w:w="0" w:type="dxa"/>
        </w:tblCellMar>
      </w:tblPr>
      <w:tr>
        <w:trPr>
          <w:trHeight w:val="175"/>
        </w:trPr>
        <w:tc>
          <w:tcPr>
            <w:tcW w:w="2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Asset Category</w:t>
            </w: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Life</w:t>
            </w:r>
          </w:p>
        </w:tc>
      </w:tr>
      <w:tr>
        <w:trPr>
          <w:trHeight w:val="49"/>
        </w:trPr>
        <w:tc>
          <w:tcPr>
            <w:tcW w:w="2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185"/>
        </w:trPr>
        <w:tc>
          <w:tcPr>
            <w:tcW w:w="2600" w:type="dxa"/>
            <w:vAlign w:val="bottom"/>
          </w:tcPr>
          <w:p>
            <w:pPr>
              <w:jc w:val="center"/>
              <w:spacing w:after="0" w:line="185" w:lineRule="exact"/>
              <w:rPr>
                <w:sz w:val="20"/>
                <w:szCs w:val="20"/>
                <w:color w:val="auto"/>
              </w:rPr>
            </w:pPr>
            <w:r>
              <w:rPr>
                <w:rFonts w:ascii="Arial" w:cs="Arial" w:eastAsia="Arial" w:hAnsi="Arial"/>
                <w:sz w:val="17"/>
                <w:szCs w:val="17"/>
                <w:color w:val="auto"/>
                <w:w w:val="91"/>
              </w:rPr>
              <w:t>Equipment</w:t>
            </w:r>
          </w:p>
        </w:tc>
        <w:tc>
          <w:tcPr>
            <w:tcW w:w="200" w:type="dxa"/>
            <w:vAlign w:val="bottom"/>
          </w:tcPr>
          <w:p>
            <w:pPr>
              <w:spacing w:after="0"/>
              <w:rPr>
                <w:sz w:val="16"/>
                <w:szCs w:val="16"/>
                <w:color w:val="auto"/>
              </w:rPr>
            </w:pPr>
          </w:p>
        </w:tc>
        <w:tc>
          <w:tcPr>
            <w:tcW w:w="4220" w:type="dxa"/>
            <w:vAlign w:val="bottom"/>
          </w:tcPr>
          <w:p>
            <w:pPr>
              <w:jc w:val="center"/>
              <w:spacing w:after="0" w:line="185" w:lineRule="exact"/>
              <w:rPr>
                <w:sz w:val="20"/>
                <w:szCs w:val="20"/>
                <w:color w:val="auto"/>
              </w:rPr>
            </w:pPr>
            <w:r>
              <w:rPr>
                <w:rFonts w:ascii="Arial" w:cs="Arial" w:eastAsia="Arial" w:hAnsi="Arial"/>
                <w:sz w:val="17"/>
                <w:szCs w:val="17"/>
                <w:color w:val="auto"/>
                <w:w w:val="90"/>
              </w:rPr>
              <w:t>5-7 years</w:t>
            </w:r>
          </w:p>
        </w:tc>
      </w:tr>
      <w:tr>
        <w:trPr>
          <w:trHeight w:val="204"/>
        </w:trPr>
        <w:tc>
          <w:tcPr>
            <w:tcW w:w="2800" w:type="dxa"/>
            <w:vAlign w:val="bottom"/>
            <w:gridSpan w:val="2"/>
          </w:tcPr>
          <w:p>
            <w:pPr>
              <w:jc w:val="center"/>
              <w:ind w:right="220"/>
              <w:spacing w:after="0"/>
              <w:rPr>
                <w:sz w:val="20"/>
                <w:szCs w:val="20"/>
                <w:color w:val="auto"/>
              </w:rPr>
            </w:pPr>
            <w:r>
              <w:rPr>
                <w:rFonts w:ascii="Arial" w:cs="Arial" w:eastAsia="Arial" w:hAnsi="Arial"/>
                <w:sz w:val="17"/>
                <w:szCs w:val="17"/>
                <w:color w:val="auto"/>
                <w:w w:val="93"/>
              </w:rPr>
              <w:t>Furniture and fixtures</w:t>
            </w:r>
          </w:p>
        </w:tc>
        <w:tc>
          <w:tcPr>
            <w:tcW w:w="4220" w:type="dxa"/>
            <w:vAlign w:val="bottom"/>
          </w:tcPr>
          <w:p>
            <w:pPr>
              <w:jc w:val="center"/>
              <w:spacing w:after="0"/>
              <w:rPr>
                <w:sz w:val="20"/>
                <w:szCs w:val="20"/>
                <w:color w:val="auto"/>
              </w:rPr>
            </w:pPr>
            <w:r>
              <w:rPr>
                <w:rFonts w:ascii="Arial" w:cs="Arial" w:eastAsia="Arial" w:hAnsi="Arial"/>
                <w:sz w:val="17"/>
                <w:szCs w:val="17"/>
                <w:color w:val="auto"/>
                <w:w w:val="86"/>
              </w:rPr>
              <w:t>5 years</w:t>
            </w:r>
          </w:p>
        </w:tc>
      </w:tr>
      <w:tr>
        <w:trPr>
          <w:trHeight w:val="204"/>
        </w:trPr>
        <w:tc>
          <w:tcPr>
            <w:tcW w:w="28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Leasehold improvements</w:t>
            </w:r>
          </w:p>
        </w:tc>
        <w:tc>
          <w:tcPr>
            <w:tcW w:w="4220" w:type="dxa"/>
            <w:vAlign w:val="bottom"/>
          </w:tcPr>
          <w:p>
            <w:pPr>
              <w:jc w:val="center"/>
              <w:spacing w:after="0"/>
              <w:rPr>
                <w:sz w:val="20"/>
                <w:szCs w:val="20"/>
                <w:color w:val="auto"/>
              </w:rPr>
            </w:pPr>
            <w:r>
              <w:rPr>
                <w:rFonts w:ascii="Arial" w:cs="Arial" w:eastAsia="Arial" w:hAnsi="Arial"/>
                <w:sz w:val="17"/>
                <w:szCs w:val="17"/>
                <w:color w:val="auto"/>
                <w:w w:val="89"/>
              </w:rPr>
              <w:t>Lesser of 10 years or the remaining term of the respective</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83"/>
              </w:rPr>
              <w:t>lease</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13"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Measurement of Credit Losses on Financial Instruments</w:t>
      </w:r>
      <w:r>
        <w:rPr>
          <w:rFonts w:ascii="Arial" w:cs="Arial" w:eastAsia="Arial" w:hAnsi="Arial"/>
          <w:sz w:val="16"/>
          <w:szCs w:val="16"/>
          <w:color w:val="auto"/>
        </w:rPr>
        <w:t xml:space="preserve">, or ASU 2016-13. ASU 2016-13 requires measurement and recognition of expected credit losses for financial assets. In April 2019, the FASB issued clarification to ASU 2016-13 within ASU 2019-04, </w:t>
      </w:r>
      <w:r>
        <w:rPr>
          <w:rFonts w:ascii="Arial" w:cs="Arial" w:eastAsia="Arial" w:hAnsi="Arial"/>
          <w:sz w:val="16"/>
          <w:szCs w:val="16"/>
          <w:i w:val="1"/>
          <w:iCs w:val="1"/>
          <w:color w:val="auto"/>
        </w:rPr>
        <w:t>Codification Improvements to Topic 326, Financial Instruments-Credit Losses, Topic 815,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825,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ASU 2016-13 guidance became effective as of January 1, 2020, and must be adopted using a modified retrospective approach, with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This guidance is effective for public business entities that meet the definition of a Securities and Exchange Commission filer, excluding eligible smaller reporting companies for fiscal years beginning after December 15, 2019. For all other entities, including emerging growth companies, it is effective for fiscal years beginning after December 15, 2022. The Company has not yet adopted ASU 2016-13 and is currently assessing the potential impact of adopting ASU 2016-13 on its financial statements and financial statement disclosures.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In December 2019, the Financial Accounting Standards Board, or FASB, issued Accounting Standards Update, or ASU, No. 2019-12, </w:t>
      </w:r>
      <w:r>
        <w:rPr>
          <w:rFonts w:ascii="Arial" w:cs="Arial" w:eastAsia="Arial" w:hAnsi="Arial"/>
          <w:sz w:val="16"/>
          <w:szCs w:val="16"/>
          <w:i w:val="1"/>
          <w:iCs w:val="1"/>
          <w:color w:val="auto"/>
        </w:rPr>
        <w:t>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or ASU 2019-12. ASU 2019-12 eliminates certain exceptions related to the approach for intra-period tax allocation, the methodology for calculating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taxes in an interim period and the recognition of deferred tax liabilities for outside basis differences. It also clarifies and simplifies other aspects of the accounting for income taxes. This guidance is effective for public business entities for fiscal years beginning after December 15, 2020, and interim periods within those fiscal years. For all other entities, including emerging growth companies, it is effective for fiscal years beginning after December 15, 2021, and interim periods within fiscal years beginning after December 15, 2022. Early adoption is permitted. The Company is currently evaluating the impact that the new accounting standard will have on the financial statements and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INVESTMENTS</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Cash in excess of the Company’s immediate requirements is invested in accordance with the Company’s investment policy that primarily seeks to maintain adequate liquidity and preserve capital.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interest-bearing investments in marketable securities, by category, as of September 30, 2021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40" w:type="dxa"/>
            <w:vAlign w:val="bottom"/>
          </w:tcPr>
          <w:p>
            <w:pPr>
              <w:spacing w:after="0"/>
              <w:rPr>
                <w:sz w:val="15"/>
                <w:szCs w:val="15"/>
                <w:color w:val="auto"/>
              </w:rPr>
            </w:pPr>
          </w:p>
        </w:tc>
        <w:tc>
          <w:tcPr>
            <w:tcW w:w="3160" w:type="dxa"/>
            <w:vAlign w:val="bottom"/>
            <w:vMerge w:val="restart"/>
          </w:tcPr>
          <w:p>
            <w:pPr>
              <w:spacing w:after="0"/>
              <w:rPr>
                <w:sz w:val="20"/>
                <w:szCs w:val="20"/>
                <w:color w:val="auto"/>
              </w:rPr>
            </w:pPr>
            <w:r>
              <w:rPr>
                <w:rFonts w:ascii="Arial" w:cs="Arial" w:eastAsia="Arial" w:hAnsi="Arial"/>
                <w:sz w:val="17"/>
                <w:szCs w:val="17"/>
                <w:b w:val="1"/>
                <w:bCs w:val="1"/>
                <w:color w:val="auto"/>
              </w:rPr>
              <w:t>Marketable securities:</w:t>
            </w:r>
          </w:p>
        </w:tc>
        <w:tc>
          <w:tcPr>
            <w:tcW w:w="3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rPr>
                <w:sz w:val="17"/>
                <w:szCs w:val="17"/>
                <w:color w:val="auto"/>
              </w:rPr>
            </w:pPr>
          </w:p>
        </w:tc>
        <w:tc>
          <w:tcPr>
            <w:tcW w:w="3160" w:type="dxa"/>
            <w:vAlign w:val="bottom"/>
            <w:tcBorders>
              <w:bottom w:val="single" w:sz="8" w:color="CFF0FC"/>
            </w:tcBorders>
            <w:vMerge w:val="continue"/>
          </w:tcPr>
          <w:p>
            <w:pPr>
              <w:spacing w:after="0"/>
              <w:rPr>
                <w:sz w:val="17"/>
                <w:szCs w:val="17"/>
                <w:color w:val="auto"/>
              </w:rPr>
            </w:pPr>
          </w:p>
        </w:tc>
        <w:tc>
          <w:tcPr>
            <w:tcW w:w="33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Debt securities - available-for-sale</w:t>
            </w:r>
          </w:p>
        </w:tc>
        <w:tc>
          <w:tcPr>
            <w:tcW w:w="3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35,987</w:t>
            </w:r>
          </w:p>
        </w:tc>
        <w:tc>
          <w:tcPr>
            <w:tcW w:w="80" w:type="dxa"/>
            <w:vAlign w:val="bottom"/>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64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7"/>
                <w:szCs w:val="17"/>
                <w:color w:val="auto"/>
              </w:rPr>
              <w:t>Total</w:t>
            </w:r>
          </w:p>
        </w:tc>
        <w:tc>
          <w:tcPr>
            <w:tcW w:w="3560" w:type="dxa"/>
            <w:vAlign w:val="bottom"/>
            <w:gridSpan w:val="2"/>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35,987</w:t>
            </w:r>
          </w:p>
        </w:tc>
        <w:tc>
          <w:tcPr>
            <w:tcW w:w="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Marketable securities, long-term:</w:t>
            </w:r>
          </w:p>
        </w:tc>
        <w:tc>
          <w:tcPr>
            <w:tcW w:w="33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Debt securities - available-for-sale</w:t>
            </w:r>
          </w:p>
        </w:tc>
        <w:tc>
          <w:tcPr>
            <w:tcW w:w="3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25,492</w:t>
            </w:r>
          </w:p>
        </w:tc>
        <w:tc>
          <w:tcPr>
            <w:tcW w:w="80" w:type="dxa"/>
            <w:vAlign w:val="bottom"/>
            <w:tcBorders>
              <w:bottom w:val="single" w:sz="8" w:color="CFF0FC"/>
            </w:tcBorders>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560" w:type="dxa"/>
            <w:vAlign w:val="bottom"/>
            <w:gridSpan w:val="2"/>
            <w:shd w:val="clear" w:color="auto" w:fill="CFF0FC"/>
          </w:tcPr>
          <w:p>
            <w:pPr>
              <w:jc w:val="right"/>
              <w:ind w:right="2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25,492</w:t>
            </w:r>
          </w:p>
        </w:tc>
        <w:tc>
          <w:tcPr>
            <w:tcW w:w="80" w:type="dxa"/>
            <w:vAlign w:val="bottom"/>
            <w:shd w:val="clear" w:color="auto" w:fill="CFF0FC"/>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3380" w:type="dxa"/>
            <w:vAlign w:val="bottom"/>
            <w:tcBorders>
              <w:top w:val="single" w:sz="8" w:color="CFF0FC"/>
              <w:bottom w:val="single" w:sz="8" w:color="CFF0FC"/>
            </w:tcBorders>
            <w:vMerge w:val="restart"/>
          </w:tcPr>
          <w:p>
            <w:pPr>
              <w:jc w:val="right"/>
              <w:ind w:right="2395"/>
              <w:spacing w:after="0"/>
              <w:rPr>
                <w:sz w:val="20"/>
                <w:szCs w:val="20"/>
                <w:color w:val="auto"/>
              </w:rPr>
            </w:pPr>
            <w:r>
              <w:rPr>
                <w:rFonts w:ascii="Arial" w:cs="Arial" w:eastAsia="Arial" w:hAnsi="Arial"/>
                <w:sz w:val="17"/>
                <w:szCs w:val="17"/>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6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64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 summary of the Company’s available-for-sale investments as of September 30, 2021 consisted of the following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At September 30, 2021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500" w:type="dxa"/>
            <w:vAlign w:val="bottom"/>
            <w:vMerge w:val="restart"/>
          </w:tcPr>
          <w:p>
            <w:pPr>
              <w:spacing w:after="0"/>
              <w:rPr>
                <w:sz w:val="20"/>
                <w:szCs w:val="20"/>
                <w:color w:val="auto"/>
              </w:rPr>
            </w:pPr>
            <w:r>
              <w:rPr>
                <w:rFonts w:ascii="Arial" w:cs="Arial" w:eastAsia="Arial" w:hAnsi="Arial"/>
                <w:sz w:val="17"/>
                <w:szCs w:val="17"/>
                <w:b w:val="1"/>
                <w:bCs w:val="1"/>
                <w:color w:val="auto"/>
              </w:rPr>
              <w:t>Marketable securities: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341"/>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Gross Unrealized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500" w:type="dxa"/>
            <w:vAlign w:val="bottom"/>
            <w:tcBorders>
              <w:bottom w:val="single" w:sz="8" w:color="CFF0FC"/>
            </w:tcBorders>
            <w:vMerge w:val="continue"/>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Cost</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Gains</w:t>
            </w:r>
          </w:p>
        </w:tc>
        <w:tc>
          <w:tcPr>
            <w:tcW w:w="2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78"/>
              </w:rPr>
              <w:t>Losses</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Corporate bonds</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35,990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ind w:left="110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500" w:type="dxa"/>
            <w:vAlign w:val="bottom"/>
            <w:vMerge w:val="continue"/>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35,990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10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35,987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Marketable securities, long-term:</w:t>
            </w:r>
          </w:p>
        </w:tc>
        <w:tc>
          <w:tcPr>
            <w:tcW w:w="10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7"/>
                <w:szCs w:val="17"/>
                <w:color w:val="auto"/>
              </w:rPr>
              <w:t>Corporate bonds</w:t>
            </w:r>
          </w:p>
        </w:tc>
        <w:tc>
          <w:tcPr>
            <w:tcW w:w="10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25,512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10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25,492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25,512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ind w:left="110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(20)</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The amortized cost and fair value of the Company’s available-for-sale investments, by contract maturity, as of September 30, 2021 consisted of the following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Amortized</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6020" w:type="dxa"/>
            <w:vAlign w:val="bottom"/>
            <w:gridSpan w:val="3"/>
            <w:vMerge w:val="restart"/>
          </w:tcPr>
          <w:p>
            <w:pPr>
              <w:ind w:left="1500"/>
              <w:spacing w:after="0"/>
              <w:rPr>
                <w:sz w:val="20"/>
                <w:szCs w:val="20"/>
                <w:color w:val="auto"/>
              </w:rPr>
            </w:pPr>
            <w:r>
              <w:rPr>
                <w:rFonts w:ascii="Arial" w:cs="Arial" w:eastAsia="Arial" w:hAnsi="Arial"/>
                <w:sz w:val="17"/>
                <w:szCs w:val="17"/>
                <w:color w:val="auto"/>
              </w:rPr>
              <w:t>Due in one year or less</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Cost</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20" w:type="dxa"/>
            <w:vAlign w:val="bottom"/>
            <w:gridSpan w:val="3"/>
            <w:vMerge w:val="continue"/>
          </w:tcPr>
          <w:p>
            <w:pPr>
              <w:spacing w:after="0"/>
              <w:rPr>
                <w:sz w:val="18"/>
                <w:szCs w:val="18"/>
                <w:color w:val="auto"/>
              </w:rPr>
            </w:pPr>
          </w:p>
        </w:tc>
        <w:tc>
          <w:tcPr>
            <w:tcW w:w="1360" w:type="dxa"/>
            <w:vAlign w:val="bottom"/>
            <w:gridSpan w:val="2"/>
          </w:tcPr>
          <w:p>
            <w:pPr>
              <w:jc w:val="right"/>
              <w:ind w:right="952"/>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35,990</w:t>
            </w:r>
          </w:p>
        </w:tc>
        <w:tc>
          <w:tcPr>
            <w:tcW w:w="2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1380" w:type="dxa"/>
            <w:vAlign w:val="bottom"/>
            <w:gridSpan w:val="3"/>
          </w:tcPr>
          <w:p>
            <w:pPr>
              <w:ind w:left="900"/>
              <w:spacing w:after="0"/>
              <w:rPr>
                <w:sz w:val="20"/>
                <w:szCs w:val="20"/>
                <w:color w:val="auto"/>
              </w:rPr>
            </w:pPr>
            <w:r>
              <w:rPr>
                <w:rFonts w:ascii="Arial" w:cs="Arial" w:eastAsia="Arial" w:hAnsi="Arial"/>
                <w:sz w:val="17"/>
                <w:szCs w:val="17"/>
                <w:color w:val="auto"/>
                <w:w w:val="88"/>
              </w:rPr>
              <w:t>35,987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Due after one year through five years</w:t>
            </w:r>
          </w:p>
        </w:tc>
        <w:tc>
          <w:tcPr>
            <w:tcW w:w="260" w:type="dxa"/>
            <w:vAlign w:val="bottom"/>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25,512</w:t>
            </w:r>
          </w:p>
        </w:tc>
        <w:tc>
          <w:tcPr>
            <w:tcW w:w="240" w:type="dxa"/>
            <w:vAlign w:val="bottom"/>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gridSpan w:val="3"/>
            <w:shd w:val="clear" w:color="auto" w:fill="CFF0FC"/>
          </w:tcPr>
          <w:p>
            <w:pPr>
              <w:ind w:left="900"/>
              <w:spacing w:after="0"/>
              <w:rPr>
                <w:sz w:val="20"/>
                <w:szCs w:val="20"/>
                <w:color w:val="auto"/>
              </w:rPr>
            </w:pPr>
            <w:r>
              <w:rPr>
                <w:rFonts w:ascii="Arial" w:cs="Arial" w:eastAsia="Arial" w:hAnsi="Arial"/>
                <w:sz w:val="17"/>
                <w:szCs w:val="17"/>
                <w:color w:val="auto"/>
                <w:w w:val="88"/>
              </w:rPr>
              <w:t>25,492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20" w:type="dxa"/>
            <w:vAlign w:val="bottom"/>
            <w:gridSpan w:val="3"/>
          </w:tcPr>
          <w:p>
            <w:pPr>
              <w:ind w:left="1500"/>
              <w:spacing w:after="0"/>
              <w:rPr>
                <w:sz w:val="20"/>
                <w:szCs w:val="20"/>
                <w:color w:val="auto"/>
              </w:rPr>
            </w:pPr>
            <w:r>
              <w:rPr>
                <w:rFonts w:ascii="Arial" w:cs="Arial" w:eastAsia="Arial" w:hAnsi="Arial"/>
                <w:sz w:val="17"/>
                <w:szCs w:val="17"/>
                <w:color w:val="auto"/>
              </w:rPr>
              <w:t>Total</w:t>
            </w:r>
          </w:p>
        </w:tc>
        <w:tc>
          <w:tcPr>
            <w:tcW w:w="1360" w:type="dxa"/>
            <w:vAlign w:val="bottom"/>
            <w:gridSpan w:val="2"/>
          </w:tcPr>
          <w:p>
            <w:pPr>
              <w:jc w:val="right"/>
              <w:ind w:right="952"/>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4"/>
              </w:rPr>
              <w:t>61,502</w:t>
            </w:r>
          </w:p>
        </w:tc>
        <w:tc>
          <w:tcPr>
            <w:tcW w:w="24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7"/>
                <w:szCs w:val="17"/>
                <w:color w:val="auto"/>
              </w:rPr>
              <w:t>$</w:t>
            </w:r>
          </w:p>
        </w:tc>
        <w:tc>
          <w:tcPr>
            <w:tcW w:w="1380" w:type="dxa"/>
            <w:vAlign w:val="bottom"/>
            <w:gridSpan w:val="3"/>
          </w:tcPr>
          <w:p>
            <w:pPr>
              <w:ind w:left="900"/>
              <w:spacing w:after="0"/>
              <w:rPr>
                <w:sz w:val="20"/>
                <w:szCs w:val="20"/>
                <w:color w:val="auto"/>
              </w:rPr>
            </w:pPr>
            <w:r>
              <w:rPr>
                <w:rFonts w:ascii="Arial" w:cs="Arial" w:eastAsia="Arial" w:hAnsi="Arial"/>
                <w:sz w:val="17"/>
                <w:szCs w:val="17"/>
                <w:color w:val="auto"/>
                <w:w w:val="88"/>
              </w:rPr>
              <w:t>61,479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7"/>
                <w:szCs w:val="17"/>
                <w:color w:val="auto"/>
                <w:w w:val="93"/>
              </w:rPr>
              <w:t>The Company had no investments in marketable securities as of December 31, 2020.</w:t>
            </w: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020" w:type="dxa"/>
            <w:vAlign w:val="bottom"/>
            <w:gridSpan w:val="3"/>
          </w:tcPr>
          <w:p>
            <w:pPr>
              <w:spacing w:after="0"/>
              <w:rPr>
                <w:sz w:val="20"/>
                <w:szCs w:val="20"/>
                <w:color w:val="auto"/>
              </w:rPr>
            </w:pPr>
            <w:r>
              <w:rPr>
                <w:rFonts w:ascii="Arial" w:cs="Arial" w:eastAsia="Arial" w:hAnsi="Arial"/>
                <w:sz w:val="17"/>
                <w:szCs w:val="17"/>
                <w:b w:val="1"/>
                <w:bCs w:val="1"/>
                <w:color w:val="auto"/>
              </w:rPr>
              <w:t>4. PROPERTY AND EQUIPMENT, NET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380" w:type="dxa"/>
            <w:vAlign w:val="bottom"/>
            <w:gridSpan w:val="5"/>
          </w:tcPr>
          <w:p>
            <w:pPr>
              <w:spacing w:after="0"/>
              <w:rPr>
                <w:sz w:val="20"/>
                <w:szCs w:val="20"/>
                <w:color w:val="auto"/>
              </w:rPr>
            </w:pPr>
            <w:r>
              <w:rPr>
                <w:rFonts w:ascii="Arial" w:cs="Arial" w:eastAsia="Arial" w:hAnsi="Arial"/>
                <w:sz w:val="17"/>
                <w:szCs w:val="17"/>
                <w:color w:val="auto"/>
              </w:rPr>
              <w:t>Property and equipment as of September 30, 2021 consisted of the following (in thousands):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30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Equipment</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FF0FC"/>
          </w:tcPr>
          <w:p>
            <w:pPr>
              <w:ind w:left="900"/>
              <w:spacing w:after="0"/>
              <w:rPr>
                <w:sz w:val="20"/>
                <w:szCs w:val="20"/>
                <w:color w:val="auto"/>
              </w:rPr>
            </w:pPr>
            <w:r>
              <w:rPr>
                <w:rFonts w:ascii="Arial" w:cs="Arial" w:eastAsia="Arial" w:hAnsi="Arial"/>
                <w:sz w:val="17"/>
                <w:szCs w:val="17"/>
                <w:color w:val="auto"/>
                <w:w w:val="84"/>
              </w:rPr>
              <w:t>227</w:t>
            </w: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00" w:type="dxa"/>
            <w:vAlign w:val="bottom"/>
          </w:tcPr>
          <w:p>
            <w:pPr>
              <w:spacing w:after="0"/>
              <w:rPr>
                <w:sz w:val="18"/>
                <w:szCs w:val="18"/>
                <w:color w:val="auto"/>
              </w:rPr>
            </w:pPr>
          </w:p>
        </w:tc>
        <w:tc>
          <w:tcPr>
            <w:tcW w:w="4520" w:type="dxa"/>
            <w:vAlign w:val="bottom"/>
            <w:gridSpan w:val="2"/>
          </w:tcPr>
          <w:p>
            <w:pPr>
              <w:ind w:left="220"/>
              <w:spacing w:after="0"/>
              <w:rPr>
                <w:sz w:val="20"/>
                <w:szCs w:val="20"/>
                <w:color w:val="auto"/>
              </w:rPr>
            </w:pPr>
            <w:r>
              <w:rPr>
                <w:rFonts w:ascii="Arial" w:cs="Arial" w:eastAsia="Arial" w:hAnsi="Arial"/>
                <w:sz w:val="17"/>
                <w:szCs w:val="17"/>
                <w:color w:val="auto"/>
              </w:rPr>
              <w:t>Total property and equipment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ind w:left="900"/>
              <w:spacing w:after="0"/>
              <w:rPr>
                <w:sz w:val="20"/>
                <w:szCs w:val="20"/>
                <w:color w:val="auto"/>
              </w:rPr>
            </w:pPr>
            <w:r>
              <w:rPr>
                <w:rFonts w:ascii="Arial" w:cs="Arial" w:eastAsia="Arial" w:hAnsi="Arial"/>
                <w:sz w:val="17"/>
                <w:szCs w:val="17"/>
                <w:color w:val="auto"/>
                <w:w w:val="84"/>
              </w:rPr>
              <w:t>227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20"/>
              <w:spacing w:after="0"/>
              <w:rPr>
                <w:sz w:val="20"/>
                <w:szCs w:val="20"/>
                <w:color w:val="auto"/>
              </w:rPr>
            </w:pPr>
            <w:r>
              <w:rPr>
                <w:rFonts w:ascii="Arial" w:cs="Arial" w:eastAsia="Arial" w:hAnsi="Arial"/>
                <w:sz w:val="17"/>
                <w:szCs w:val="17"/>
                <w:color w:val="auto"/>
                <w:w w:val="99"/>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00" w:type="dxa"/>
            <w:vAlign w:val="bottom"/>
            <w:vMerge w:val="restart"/>
          </w:tcPr>
          <w:p>
            <w:pPr>
              <w:ind w:left="240"/>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160" w:type="dxa"/>
            <w:vAlign w:val="bottom"/>
          </w:tcPr>
          <w:p>
            <w:pPr>
              <w:ind w:left="900"/>
              <w:spacing w:after="0"/>
              <w:rPr>
                <w:sz w:val="20"/>
                <w:szCs w:val="20"/>
                <w:color w:val="auto"/>
              </w:rPr>
            </w:pPr>
            <w:r>
              <w:rPr>
                <w:rFonts w:ascii="Arial" w:cs="Arial" w:eastAsia="Arial" w:hAnsi="Arial"/>
                <w:sz w:val="17"/>
                <w:szCs w:val="17"/>
                <w:color w:val="auto"/>
                <w:w w:val="84"/>
              </w:rPr>
              <w:t>214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Depreciation expense for the three and nine months ended September 30, 2021 was $8,000 and $13,000, respectively. The Company had no property and equipment as of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17"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4"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The Company classified its money market funds within Level 1 because their fair values are based on their quoted market prices. The Company classified its debt securities within Level 2 because their fair values are determined using alternative pricing sources or models that utilized market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A summary of the assets that are measured at fair value as of September 30, 2021 and December 31, 2020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Fair Value Measurement at</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7"/>
              </w:rPr>
              <w:t>September 30, 2021</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107"/>
              <w:spacing w:after="0" w:line="126" w:lineRule="exact"/>
              <w:rPr>
                <w:sz w:val="20"/>
                <w:szCs w:val="20"/>
                <w:color w:val="auto"/>
              </w:rPr>
            </w:pPr>
            <w:r>
              <w:rPr>
                <w:rFonts w:ascii="Arial" w:cs="Arial" w:eastAsia="Arial" w:hAnsi="Arial"/>
                <w:sz w:val="14"/>
                <w:szCs w:val="14"/>
                <w:b w:val="1"/>
                <w:bCs w:val="1"/>
                <w:color w:val="auto"/>
                <w:w w:val="88"/>
              </w:rPr>
              <w:t>Quoted Prices in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520"/>
              <w:spacing w:after="0" w:line="126"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91"/>
              </w:rPr>
              <w:t>Active Markets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5"/>
              </w:rPr>
              <w:t>other</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93"/>
              </w:rPr>
              <w:t>for Identical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0"/>
        </w:trPr>
        <w:tc>
          <w:tcPr>
            <w:tcW w:w="30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3"/>
              <w:spacing w:after="0" w:line="141" w:lineRule="exact"/>
              <w:rPr>
                <w:sz w:val="20"/>
                <w:szCs w:val="20"/>
                <w:color w:val="auto"/>
              </w:rPr>
            </w:pPr>
            <w:r>
              <w:rPr>
                <w:rFonts w:ascii="Arial" w:cs="Arial" w:eastAsia="Arial" w:hAnsi="Arial"/>
                <w:sz w:val="14"/>
                <w:szCs w:val="14"/>
                <w:b w:val="1"/>
                <w:bCs w:val="1"/>
                <w:color w:val="auto"/>
                <w:w w:val="93"/>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7"/>
              </w:rPr>
              <w:t>(Level 1)</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7"/>
              </w:rPr>
              <w:t>(Level 2)</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14"/>
                <w:szCs w:val="14"/>
                <w:color w:val="auto"/>
              </w:rPr>
              <w:t>(1)</w:t>
            </w:r>
          </w:p>
        </w:tc>
        <w:tc>
          <w:tcPr>
            <w:tcW w:w="1760" w:type="dxa"/>
            <w:vAlign w:val="bottom"/>
            <w:gridSpan w:val="2"/>
            <w:shd w:val="clear" w:color="auto" w:fill="CFF0FC"/>
          </w:tcPr>
          <w:p>
            <w:pPr>
              <w:jc w:val="right"/>
              <w:ind w:right="10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51,713</w:t>
            </w:r>
          </w:p>
        </w:tc>
        <w:tc>
          <w:tcPr>
            <w:tcW w:w="420" w:type="dxa"/>
            <w:vAlign w:val="bottom"/>
            <w:gridSpan w:val="2"/>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51,713</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FF0FC"/>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Debt securities</w:t>
            </w:r>
          </w:p>
        </w:tc>
        <w:tc>
          <w:tcPr>
            <w:tcW w:w="15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61,479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61,479</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15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113,192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51,713</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61,479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FF0FC"/>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0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Fair Value Measurement at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87"/>
              </w:rPr>
              <w:t>December 31, 2020</w:t>
            </w: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107"/>
              <w:spacing w:after="0" w:line="126" w:lineRule="exact"/>
              <w:rPr>
                <w:sz w:val="20"/>
                <w:szCs w:val="20"/>
                <w:color w:val="auto"/>
              </w:rPr>
            </w:pPr>
            <w:r>
              <w:rPr>
                <w:rFonts w:ascii="Arial" w:cs="Arial" w:eastAsia="Arial" w:hAnsi="Arial"/>
                <w:sz w:val="14"/>
                <w:szCs w:val="14"/>
                <w:b w:val="1"/>
                <w:bCs w:val="1"/>
                <w:color w:val="auto"/>
                <w:w w:val="88"/>
              </w:rPr>
              <w:t>Quoted Prices in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gridSpan w:val="2"/>
          </w:tcPr>
          <w:p>
            <w:pPr>
              <w:jc w:val="center"/>
              <w:ind w:right="520"/>
              <w:spacing w:after="0" w:line="126" w:lineRule="exact"/>
              <w:rPr>
                <w:sz w:val="20"/>
                <w:szCs w:val="20"/>
                <w:color w:val="auto"/>
              </w:rPr>
            </w:pPr>
            <w:r>
              <w:rPr>
                <w:rFonts w:ascii="Arial" w:cs="Arial" w:eastAsia="Arial" w:hAnsi="Arial"/>
                <w:sz w:val="14"/>
                <w:szCs w:val="14"/>
                <w:b w:val="1"/>
                <w:bCs w:val="1"/>
                <w:color w:val="auto"/>
                <w:w w:val="86"/>
              </w:rPr>
              <w:t>Significant</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91"/>
              </w:rPr>
              <w:t>Active Markets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5"/>
              </w:rPr>
              <w:t>other</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93"/>
              </w:rPr>
              <w:t>for Identical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86"/>
              </w:rPr>
              <w:t>Observable</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40"/>
        </w:trPr>
        <w:tc>
          <w:tcPr>
            <w:tcW w:w="308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3"/>
              <w:spacing w:after="0" w:line="141" w:lineRule="exact"/>
              <w:rPr>
                <w:sz w:val="20"/>
                <w:szCs w:val="20"/>
                <w:color w:val="auto"/>
              </w:rPr>
            </w:pPr>
            <w:r>
              <w:rPr>
                <w:rFonts w:ascii="Arial" w:cs="Arial" w:eastAsia="Arial" w:hAnsi="Arial"/>
                <w:sz w:val="14"/>
                <w:szCs w:val="14"/>
                <w:b w:val="1"/>
                <w:bCs w:val="1"/>
                <w:color w:val="auto"/>
                <w:w w:val="93"/>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107"/>
              <w:spacing w:after="0" w:line="141"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520"/>
              <w:spacing w:after="0" w:line="141"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3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87"/>
              </w:rPr>
              <w:t>(Level 1)</w:t>
            </w: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7"/>
              </w:rPr>
              <w:t>(Level 2)</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FF0FC"/>
          </w:tcPr>
          <w:p>
            <w:pPr>
              <w:spacing w:after="0"/>
              <w:rPr>
                <w:sz w:val="20"/>
                <w:szCs w:val="20"/>
                <w:color w:val="auto"/>
              </w:rPr>
            </w:pPr>
            <w:r>
              <w:rPr>
                <w:rFonts w:ascii="Arial" w:cs="Arial" w:eastAsia="Arial" w:hAnsi="Arial"/>
                <w:sz w:val="17"/>
                <w:szCs w:val="17"/>
                <w:color w:val="auto"/>
              </w:rPr>
              <w:t>Money market funds</w:t>
            </w:r>
            <w:r>
              <w:rPr>
                <w:rFonts w:ascii="Arial" w:cs="Arial" w:eastAsia="Arial" w:hAnsi="Arial"/>
                <w:sz w:val="14"/>
                <w:szCs w:val="14"/>
                <w:color w:val="auto"/>
              </w:rPr>
              <w:t>(1)</w:t>
            </w:r>
          </w:p>
        </w:tc>
        <w:tc>
          <w:tcPr>
            <w:tcW w:w="15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142,904</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142,904</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Arial" w:cs="Arial" w:eastAsia="Arial" w:hAnsi="Arial"/>
                <w:sz w:val="17"/>
                <w:szCs w:val="17"/>
                <w:color w:val="auto"/>
              </w:rPr>
              <w:t>Total</w:t>
            </w:r>
          </w:p>
        </w:tc>
        <w:tc>
          <w:tcPr>
            <w:tcW w:w="1760" w:type="dxa"/>
            <w:vAlign w:val="bottom"/>
            <w:gridSpan w:val="2"/>
          </w:tcPr>
          <w:p>
            <w:pPr>
              <w:jc w:val="right"/>
              <w:ind w:right="106"/>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142,904</w:t>
            </w:r>
          </w:p>
        </w:tc>
        <w:tc>
          <w:tcPr>
            <w:tcW w:w="42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142,904</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560" w:right="20" w:hanging="277"/>
        <w:spacing w:after="0" w:line="199" w:lineRule="auto"/>
        <w:tabs>
          <w:tab w:leader="none" w:pos="560" w:val="left"/>
        </w:tabs>
        <w:numPr>
          <w:ilvl w:val="1"/>
          <w:numId w:val="6"/>
        </w:numPr>
        <w:rPr>
          <w:rFonts w:ascii="Arial" w:cs="Arial" w:eastAsia="Arial" w:hAnsi="Arial"/>
          <w:sz w:val="27"/>
          <w:szCs w:val="27"/>
          <w:color w:val="auto"/>
          <w:vertAlign w:val="superscript"/>
        </w:rPr>
      </w:pPr>
      <w:r>
        <w:rPr>
          <w:rFonts w:ascii="Arial" w:cs="Arial" w:eastAsia="Arial" w:hAnsi="Arial"/>
          <w:sz w:val="17"/>
          <w:szCs w:val="17"/>
          <w:color w:val="auto"/>
        </w:rPr>
        <w:t>Money market funds with maturities of 90 days or less at the date of purchase are included within cash and cash equivalents in the accompanying condensed consolidated balance sheets and are recognized at fair value.</w:t>
      </w:r>
    </w:p>
    <w:p>
      <w:pPr>
        <w:spacing w:after="0" w:line="189" w:lineRule="exact"/>
        <w:rPr>
          <w:rFonts w:ascii="Arial" w:cs="Arial" w:eastAsia="Arial" w:hAnsi="Arial"/>
          <w:sz w:val="27"/>
          <w:szCs w:val="27"/>
          <w:color w:val="auto"/>
          <w:vertAlign w:val="superscript"/>
        </w:rPr>
      </w:pPr>
    </w:p>
    <w:p>
      <w:pPr>
        <w:ind w:left="180" w:hanging="178"/>
        <w:spacing w:after="0"/>
        <w:tabs>
          <w:tab w:leader="none" w:pos="1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PREPAID EXPENSES AND OTHER CURRENT ASSETS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consist of the following (in thousands):</w:t>
      </w:r>
    </w:p>
    <w:p>
      <w:pPr>
        <w:spacing w:after="0" w:line="29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59"/>
              <w:spacing w:after="0"/>
              <w:rPr>
                <w:sz w:val="20"/>
                <w:szCs w:val="20"/>
                <w:color w:val="auto"/>
              </w:rPr>
            </w:pPr>
            <w:r>
              <w:rPr>
                <w:rFonts w:ascii="Arial" w:cs="Arial" w:eastAsia="Arial" w:hAnsi="Arial"/>
                <w:sz w:val="14"/>
                <w:szCs w:val="14"/>
                <w:b w:val="1"/>
                <w:bCs w:val="1"/>
                <w:color w:val="auto"/>
                <w:w w:val="90"/>
              </w:rPr>
              <w:t>December 31,</w:t>
            </w:r>
          </w:p>
        </w:tc>
      </w:tr>
      <w:tr>
        <w:trPr>
          <w:trHeight w:val="161"/>
        </w:trPr>
        <w:tc>
          <w:tcPr>
            <w:tcW w:w="440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Contract research and development costs</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3,330</w:t>
            </w: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1,620</w:t>
            </w: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Research and development tax credit receivable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856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1,808</w:t>
            </w:r>
          </w:p>
        </w:tc>
      </w:tr>
      <w:tr>
        <w:trPr>
          <w:trHeight w:val="217"/>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Prepaid insurance costs</w:t>
            </w: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1,642</w:t>
            </w:r>
          </w:p>
        </w:tc>
      </w:tr>
      <w:tr>
        <w:trPr>
          <w:trHeight w:val="216"/>
        </w:trPr>
        <w:tc>
          <w:tcPr>
            <w:tcW w:w="4400" w:type="dxa"/>
            <w:vAlign w:val="bottom"/>
          </w:tcPr>
          <w:p>
            <w:pPr>
              <w:spacing w:after="0"/>
              <w:rPr>
                <w:sz w:val="20"/>
                <w:szCs w:val="20"/>
                <w:color w:val="auto"/>
              </w:rPr>
            </w:pPr>
            <w:r>
              <w:rPr>
                <w:rFonts w:ascii="Arial" w:cs="Arial" w:eastAsia="Arial" w:hAnsi="Arial"/>
                <w:sz w:val="17"/>
                <w:szCs w:val="17"/>
                <w:color w:val="auto"/>
              </w:rPr>
              <w:t>Value-added tax refund receivable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401</w:t>
            </w:r>
          </w:p>
        </w:tc>
      </w:tr>
      <w:tr>
        <w:trPr>
          <w:trHeight w:val="217"/>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9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242</w:t>
            </w:r>
          </w:p>
        </w:tc>
      </w:tr>
      <w:tr>
        <w:trPr>
          <w:trHeight w:val="209"/>
        </w:trPr>
        <w:tc>
          <w:tcPr>
            <w:tcW w:w="4400" w:type="dxa"/>
            <w:vAlign w:val="bottom"/>
          </w:tcPr>
          <w:p>
            <w:pPr>
              <w:ind w:left="220"/>
              <w:spacing w:after="0"/>
              <w:rPr>
                <w:sz w:val="20"/>
                <w:szCs w:val="20"/>
                <w:color w:val="auto"/>
              </w:rPr>
            </w:pPr>
            <w:r>
              <w:rPr>
                <w:rFonts w:ascii="Arial" w:cs="Arial" w:eastAsia="Arial" w:hAnsi="Arial"/>
                <w:sz w:val="17"/>
                <w:szCs w:val="17"/>
                <w:color w:val="auto"/>
              </w:rPr>
              <w:t>Total prepaid expenses and other current assets</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4,864</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9"/>
              <w:spacing w:after="0"/>
              <w:rPr>
                <w:sz w:val="20"/>
                <w:szCs w:val="20"/>
                <w:color w:val="auto"/>
              </w:rPr>
            </w:pPr>
            <w:r>
              <w:rPr>
                <w:rFonts w:ascii="Arial" w:cs="Arial" w:eastAsia="Arial" w:hAnsi="Arial"/>
                <w:sz w:val="17"/>
                <w:szCs w:val="17"/>
                <w:color w:val="auto"/>
              </w:rPr>
              <w:t>5,713</w:t>
            </w:r>
          </w:p>
        </w:tc>
      </w:tr>
      <w:tr>
        <w:trPr>
          <w:trHeight w:val="20"/>
        </w:trPr>
        <w:tc>
          <w:tcPr>
            <w:tcW w:w="4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LEASES</w:t>
      </w:r>
    </w:p>
    <w:p>
      <w:pPr>
        <w:spacing w:after="0" w:line="217"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Company has an operating lease for its corporate headquarters in Copenhagen, Denmark for office space that expires in January 2025. The Company also has a lease agreement for office space in London, United Kingdom, that expires August 2022 and has a renewal option and a lease agreement for office space in Gothenburg, Sweden, that expires in September 2022. The Company also has an operating lease agreement for laboratory space in Stevenage, United Kingdom.</w:t>
      </w:r>
    </w:p>
    <w:p>
      <w:pPr>
        <w:spacing w:after="0" w:line="14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Company’s finance leases are immaterial both individually and in the aggregate. The Company has elected to apply the short-term lease exception to all leases of one year or less.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Quantitative information regarding the Company’s leases for the three and nine months ended September 30, 2021 and 2020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60" w:type="dxa"/>
            <w:vAlign w:val="bottom"/>
            <w:gridSpan w:val="2"/>
            <w:vMerge w:val="restart"/>
          </w:tcPr>
          <w:p>
            <w:pPr>
              <w:ind w:left="580"/>
              <w:spacing w:after="0"/>
              <w:rPr>
                <w:sz w:val="20"/>
                <w:szCs w:val="20"/>
                <w:color w:val="auto"/>
              </w:rPr>
            </w:pPr>
            <w:r>
              <w:rPr>
                <w:rFonts w:ascii="Arial" w:cs="Arial" w:eastAsia="Arial" w:hAnsi="Arial"/>
                <w:sz w:val="15"/>
                <w:szCs w:val="15"/>
                <w:b w:val="1"/>
                <w:bCs w:val="1"/>
                <w:color w:val="auto"/>
              </w:rPr>
              <w:t>Lease Cost</w:t>
            </w:r>
          </w:p>
        </w:tc>
        <w:tc>
          <w:tcPr>
            <w:tcW w:w="9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8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ind w:right="39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ind w:right="399"/>
              <w:spacing w:after="0"/>
              <w:rPr>
                <w:sz w:val="20"/>
                <w:szCs w:val="20"/>
                <w:color w:val="auto"/>
              </w:rPr>
            </w:pPr>
            <w:r>
              <w:rPr>
                <w:rFonts w:ascii="Arial" w:cs="Arial" w:eastAsia="Arial" w:hAnsi="Arial"/>
                <w:sz w:val="14"/>
                <w:szCs w:val="14"/>
                <w:b w:val="1"/>
                <w:bCs w:val="1"/>
                <w:color w:val="auto"/>
                <w:w w:val="96"/>
              </w:rPr>
              <w:t>2020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15"/>
                <w:szCs w:val="15"/>
                <w:color w:val="auto"/>
              </w:rPr>
              <w:t>(in thousands)</w:t>
            </w: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vMerge w:val="continue"/>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130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65</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374</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60" w:type="dxa"/>
            <w:vAlign w:val="bottom"/>
            <w:gridSpan w:val="2"/>
          </w:tcPr>
          <w:p>
            <w:pPr>
              <w:ind w:left="580"/>
              <w:spacing w:after="0"/>
              <w:rPr>
                <w:sz w:val="20"/>
                <w:szCs w:val="20"/>
                <w:color w:val="auto"/>
              </w:rPr>
            </w:pPr>
            <w:r>
              <w:rPr>
                <w:rFonts w:ascii="Arial" w:cs="Arial" w:eastAsia="Arial" w:hAnsi="Arial"/>
                <w:sz w:val="15"/>
                <w:szCs w:val="15"/>
                <w:b w:val="1"/>
                <w:bCs w:val="1"/>
                <w:color w:val="auto"/>
              </w:rPr>
              <w:t>Other Information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flows paid for amounts included</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2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in the measurement of lease liabilities </w:t>
            </w:r>
            <w:r>
              <w:rPr>
                <w:rFonts w:ascii="Arial" w:cs="Arial" w:eastAsia="Arial" w:hAnsi="Arial"/>
                <w:sz w:val="15"/>
                <w:szCs w:val="15"/>
                <w:color w:val="auto"/>
              </w:rPr>
              <w:t>(in thousands)</w:t>
            </w:r>
          </w:p>
        </w:tc>
        <w:tc>
          <w:tcPr>
            <w:tcW w:w="1200" w:type="dxa"/>
            <w:vAlign w:val="bottom"/>
            <w:gridSpan w:val="2"/>
            <w:shd w:val="clear" w:color="auto" w:fill="CFF0FC"/>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142</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7"/>
                <w:szCs w:val="17"/>
                <w:color w:val="auto"/>
              </w:rPr>
              <w:t>67</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403</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gridSpan w:val="2"/>
          </w:tcPr>
          <w:p>
            <w:pPr>
              <w:ind w:left="580"/>
              <w:spacing w:after="0"/>
              <w:rPr>
                <w:sz w:val="20"/>
                <w:szCs w:val="20"/>
                <w:color w:val="auto"/>
              </w:rPr>
            </w:pPr>
            <w:r>
              <w:rPr>
                <w:rFonts w:ascii="Arial" w:cs="Arial" w:eastAsia="Arial" w:hAnsi="Arial"/>
                <w:sz w:val="17"/>
                <w:szCs w:val="17"/>
                <w:color w:val="auto"/>
              </w:rPr>
              <w:t>Operating lease liabilities arising from obtaining</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120"/>
              <w:spacing w:after="0"/>
              <w:rPr>
                <w:sz w:val="20"/>
                <w:szCs w:val="20"/>
                <w:color w:val="auto"/>
              </w:rPr>
            </w:pPr>
            <w:r>
              <w:rPr>
                <w:rFonts w:ascii="Arial" w:cs="Arial" w:eastAsia="Arial" w:hAnsi="Arial"/>
                <w:sz w:val="17"/>
                <w:szCs w:val="17"/>
                <w:color w:val="auto"/>
              </w:rPr>
              <w:t xml:space="preserve">right-of-use assets </w:t>
            </w:r>
            <w:r>
              <w:rPr>
                <w:rFonts w:ascii="Arial" w:cs="Arial" w:eastAsia="Arial" w:hAnsi="Arial"/>
                <w:sz w:val="15"/>
                <w:szCs w:val="15"/>
                <w:color w:val="auto"/>
              </w:rPr>
              <w:t>(in thousands)</w:t>
            </w:r>
          </w:p>
        </w:tc>
        <w:tc>
          <w:tcPr>
            <w:tcW w:w="120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409</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420</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3"/>
              <w:spacing w:after="0"/>
              <w:rPr>
                <w:sz w:val="20"/>
                <w:szCs w:val="20"/>
                <w:color w:val="auto"/>
              </w:rPr>
            </w:pPr>
            <w:r>
              <w:rPr>
                <w:rFonts w:ascii="Arial" w:cs="Arial" w:eastAsia="Arial" w:hAnsi="Arial"/>
                <w:sz w:val="17"/>
                <w:szCs w:val="17"/>
                <w:color w:val="auto"/>
              </w:rPr>
              <w:t>409</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672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spacing w:after="0"/>
        <w:rPr>
          <w:sz w:val="20"/>
          <w:szCs w:val="20"/>
          <w:color w:val="auto"/>
        </w:rPr>
      </w:pPr>
      <w:r>
        <w:rPr>
          <w:rFonts w:ascii="Arial" w:cs="Arial" w:eastAsia="Arial" w:hAnsi="Arial"/>
          <w:sz w:val="15"/>
          <w:szCs w:val="15"/>
          <w:color w:val="auto"/>
        </w:rPr>
        <w:t>As of September 30, 2021 and December 31, 2020, the weighted average remaining lease term for operating leases was 2.6 years and 2.8 years, respectively.</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2021 and December 31, 2020, the weighted average discount rate for operating leases was 8% for both periods.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liabilities are as follows at September 30, 2021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Operating</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4840" w:type="dxa"/>
            <w:vAlign w:val="bottom"/>
            <w:gridSpan w:val="2"/>
          </w:tcPr>
          <w:p>
            <w:pPr>
              <w:ind w:left="560"/>
              <w:spacing w:after="0"/>
              <w:rPr>
                <w:sz w:val="20"/>
                <w:szCs w:val="20"/>
                <w:color w:val="auto"/>
              </w:rPr>
            </w:pPr>
            <w:r>
              <w:rPr>
                <w:rFonts w:ascii="Arial" w:cs="Arial" w:eastAsia="Arial" w:hAnsi="Arial"/>
                <w:sz w:val="14"/>
                <w:szCs w:val="14"/>
                <w:b w:val="1"/>
                <w:bCs w:val="1"/>
                <w:color w:val="auto"/>
              </w:rPr>
              <w:t>Future Lease Payments</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79"/>
              </w:rPr>
              <w:t>Leases</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2021 (excluding the period ended September 30, 2021)</w:t>
            </w:r>
          </w:p>
        </w:tc>
        <w:tc>
          <w:tcPr>
            <w:tcW w:w="54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4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ind w:right="32"/>
              <w:spacing w:after="0"/>
              <w:rPr>
                <w:sz w:val="20"/>
                <w:szCs w:val="20"/>
                <w:color w:val="auto"/>
              </w:rPr>
            </w:pPr>
            <w:r>
              <w:rPr>
                <w:rFonts w:ascii="Arial" w:cs="Arial" w:eastAsia="Arial" w:hAnsi="Arial"/>
                <w:sz w:val="17"/>
                <w:szCs w:val="17"/>
                <w:color w:val="auto"/>
              </w:rPr>
              <w:t>118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ind w:left="2260"/>
              <w:spacing w:after="0"/>
              <w:rPr>
                <w:sz w:val="20"/>
                <w:szCs w:val="20"/>
                <w:color w:val="auto"/>
              </w:rPr>
            </w:pPr>
            <w:r>
              <w:rPr>
                <w:rFonts w:ascii="Arial" w:cs="Arial" w:eastAsia="Arial" w:hAnsi="Arial"/>
                <w:sz w:val="17"/>
                <w:szCs w:val="17"/>
                <w:color w:val="auto"/>
              </w:rPr>
              <w:t>2022</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7"/>
                <w:szCs w:val="17"/>
                <w:color w:val="auto"/>
              </w:rPr>
              <w:t>438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5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32"/>
              <w:spacing w:after="0"/>
              <w:rPr>
                <w:sz w:val="20"/>
                <w:szCs w:val="20"/>
                <w:color w:val="auto"/>
              </w:rPr>
            </w:pPr>
            <w:r>
              <w:rPr>
                <w:rFonts w:ascii="Arial" w:cs="Arial" w:eastAsia="Arial" w:hAnsi="Arial"/>
                <w:sz w:val="17"/>
                <w:szCs w:val="17"/>
                <w:color w:val="auto"/>
              </w:rPr>
              <w:t>267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3"/>
          </w:tcPr>
          <w:p>
            <w:pPr>
              <w:ind w:left="2260"/>
              <w:spacing w:after="0"/>
              <w:rPr>
                <w:sz w:val="20"/>
                <w:szCs w:val="20"/>
                <w:color w:val="auto"/>
              </w:rPr>
            </w:pPr>
            <w:r>
              <w:rPr>
                <w:rFonts w:ascii="Arial" w:cs="Arial" w:eastAsia="Arial" w:hAnsi="Arial"/>
                <w:sz w:val="17"/>
                <w:szCs w:val="17"/>
                <w:color w:val="auto"/>
              </w:rPr>
              <w:t>2024</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7"/>
                <w:szCs w:val="17"/>
                <w:color w:val="auto"/>
              </w:rPr>
              <w:t>208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5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ind w:right="32"/>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840" w:type="dxa"/>
            <w:vAlign w:val="bottom"/>
            <w:gridSpan w:val="2"/>
          </w:tcPr>
          <w:p>
            <w:pPr>
              <w:ind w:left="560"/>
              <w:spacing w:after="0"/>
              <w:rPr>
                <w:sz w:val="20"/>
                <w:szCs w:val="20"/>
                <w:color w:val="auto"/>
              </w:rPr>
            </w:pPr>
            <w:r>
              <w:rPr>
                <w:rFonts w:ascii="Arial" w:cs="Arial" w:eastAsia="Arial" w:hAnsi="Arial"/>
                <w:sz w:val="17"/>
                <w:szCs w:val="17"/>
                <w:color w:val="auto"/>
              </w:rPr>
              <w:t>Total lease payments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7"/>
                <w:szCs w:val="17"/>
                <w:color w:val="auto"/>
              </w:rPr>
              <w:t>1,048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Less: imputed interest</w:t>
            </w:r>
          </w:p>
        </w:tc>
        <w:tc>
          <w:tcPr>
            <w:tcW w:w="5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(108)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840" w:type="dxa"/>
            <w:vAlign w:val="bottom"/>
            <w:gridSpan w:val="2"/>
          </w:tcPr>
          <w:p>
            <w:pPr>
              <w:ind w:left="560"/>
              <w:spacing w:after="0"/>
              <w:rPr>
                <w:sz w:val="20"/>
                <w:szCs w:val="20"/>
                <w:color w:val="auto"/>
              </w:rPr>
            </w:pPr>
            <w:r>
              <w:rPr>
                <w:rFonts w:ascii="Arial" w:cs="Arial" w:eastAsia="Arial" w:hAnsi="Arial"/>
                <w:sz w:val="17"/>
                <w:szCs w:val="17"/>
                <w:color w:val="auto"/>
              </w:rPr>
              <w:t>Total lease liabilities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7"/>
                <w:szCs w:val="17"/>
                <w:color w:val="auto"/>
              </w:rPr>
              <w:t>940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8. ACCRUED EXPENSES AND OTHER CURRENT LIABILITIES</w:t>
            </w: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5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540" w:type="dxa"/>
            <w:vAlign w:val="bottom"/>
            <w:gridSpan w:val="3"/>
          </w:tcPr>
          <w:p>
            <w:pPr>
              <w:spacing w:after="0"/>
              <w:rPr>
                <w:sz w:val="20"/>
                <w:szCs w:val="20"/>
                <w:color w:val="auto"/>
              </w:rPr>
            </w:pPr>
            <w:r>
              <w:rPr>
                <w:rFonts w:ascii="Arial" w:cs="Arial" w:eastAsia="Arial" w:hAnsi="Arial"/>
                <w:sz w:val="17"/>
                <w:szCs w:val="17"/>
                <w:color w:val="auto"/>
              </w:rPr>
              <w:t>Accrued expenses and other current liabilities consist of the following (in thousands):</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24"/>
                <w:szCs w:val="24"/>
                <w:color w:val="auto"/>
              </w:rPr>
            </w:pPr>
          </w:p>
        </w:tc>
        <w:tc>
          <w:tcPr>
            <w:tcW w:w="1180" w:type="dxa"/>
            <w:vAlign w:val="bottom"/>
            <w:gridSpan w:val="3"/>
          </w:tcPr>
          <w:p>
            <w:pPr>
              <w:jc w:val="center"/>
              <w:ind w:right="15"/>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170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428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Employee compensation costs</w:t>
            </w:r>
          </w:p>
        </w:tc>
        <w:tc>
          <w:tcPr>
            <w:tcW w:w="122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w w:val="89"/>
              </w:rPr>
              <w:t>2,022</w:t>
            </w:r>
          </w:p>
        </w:tc>
        <w:tc>
          <w:tcPr>
            <w:tcW w:w="740" w:type="dxa"/>
            <w:vAlign w:val="bottom"/>
            <w:gridSpan w:val="2"/>
            <w:shd w:val="clear" w:color="auto" w:fill="CFF0FC"/>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9"/>
              </w:rPr>
              <w:t>1,031</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700"/>
              <w:spacing w:after="0"/>
              <w:rPr>
                <w:sz w:val="20"/>
                <w:szCs w:val="20"/>
                <w:color w:val="auto"/>
              </w:rPr>
            </w:pPr>
            <w:r>
              <w:rPr>
                <w:rFonts w:ascii="Arial" w:cs="Arial" w:eastAsia="Arial" w:hAnsi="Arial"/>
                <w:sz w:val="17"/>
                <w:szCs w:val="17"/>
                <w:color w:val="auto"/>
              </w:rPr>
              <w:t>Contract research and development costs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ind w:right="21"/>
              <w:spacing w:after="0"/>
              <w:rPr>
                <w:sz w:val="20"/>
                <w:szCs w:val="20"/>
                <w:color w:val="auto"/>
              </w:rPr>
            </w:pPr>
            <w:r>
              <w:rPr>
                <w:rFonts w:ascii="Arial" w:cs="Arial" w:eastAsia="Arial" w:hAnsi="Arial"/>
                <w:sz w:val="17"/>
                <w:szCs w:val="17"/>
                <w:color w:val="auto"/>
              </w:rPr>
              <w:t>925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967</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Lease liabilities, current</w:t>
            </w:r>
          </w:p>
        </w:tc>
        <w:tc>
          <w:tcPr>
            <w:tcW w:w="5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428</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16"/>
        </w:trPr>
        <w:tc>
          <w:tcPr>
            <w:tcW w:w="6540" w:type="dxa"/>
            <w:vAlign w:val="bottom"/>
            <w:gridSpan w:val="3"/>
          </w:tcPr>
          <w:p>
            <w:pPr>
              <w:ind w:left="1700"/>
              <w:spacing w:after="0"/>
              <w:rPr>
                <w:sz w:val="20"/>
                <w:szCs w:val="20"/>
                <w:color w:val="auto"/>
              </w:rPr>
            </w:pPr>
            <w:r>
              <w:rPr>
                <w:rFonts w:ascii="Arial" w:cs="Arial" w:eastAsia="Arial" w:hAnsi="Arial"/>
                <w:sz w:val="17"/>
                <w:szCs w:val="17"/>
                <w:color w:val="auto"/>
              </w:rPr>
              <w:t>Other liabilities</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ind w:right="21"/>
              <w:spacing w:after="0"/>
              <w:rPr>
                <w:sz w:val="20"/>
                <w:szCs w:val="20"/>
                <w:color w:val="auto"/>
              </w:rPr>
            </w:pPr>
            <w:r>
              <w:rPr>
                <w:rFonts w:ascii="Arial" w:cs="Arial" w:eastAsia="Arial" w:hAnsi="Arial"/>
                <w:sz w:val="17"/>
                <w:szCs w:val="17"/>
                <w:color w:val="auto"/>
              </w:rPr>
              <w:t>387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40" w:type="dxa"/>
            <w:vAlign w:val="bottom"/>
            <w:gridSpan w:val="2"/>
            <w:vMerge w:val="restart"/>
            <w:shd w:val="clear" w:color="auto" w:fill="CFF0FC"/>
          </w:tcPr>
          <w:p>
            <w:pPr>
              <w:ind w:left="220"/>
              <w:spacing w:after="0"/>
              <w:rPr>
                <w:sz w:val="20"/>
                <w:szCs w:val="20"/>
                <w:color w:val="auto"/>
              </w:rPr>
            </w:pPr>
            <w:r>
              <w:rPr>
                <w:rFonts w:ascii="Arial" w:cs="Arial" w:eastAsia="Arial" w:hAnsi="Arial"/>
                <w:sz w:val="17"/>
                <w:szCs w:val="17"/>
                <w:color w:val="auto"/>
              </w:rPr>
              <w:t>Total accrued expenses and other current liabilities</w:t>
            </w:r>
          </w:p>
        </w:tc>
        <w:tc>
          <w:tcPr>
            <w:tcW w:w="5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4840" w:type="dxa"/>
            <w:vAlign w:val="bottom"/>
            <w:gridSpan w:val="2"/>
            <w:vMerge w:val="continue"/>
            <w:shd w:val="clear" w:color="auto" w:fill="CFF0FC"/>
          </w:tcPr>
          <w:p>
            <w:pPr>
              <w:spacing w:after="0"/>
              <w:rPr>
                <w:sz w:val="18"/>
                <w:szCs w:val="18"/>
                <w:color w:val="auto"/>
              </w:rPr>
            </w:pPr>
          </w:p>
        </w:tc>
        <w:tc>
          <w:tcPr>
            <w:tcW w:w="122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w w:val="89"/>
              </w:rPr>
              <w:t>3,762</w:t>
            </w:r>
          </w:p>
        </w:tc>
        <w:tc>
          <w:tcPr>
            <w:tcW w:w="740" w:type="dxa"/>
            <w:vAlign w:val="bottom"/>
            <w:gridSpan w:val="2"/>
            <w:shd w:val="clear" w:color="auto" w:fill="CFF0FC"/>
          </w:tcPr>
          <w:p>
            <w:pPr>
              <w:jc w:val="right"/>
              <w:ind w:right="472"/>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9"/>
              </w:rPr>
              <w:t>2,715</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2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1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The Company’s commitments and contingencies are disclosed in Note 8 of the audited consolidated financial statements as of and for the year ended December 31, 2020, filed with the SEC on March 29, 2021. There have been no material changes to the Company’s commitments and contingencies since the date of such financial statements. Further, the Company’s commitments related to lease agreements are disclosed in Note 7 to the Company’s unaudited interim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equity plan</w:t>
      </w:r>
    </w:p>
    <w:p>
      <w:pPr>
        <w:spacing w:after="0" w:line="23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March 2020, the Company replaced its 2013 Option Program (“2013 Plan”) with its 2020 Stock Option and Grant Plan (“2020 Plan”). The 2020 Plan initially allowed the Company to award up to 1,740,325 options and the 304,142 outstanding options granted under the 2013 Plan were transferred to the 2020 Plan. Each vested option entitles the option holder to purchase a single common share in the Company. Holders of stock options are entitled to exercise the vested portion of the stock option during the term of the grant. If a qualified exit, as defined in the 2020 Plan, occurs then all of the holders’ unvested options shall vest immediately. Options that are not exercised during the exercise period will automatically be forfeited. Stock options generally vest over a four-year period and expire ten years from the grant date. In September 2020, the Company approved an additional 839,494 options to be awarded under the 2020 Plan.</w:t>
      </w:r>
    </w:p>
    <w:p>
      <w:pPr>
        <w:spacing w:after="0" w:line="169" w:lineRule="exact"/>
        <w:rPr>
          <w:sz w:val="20"/>
          <w:szCs w:val="20"/>
          <w:color w:val="auto"/>
        </w:rPr>
      </w:pPr>
    </w:p>
    <w:p>
      <w:pPr>
        <w:jc w:val="both"/>
        <w:ind w:right="240"/>
        <w:spacing w:after="0" w:line="276" w:lineRule="auto"/>
        <w:rPr>
          <w:sz w:val="20"/>
          <w:szCs w:val="20"/>
          <w:color w:val="auto"/>
        </w:rPr>
      </w:pPr>
      <w:r>
        <w:rPr>
          <w:rFonts w:ascii="Arial" w:cs="Arial" w:eastAsia="Arial" w:hAnsi="Arial"/>
          <w:sz w:val="16"/>
          <w:szCs w:val="16"/>
          <w:color w:val="auto"/>
        </w:rPr>
        <w:t>In October 2020, the Board of Directors and stockholders of the Company approved the 2020 Equity Incentive Plan (“2020 Equity Plan”). The 2020 Equity Plan allows the Company to award up to 1,625,858 options, as well as up to 2,512,427 outstanding options granted under the 2020 Plan at the time of approval of the 2020 Equity Plan, to the extent such outstanding options are forfeited or cancelled. No further options were available to be issued under the 2020 Plan. The 2020 Equity Plan will cumulatively increase by 5 percent of the number of shares of common stock issued and outstanding on January 1st each year. At September 30, 2021, the Company had 1,476,632 options available for future grant under the 2020 Equity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The following table sets forth the activity for the Company’s stock options during the periods presented:</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8"/>
              </w:rPr>
              <w:t>Weighted-</w:t>
            </w:r>
          </w:p>
        </w:tc>
        <w:tc>
          <w:tcPr>
            <w:tcW w:w="1120" w:type="dxa"/>
            <w:vAlign w:val="bottom"/>
          </w:tcPr>
          <w:p>
            <w:pPr>
              <w:jc w:val="center"/>
              <w:ind w:right="62"/>
              <w:spacing w:after="0" w:line="141"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average</w:t>
            </w:r>
          </w:p>
        </w:tc>
        <w:tc>
          <w:tcPr>
            <w:tcW w:w="112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tcPr>
          <w:p>
            <w:pPr>
              <w:jc w:val="center"/>
              <w:ind w:right="62"/>
              <w:spacing w:after="0" w:line="141"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9"/>
              <w:spacing w:after="0" w:line="141"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120" w:type="dxa"/>
            <w:vAlign w:val="bottom"/>
          </w:tcPr>
          <w:p>
            <w:pPr>
              <w:jc w:val="right"/>
              <w:ind w:right="218"/>
              <w:spacing w:after="0" w:line="141"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87"/>
              </w:rPr>
              <w:t>price per</w:t>
            </w:r>
          </w:p>
        </w:tc>
        <w:tc>
          <w:tcPr>
            <w:tcW w:w="112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92"/>
              </w:rPr>
              <w:t>term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59"/>
              <w:spacing w:after="0" w:line="141"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528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5"/>
              </w:rPr>
              <w:t>share</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6"/>
              </w:rPr>
              <w:t>(in years)</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December 31, 2019</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304,142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2,235,285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7"/>
                <w:szCs w:val="17"/>
                <w:color w:val="auto"/>
              </w:rPr>
              <w:t>4.67</w:t>
            </w:r>
          </w:p>
        </w:tc>
        <w:tc>
          <w:tcPr>
            <w:tcW w:w="12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5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Exercised</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7"/>
                <w:szCs w:val="17"/>
                <w:color w:val="auto"/>
              </w:rPr>
              <w:t>Outstanding at December 31, 2020</w:t>
            </w: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2,538,411</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
              <w:spacing w:after="0"/>
              <w:rPr>
                <w:sz w:val="20"/>
                <w:szCs w:val="20"/>
                <w:color w:val="auto"/>
              </w:rPr>
            </w:pPr>
            <w:r>
              <w:rPr>
                <w:rFonts w:ascii="Arial" w:cs="Arial" w:eastAsia="Arial" w:hAnsi="Arial"/>
                <w:sz w:val="17"/>
                <w:szCs w:val="17"/>
                <w:color w:val="auto"/>
              </w:rPr>
              <w:t>4.67</w:t>
            </w:r>
          </w:p>
        </w:tc>
        <w:tc>
          <w:tcPr>
            <w:tcW w:w="12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7"/>
                <w:szCs w:val="17"/>
                <w:color w:val="auto"/>
              </w:rPr>
              <w:t>8.8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20,009,769</w:t>
            </w:r>
          </w:p>
        </w:tc>
        <w:tc>
          <w:tcPr>
            <w:tcW w:w="0" w:type="dxa"/>
            <w:vAlign w:val="bottom"/>
          </w:tcPr>
          <w:p>
            <w:pPr>
              <w:spacing w:after="0"/>
              <w:rPr>
                <w:sz w:val="1"/>
                <w:szCs w:val="1"/>
                <w:color w:val="auto"/>
              </w:rPr>
            </w:pPr>
          </w:p>
        </w:tc>
      </w:tr>
      <w:tr>
        <w:trPr>
          <w:trHeight w:val="217"/>
        </w:trPr>
        <w:tc>
          <w:tcPr>
            <w:tcW w:w="52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Granted</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1,556,000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9.79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8,160</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(170,683)</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7.63</w:t>
            </w:r>
          </w:p>
        </w:tc>
        <w:tc>
          <w:tcPr>
            <w:tcW w:w="1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Outstanding at September 30, 2021</w:t>
            </w: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3,923,728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6.57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8.5</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2,061,624</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Vested at September 30, 2021</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80" w:type="dxa"/>
            <w:vAlign w:val="bottom"/>
            <w:vMerge w:val="continue"/>
          </w:tcPr>
          <w:p>
            <w:pPr>
              <w:spacing w:after="0"/>
              <w:rPr>
                <w:sz w:val="18"/>
                <w:szCs w:val="18"/>
                <w:color w:val="auto"/>
              </w:rPr>
            </w:pPr>
          </w:p>
        </w:tc>
        <w:tc>
          <w:tcPr>
            <w:tcW w:w="1120" w:type="dxa"/>
            <w:vAlign w:val="bottom"/>
          </w:tcPr>
          <w:p>
            <w:pPr>
              <w:jc w:val="right"/>
              <w:ind w:right="38"/>
              <w:spacing w:after="0"/>
              <w:rPr>
                <w:sz w:val="20"/>
                <w:szCs w:val="20"/>
                <w:color w:val="auto"/>
              </w:rPr>
            </w:pPr>
            <w:r>
              <w:rPr>
                <w:rFonts w:ascii="Arial" w:cs="Arial" w:eastAsia="Arial" w:hAnsi="Arial"/>
                <w:sz w:val="17"/>
                <w:szCs w:val="17"/>
                <w:color w:val="auto"/>
              </w:rPr>
              <w:t>3,619,586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
              <w:spacing w:after="0"/>
              <w:rPr>
                <w:sz w:val="20"/>
                <w:szCs w:val="20"/>
                <w:color w:val="auto"/>
              </w:rPr>
            </w:pPr>
            <w:r>
              <w:rPr>
                <w:rFonts w:ascii="Arial" w:cs="Arial" w:eastAsia="Arial" w:hAnsi="Arial"/>
                <w:sz w:val="17"/>
                <w:szCs w:val="17"/>
                <w:color w:val="auto"/>
              </w:rPr>
              <w:t>6.67</w:t>
            </w:r>
          </w:p>
        </w:tc>
        <w:tc>
          <w:tcPr>
            <w:tcW w:w="12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7"/>
                <w:szCs w:val="17"/>
                <w:color w:val="auto"/>
              </w:rPr>
              <w:t>9.0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
              <w:spacing w:after="0"/>
              <w:rPr>
                <w:sz w:val="20"/>
                <w:szCs w:val="20"/>
                <w:color w:val="auto"/>
              </w:rPr>
            </w:pPr>
            <w:r>
              <w:rPr>
                <w:rFonts w:ascii="Arial" w:cs="Arial" w:eastAsia="Arial" w:hAnsi="Arial"/>
                <w:sz w:val="17"/>
                <w:szCs w:val="17"/>
                <w:color w:val="auto"/>
              </w:rPr>
              <w:t>2,061,624</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Exercisable at September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vMerge w:val="continue"/>
            <w:shd w:val="clear" w:color="auto" w:fill="CFF0FC"/>
          </w:tcPr>
          <w:p>
            <w:pPr>
              <w:spacing w:after="0"/>
              <w:rPr>
                <w:sz w:val="16"/>
                <w:szCs w:val="16"/>
                <w:color w:val="auto"/>
              </w:rPr>
            </w:pPr>
          </w:p>
        </w:tc>
        <w:tc>
          <w:tcPr>
            <w:tcW w:w="11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1,266,116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3.97</w:t>
            </w: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7"/>
                <w:szCs w:val="17"/>
                <w:color w:val="auto"/>
              </w:rPr>
              <w:t>7.2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1,173,185</w:t>
            </w:r>
          </w:p>
        </w:tc>
        <w:tc>
          <w:tcPr>
            <w:tcW w:w="0" w:type="dxa"/>
            <w:vAlign w:val="bottom"/>
          </w:tcPr>
          <w:p>
            <w:pPr>
              <w:spacing w:after="0"/>
              <w:rPr>
                <w:sz w:val="1"/>
                <w:szCs w:val="1"/>
                <w:color w:val="auto"/>
              </w:rPr>
            </w:pPr>
          </w:p>
        </w:tc>
      </w:tr>
      <w:tr>
        <w:trPr>
          <w:trHeight w:val="20"/>
        </w:trPr>
        <w:tc>
          <w:tcPr>
            <w:tcW w:w="52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weighted-average grant date fair value of all stock options granted for the nine months ended September 30, 2021 was $7.23. The intrinsic value at September 30, 2021 and December 31, 2020 was based on the closing price of the Company’s common stock on that date of $3.59 per share and $12.51 per share,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3"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grant date fair value of stock options vested during the nine months ended September 30, 2021 was $1.9 million. Total unrecognized compensation expense related to unvested options granted under the Company’s stock-based compensation plan was $13.5 million at September 30, 2021, which is expected to be recognized over a weighted average period of 3.1 years. The Company recorded stock-based compensation expense related to the issuance of stock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20" w:type="dxa"/>
            <w:vAlign w:val="bottom"/>
            <w:gridSpan w:val="5"/>
          </w:tcPr>
          <w:p>
            <w:pPr>
              <w:jc w:val="center"/>
              <w:ind w:left="272"/>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gridSpan w:val="4"/>
          </w:tcPr>
          <w:p>
            <w:pPr>
              <w:jc w:val="center"/>
              <w:ind w:right="460"/>
              <w:spacing w:after="0" w:line="153" w:lineRule="exact"/>
              <w:rPr>
                <w:sz w:val="20"/>
                <w:szCs w:val="20"/>
                <w:color w:val="auto"/>
              </w:rPr>
            </w:pPr>
            <w:r>
              <w:rPr>
                <w:rFonts w:ascii="Arial" w:cs="Arial" w:eastAsia="Arial" w:hAnsi="Arial"/>
                <w:sz w:val="14"/>
                <w:szCs w:val="14"/>
                <w:b w:val="1"/>
                <w:bCs w:val="1"/>
                <w:color w:val="auto"/>
                <w:w w:val="87"/>
              </w:rPr>
              <w:t>September 30,</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gridSpan w:val="3"/>
          </w:tcPr>
          <w:p>
            <w:pPr>
              <w:jc w:val="right"/>
              <w:ind w:right="8"/>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35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w:t>
            </w:r>
          </w:p>
        </w:tc>
        <w:tc>
          <w:tcPr>
            <w:tcW w:w="200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516</w:t>
            </w:r>
          </w:p>
        </w:tc>
        <w:tc>
          <w:tcPr>
            <w:tcW w:w="520" w:type="dxa"/>
            <w:vAlign w:val="bottom"/>
            <w:gridSpan w:val="2"/>
            <w:shd w:val="clear" w:color="auto" w:fill="CFF0FC"/>
          </w:tcPr>
          <w:p>
            <w:pPr>
              <w:jc w:val="right"/>
              <w:ind w:right="25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63</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1,372</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580"/>
              <w:spacing w:after="0"/>
              <w:rPr>
                <w:sz w:val="20"/>
                <w:szCs w:val="20"/>
                <w:color w:val="auto"/>
              </w:rPr>
            </w:pPr>
            <w:r>
              <w:rPr>
                <w:rFonts w:ascii="Arial" w:cs="Arial" w:eastAsia="Arial" w:hAnsi="Arial"/>
                <w:sz w:val="17"/>
                <w:szCs w:val="17"/>
                <w:color w:val="auto"/>
              </w:rPr>
              <w:t>General and administrative</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7"/>
                <w:szCs w:val="17"/>
                <w:color w:val="auto"/>
              </w:rPr>
              <w:t>703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1,865</w:t>
            </w:r>
          </w:p>
        </w:tc>
        <w:tc>
          <w:tcPr>
            <w:tcW w:w="3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vMerge w:val="restart"/>
            <w:shd w:val="clear" w:color="auto" w:fill="CFF0FC"/>
          </w:tcPr>
          <w:p>
            <w:pPr>
              <w:ind w:left="220"/>
              <w:spacing w:after="0"/>
              <w:rPr>
                <w:sz w:val="20"/>
                <w:szCs w:val="20"/>
                <w:color w:val="auto"/>
              </w:rPr>
            </w:pPr>
            <w:r>
              <w:rPr>
                <w:rFonts w:ascii="Arial" w:cs="Arial" w:eastAsia="Arial" w:hAnsi="Arial"/>
                <w:sz w:val="17"/>
                <w:szCs w:val="17"/>
                <w:color w:val="auto"/>
              </w:rPr>
              <w:t>Total stock-based compensation</w:t>
            </w:r>
          </w:p>
        </w:tc>
        <w:tc>
          <w:tcPr>
            <w:tcW w:w="1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vMerge w:val="continue"/>
            <w:shd w:val="clear" w:color="auto" w:fill="CFF0FC"/>
          </w:tcPr>
          <w:p>
            <w:pPr>
              <w:spacing w:after="0"/>
              <w:rPr>
                <w:sz w:val="18"/>
                <w:szCs w:val="18"/>
                <w:color w:val="auto"/>
              </w:rPr>
            </w:pPr>
          </w:p>
        </w:tc>
        <w:tc>
          <w:tcPr>
            <w:tcW w:w="2000" w:type="dxa"/>
            <w:vAlign w:val="bottom"/>
            <w:gridSpan w:val="2"/>
            <w:shd w:val="clear" w:color="auto" w:fill="CFF0FC"/>
          </w:tcPr>
          <w:p>
            <w:pPr>
              <w:jc w:val="right"/>
              <w:ind w:right="652"/>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w w:val="98"/>
              </w:rPr>
              <w:t>1,219</w:t>
            </w:r>
          </w:p>
        </w:tc>
        <w:tc>
          <w:tcPr>
            <w:tcW w:w="520" w:type="dxa"/>
            <w:vAlign w:val="bottom"/>
            <w:gridSpan w:val="2"/>
            <w:shd w:val="clear" w:color="auto" w:fill="CFF0FC"/>
          </w:tcPr>
          <w:p>
            <w:pPr>
              <w:jc w:val="right"/>
              <w:ind w:right="252"/>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134</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FF0FC"/>
            </w:tcBorders>
            <w:gridSpan w:val="3"/>
            <w:shd w:val="clear" w:color="auto" w:fill="CFF0FC"/>
          </w:tcPr>
          <w:p>
            <w:pPr>
              <w:jc w:val="right"/>
              <w:ind w:right="240"/>
              <w:spacing w:after="0"/>
              <w:rPr>
                <w:sz w:val="20"/>
                <w:szCs w:val="20"/>
                <w:color w:val="auto"/>
              </w:rPr>
            </w:pPr>
            <w:r>
              <w:rPr>
                <w:rFonts w:ascii="Arial" w:cs="Arial" w:eastAsia="Arial" w:hAnsi="Arial"/>
                <w:sz w:val="17"/>
                <w:szCs w:val="17"/>
                <w:color w:val="auto"/>
              </w:rPr>
              <w:t>3,237</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Borders>
              <w:top w:val="single" w:sz="8" w:color="CFF0FC"/>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gridSpan w:val="11"/>
          </w:tcPr>
          <w:p>
            <w:pPr>
              <w:spacing w:after="0"/>
              <w:rPr>
                <w:sz w:val="20"/>
                <w:szCs w:val="20"/>
                <w:color w:val="auto"/>
              </w:rPr>
            </w:pPr>
            <w:r>
              <w:rPr>
                <w:rFonts w:ascii="Arial" w:cs="Arial" w:eastAsia="Arial" w:hAnsi="Arial"/>
                <w:sz w:val="17"/>
                <w:szCs w:val="17"/>
                <w:color w:val="auto"/>
                <w:w w:val="90"/>
              </w:rPr>
              <w:t>The fair values of the options granted were estimated based on the Black-Scholes model, using the following assumptions: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1"/>
              </w:rPr>
              <w:t>Nine Months Ended</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5"/>
              </w:rPr>
              <w:t>September 30,</w:t>
            </w:r>
          </w:p>
        </w:tc>
        <w:tc>
          <w:tcPr>
            <w:tcW w:w="3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8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80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6"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1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580"/>
              <w:spacing w:after="0"/>
              <w:rPr>
                <w:sz w:val="20"/>
                <w:szCs w:val="20"/>
                <w:color w:val="auto"/>
              </w:rPr>
            </w:pPr>
            <w:r>
              <w:rPr>
                <w:rFonts w:ascii="Arial" w:cs="Arial" w:eastAsia="Arial" w:hAnsi="Arial"/>
                <w:sz w:val="17"/>
                <w:szCs w:val="17"/>
                <w:color w:val="auto"/>
              </w:rPr>
              <w:t>Expected term (in years)</w:t>
            </w: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ind w:right="100"/>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97"/>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Expected volatility</w:t>
            </w:r>
          </w:p>
        </w:tc>
        <w:tc>
          <w:tcPr>
            <w:tcW w:w="1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90.5%</w:t>
            </w:r>
          </w:p>
        </w:tc>
        <w:tc>
          <w:tcPr>
            <w:tcW w:w="140" w:type="dxa"/>
            <w:vAlign w:val="bottom"/>
            <w:shd w:val="clear" w:color="auto" w:fill="CFF0FC"/>
          </w:tcPr>
          <w:p>
            <w:pPr>
              <w:spacing w:after="0"/>
              <w:rPr>
                <w:sz w:val="20"/>
                <w:szCs w:val="20"/>
                <w:color w:val="auto"/>
              </w:rPr>
            </w:pPr>
          </w:p>
        </w:tc>
        <w:tc>
          <w:tcPr>
            <w:tcW w:w="440" w:type="dxa"/>
            <w:vAlign w:val="bottom"/>
            <w:tcBorders>
              <w:right w:val="single" w:sz="8" w:color="CFF0FC"/>
            </w:tcBorders>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580"/>
              <w:spacing w:after="0"/>
              <w:rPr>
                <w:sz w:val="20"/>
                <w:szCs w:val="20"/>
                <w:color w:val="auto"/>
              </w:rPr>
            </w:pPr>
            <w:r>
              <w:rPr>
                <w:rFonts w:ascii="Arial" w:cs="Arial" w:eastAsia="Arial" w:hAnsi="Arial"/>
                <w:sz w:val="17"/>
                <w:szCs w:val="17"/>
                <w:color w:val="auto"/>
              </w:rPr>
              <w:t>Expected dividend yield</w:t>
            </w: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7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NET LOSS PER SHARE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is calculated as follows (in thousands except share and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53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34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1"/>
              <w:spacing w:after="0" w:line="146"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8"/>
              <w:spacing w:after="0" w:line="146"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1"/>
              <w:spacing w:after="0" w:line="146"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8"/>
              <w:spacing w:after="0" w:line="146" w:lineRule="exact"/>
              <w:rPr>
                <w:sz w:val="20"/>
                <w:szCs w:val="20"/>
                <w:color w:val="auto"/>
              </w:rPr>
            </w:pPr>
            <w:r>
              <w:rPr>
                <w:rFonts w:ascii="Arial" w:cs="Arial" w:eastAsia="Arial" w:hAnsi="Arial"/>
                <w:sz w:val="14"/>
                <w:szCs w:val="14"/>
                <w:b w:val="1"/>
                <w:bCs w:val="1"/>
                <w:color w:val="auto"/>
                <w:w w:val="96"/>
              </w:rPr>
              <w:t>2020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080" w:type="dxa"/>
            <w:vAlign w:val="bottom"/>
            <w:gridSpan w:val="2"/>
            <w:shd w:val="clear" w:color="auto" w:fill="CFF0FC"/>
          </w:tcPr>
          <w:p>
            <w:pPr>
              <w:jc w:val="right"/>
              <w:ind w:right="6"/>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(12,696)</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(11,651)</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(38,343)</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(23,260)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580"/>
              <w:spacing w:after="0"/>
              <w:rPr>
                <w:sz w:val="20"/>
                <w:szCs w:val="20"/>
                <w:color w:val="auto"/>
              </w:rPr>
            </w:pPr>
            <w:r>
              <w:rPr>
                <w:rFonts w:ascii="Arial" w:cs="Arial" w:eastAsia="Arial" w:hAnsi="Arial"/>
                <w:sz w:val="17"/>
                <w:szCs w:val="17"/>
                <w:color w:val="auto"/>
              </w:rPr>
              <w:t>Dividends on convertible preferred stock</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 attributable to common stockholders</w:t>
            </w: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340" w:type="dxa"/>
            <w:vAlign w:val="bottom"/>
            <w:vMerge w:val="continue"/>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(12,696)</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(14,364)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(38,343)</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restart"/>
          </w:tcPr>
          <w:p>
            <w:pPr>
              <w:ind w:left="580"/>
              <w:spacing w:after="0"/>
              <w:rPr>
                <w:sz w:val="20"/>
                <w:szCs w:val="20"/>
                <w:color w:val="auto"/>
              </w:rPr>
            </w:pPr>
            <w:r>
              <w:rPr>
                <w:rFonts w:ascii="Arial" w:cs="Arial" w:eastAsia="Arial" w:hAnsi="Arial"/>
                <w:sz w:val="17"/>
                <w:szCs w:val="17"/>
                <w:color w:val="auto"/>
              </w:rPr>
              <w:t>Net loss per common share, basic and diluted</w:t>
            </w: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20" w:type="dxa"/>
            <w:vAlign w:val="bottom"/>
            <w:gridSpan w:val="2"/>
            <w:vMerge w:val="continue"/>
          </w:tcPr>
          <w:p>
            <w:pPr>
              <w:spacing w:after="0"/>
              <w:rPr>
                <w:sz w:val="20"/>
                <w:szCs w:val="20"/>
                <w:color w:val="auto"/>
              </w:rPr>
            </w:pPr>
          </w:p>
        </w:tc>
        <w:tc>
          <w:tcPr>
            <w:tcW w:w="1080" w:type="dxa"/>
            <w:vAlign w:val="bottom"/>
            <w:gridSpan w:val="2"/>
          </w:tcPr>
          <w:p>
            <w:pPr>
              <w:jc w:val="right"/>
              <w:ind w:right="6"/>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(0.50)</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(55.25)</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(1.52)</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(118.89)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4340" w:type="dxa"/>
            <w:vAlign w:val="bottom"/>
            <w:tcBorders>
              <w:top w:val="single" w:sz="8" w:color="CFF0FC"/>
            </w:tcBorders>
            <w:shd w:val="clear" w:color="auto" w:fill="CFF0FC"/>
          </w:tcPr>
          <w:p>
            <w:pPr>
              <w:spacing w:after="0" w:line="184" w:lineRule="exact"/>
              <w:rPr>
                <w:sz w:val="20"/>
                <w:szCs w:val="20"/>
                <w:color w:val="auto"/>
              </w:rPr>
            </w:pPr>
            <w:r>
              <w:rPr>
                <w:rFonts w:ascii="Arial" w:cs="Arial" w:eastAsia="Arial" w:hAnsi="Arial"/>
                <w:sz w:val="17"/>
                <w:szCs w:val="17"/>
                <w:color w:val="auto"/>
              </w:rPr>
              <w:t>Weighted-average number of shares used in computing</w:t>
            </w:r>
          </w:p>
        </w:tc>
        <w:tc>
          <w:tcPr>
            <w:tcW w:w="9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7"/>
                <w:szCs w:val="17"/>
                <w:color w:val="auto"/>
              </w:rPr>
              <w:t>net loss per common share, basic and diluted</w:t>
            </w: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w w:val="96"/>
              </w:rPr>
              <w:t>25,261,832</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7"/>
                <w:szCs w:val="17"/>
                <w:color w:val="auto"/>
              </w:rPr>
              <w:t>259,966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w w:val="96"/>
              </w:rPr>
              <w:t>25,261,832</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259,966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vMerge w:val="restart"/>
          </w:tcPr>
          <w:p>
            <w:pPr>
              <w:jc w:val="right"/>
              <w:ind w:right="55"/>
              <w:spacing w:after="0"/>
              <w:rPr>
                <w:sz w:val="20"/>
                <w:szCs w:val="20"/>
                <w:color w:val="auto"/>
              </w:rPr>
            </w:pPr>
            <w:r>
              <w:rPr>
                <w:rFonts w:ascii="Arial" w:cs="Arial" w:eastAsia="Arial" w:hAnsi="Arial"/>
                <w:sz w:val="17"/>
                <w:szCs w:val="17"/>
                <w:color w:val="auto"/>
              </w:rPr>
              <w:t>15</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Borders>
              <w:bottom w:val="single" w:sz="8" w:color="9A9A9A"/>
            </w:tcBorders>
          </w:tcPr>
          <w:p>
            <w:pPr>
              <w:spacing w:after="0"/>
              <w:rPr>
                <w:sz w:val="9"/>
                <w:szCs w:val="9"/>
                <w:color w:val="auto"/>
              </w:rPr>
            </w:pPr>
          </w:p>
        </w:tc>
        <w:tc>
          <w:tcPr>
            <w:tcW w:w="4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color w:val="auto"/>
        </w:rPr>
        <w:t>The following outstanding potentially dilutive securities have been excluded from the calculation of diluted net loss per share, as their effect is anti-dilutive:</w:t>
      </w:r>
    </w:p>
    <w:p>
      <w:pPr>
        <w:spacing w:after="0" w:line="260"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and Nine Months Ended</w:t>
      </w:r>
    </w:p>
    <w:p>
      <w:pPr>
        <w:jc w:val="center"/>
        <w:ind w:left="5480"/>
        <w:spacing w:after="0" w:line="218"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46"/>
        </w:trPr>
        <w:tc>
          <w:tcPr>
            <w:tcW w:w="5600" w:type="dxa"/>
            <w:vAlign w:val="bottom"/>
            <w:tcBorders>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2"/>
              <w:spacing w:after="0" w:line="146"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FF0FC"/>
            </w:tcBorders>
          </w:tcPr>
          <w:p>
            <w:pPr>
              <w:spacing w:after="0"/>
              <w:rPr>
                <w:sz w:val="12"/>
                <w:szCs w:val="12"/>
                <w:color w:val="auto"/>
              </w:rPr>
            </w:pPr>
          </w:p>
        </w:tc>
        <w:tc>
          <w:tcPr>
            <w:tcW w:w="2140" w:type="dxa"/>
            <w:vAlign w:val="bottom"/>
            <w:tcBorders>
              <w:top w:val="single" w:sz="8" w:color="auto"/>
              <w:bottom w:val="single" w:sz="8" w:color="auto"/>
            </w:tcBorders>
          </w:tcPr>
          <w:p>
            <w:pPr>
              <w:jc w:val="right"/>
              <w:ind w:right="921"/>
              <w:spacing w:after="0" w:line="146" w:lineRule="exact"/>
              <w:rPr>
                <w:sz w:val="20"/>
                <w:szCs w:val="20"/>
                <w:color w:val="auto"/>
              </w:rPr>
            </w:pPr>
            <w:r>
              <w:rPr>
                <w:rFonts w:ascii="Arial" w:cs="Arial" w:eastAsia="Arial" w:hAnsi="Arial"/>
                <w:sz w:val="14"/>
                <w:szCs w:val="14"/>
                <w:b w:val="1"/>
                <w:bCs w:val="1"/>
                <w:color w:val="auto"/>
              </w:rPr>
              <w:t>2020</w:t>
            </w:r>
          </w:p>
        </w:tc>
      </w:tr>
      <w:tr>
        <w:trPr>
          <w:trHeight w:val="210"/>
        </w:trPr>
        <w:tc>
          <w:tcPr>
            <w:tcW w:w="68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 options to purchase common stock</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3,923,728</w:t>
            </w:r>
          </w:p>
        </w:tc>
        <w:tc>
          <w:tcPr>
            <w:tcW w:w="220" w:type="dxa"/>
            <w:vAlign w:val="bottom"/>
            <w:shd w:val="clear" w:color="auto" w:fill="CFF0FC"/>
          </w:tcPr>
          <w:p>
            <w:pPr>
              <w:spacing w:after="0"/>
              <w:rPr>
                <w:sz w:val="18"/>
                <w:szCs w:val="18"/>
                <w:color w:val="auto"/>
              </w:rPr>
            </w:pPr>
          </w:p>
        </w:tc>
        <w:tc>
          <w:tcPr>
            <w:tcW w:w="2140" w:type="dxa"/>
            <w:vAlign w:val="bottom"/>
            <w:shd w:val="clear" w:color="auto" w:fill="CFF0FC"/>
          </w:tcPr>
          <w:p>
            <w:pPr>
              <w:jc w:val="right"/>
              <w:ind w:right="41"/>
              <w:spacing w:after="0"/>
              <w:rPr>
                <w:sz w:val="20"/>
                <w:szCs w:val="20"/>
                <w:color w:val="auto"/>
              </w:rPr>
            </w:pPr>
            <w:r>
              <w:rPr>
                <w:rFonts w:ascii="Arial" w:cs="Arial" w:eastAsia="Arial" w:hAnsi="Arial"/>
                <w:sz w:val="17"/>
                <w:szCs w:val="17"/>
                <w:color w:val="auto"/>
              </w:rPr>
              <w:t>1,562,246</w:t>
            </w:r>
          </w:p>
        </w:tc>
      </w:tr>
      <w:tr>
        <w:trPr>
          <w:trHeight w:val="216"/>
        </w:trPr>
        <w:tc>
          <w:tcPr>
            <w:tcW w:w="6840" w:type="dxa"/>
            <w:vAlign w:val="bottom"/>
            <w:gridSpan w:val="2"/>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140" w:type="dxa"/>
            <w:vAlign w:val="bottom"/>
          </w:tcPr>
          <w:p>
            <w:pPr>
              <w:jc w:val="right"/>
              <w:ind w:right="41"/>
              <w:spacing w:after="0"/>
              <w:rPr>
                <w:sz w:val="20"/>
                <w:szCs w:val="20"/>
                <w:color w:val="auto"/>
              </w:rPr>
            </w:pPr>
            <w:r>
              <w:rPr>
                <w:rFonts w:ascii="Arial" w:cs="Arial" w:eastAsia="Arial" w:hAnsi="Arial"/>
                <w:sz w:val="17"/>
                <w:szCs w:val="17"/>
                <w:color w:val="auto"/>
              </w:rPr>
              <w:t>7,177,242</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217" w:lineRule="exact"/>
        <w:rPr>
          <w:sz w:val="20"/>
          <w:szCs w:val="20"/>
          <w:color w:val="auto"/>
        </w:rPr>
      </w:pPr>
    </w:p>
    <w:p>
      <w:pPr>
        <w:jc w:val="both"/>
        <w:spacing w:after="0" w:line="344" w:lineRule="auto"/>
        <w:rPr>
          <w:sz w:val="20"/>
          <w:szCs w:val="20"/>
          <w:color w:val="auto"/>
        </w:rPr>
      </w:pPr>
      <w:r>
        <w:rPr>
          <w:rFonts w:ascii="Arial" w:cs="Arial" w:eastAsia="Arial" w:hAnsi="Arial"/>
          <w:sz w:val="15"/>
          <w:szCs w:val="15"/>
          <w:color w:val="auto"/>
        </w:rPr>
        <w:t>The Company has evaluated subsequent events through the date on which the unaudited interim condensed consolidated financial statements were issued. The Company has concluded that no subsequent events have occurred that require disclosure to the unaudited interim condensed consolidated financial statements.</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800"/>
          </w:cols>
          <w:pgMar w:left="320" w:top="535" w:right="77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7" w:lineRule="exact"/>
        <w:rPr>
          <w:sz w:val="20"/>
          <w:szCs w:val="20"/>
          <w:color w:val="auto"/>
        </w:rPr>
      </w:pPr>
    </w:p>
    <w:p>
      <w:pPr>
        <w:ind w:right="80" w:firstLine="764"/>
        <w:spacing w:after="0" w:line="280"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The following information should be read in conjunction with the unaudited interim condensed consolidated financial statements and the notes thereto included in this Quarterly Report on Form 10-Q and the audited consolidated financial statements and notes thereto for the year ended December 31, 2020,and the related Management’s Discussion and Analysis of Financial Condition and Results of Operations, contained in our </w:t>
      </w:r>
      <w:hyperlink r:id="rId18">
        <w:r>
          <w:rPr>
            <w:rFonts w:ascii="Arial" w:cs="Arial" w:eastAsia="Arial" w:hAnsi="Arial"/>
            <w:sz w:val="16"/>
            <w:szCs w:val="16"/>
            <w:i w:val="1"/>
            <w:iCs w:val="1"/>
            <w:u w:val="single" w:color="auto"/>
            <w:color w:val="0000EE"/>
          </w:rPr>
          <w:t>Annual Report on Form 10-K</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for the fiscal year ended December 31, 2020, filed with the United States Securities and Exchange Commission, or the SEC, on March 29, 2021.</w:t>
      </w:r>
    </w:p>
    <w:p>
      <w:pPr>
        <w:spacing w:after="0" w:line="162" w:lineRule="exact"/>
        <w:rPr>
          <w:sz w:val="20"/>
          <w:szCs w:val="20"/>
          <w:color w:val="auto"/>
        </w:rPr>
      </w:pPr>
    </w:p>
    <w:p>
      <w:pPr>
        <w:ind w:right="20" w:firstLine="764"/>
        <w:spacing w:after="0" w:line="280" w:lineRule="auto"/>
        <w:rPr>
          <w:sz w:val="20"/>
          <w:szCs w:val="20"/>
          <w:color w:val="auto"/>
        </w:rPr>
      </w:pPr>
      <w:r>
        <w:rPr>
          <w:rFonts w:ascii="Arial" w:cs="Arial" w:eastAsia="Arial" w:hAnsi="Arial"/>
          <w:sz w:val="16"/>
          <w:szCs w:val="16"/>
          <w:i w:val="1"/>
          <w:iCs w:val="1"/>
          <w:color w:val="auto"/>
        </w:rPr>
        <w:t>This report contains forward-looking statements that are being made pursuant to the safe harbor provisions of the Private Securities Litigation Reform Act of 1995, or PSLRA, with the intention of obtaining the benefits of the “safe harbor” provisions of the PSLRA. Forward-looking statements involve risks and uncertainties. In this Quarterly Report on Form 10-Q, words such as “may,” “will,” “expect,” “anticipate,” “estimate,” “intend,” and similar expressions (as well as other words or expressions referencing future events, conditions or circumstances) are intended to identify forward-looking statements.</w:t>
      </w:r>
    </w:p>
    <w:p>
      <w:pPr>
        <w:spacing w:after="0" w:line="162" w:lineRule="exact"/>
        <w:rPr>
          <w:sz w:val="20"/>
          <w:szCs w:val="20"/>
          <w:color w:val="auto"/>
        </w:rPr>
      </w:pPr>
    </w:p>
    <w:p>
      <w:pPr>
        <w:ind w:right="180" w:firstLine="764"/>
        <w:spacing w:after="0" w:line="258" w:lineRule="auto"/>
        <w:rPr>
          <w:sz w:val="20"/>
          <w:szCs w:val="20"/>
          <w:color w:val="auto"/>
        </w:rPr>
      </w:pPr>
      <w:r>
        <w:rPr>
          <w:rFonts w:ascii="Arial" w:cs="Arial" w:eastAsia="Arial" w:hAnsi="Arial"/>
          <w:sz w:val="17"/>
          <w:szCs w:val="17"/>
          <w:i w:val="1"/>
          <w:iCs w:val="1"/>
          <w:color w:val="auto"/>
        </w:rPr>
        <w:t>Our actual results and the timing of certain events may differ materially from the results discussed, projected, anticipated, or indicated in any forward-looking statements. We caution our readers that forward-looking statements are not guarantees of future performance and that our actual results of operations, financial condition and liquidity, and the development of the industry in which we operate may differ materially from those expressed or implied by the forward-looking statements contained in this Quarterly Report on Form 10-Q.</w:t>
      </w:r>
    </w:p>
    <w:p>
      <w:pPr>
        <w:spacing w:after="0" w:line="180" w:lineRule="exact"/>
        <w:rPr>
          <w:sz w:val="20"/>
          <w:szCs w:val="20"/>
          <w:color w:val="auto"/>
        </w:rPr>
      </w:pPr>
    </w:p>
    <w:p>
      <w:pPr>
        <w:ind w:firstLine="764"/>
        <w:spacing w:after="0" w:line="258" w:lineRule="auto"/>
        <w:rPr>
          <w:sz w:val="20"/>
          <w:szCs w:val="20"/>
          <w:color w:val="auto"/>
        </w:rPr>
      </w:pPr>
      <w:r>
        <w:rPr>
          <w:rFonts w:ascii="Arial" w:cs="Arial" w:eastAsia="Arial" w:hAnsi="Arial"/>
          <w:sz w:val="17"/>
          <w:szCs w:val="17"/>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right="60" w:firstLine="764"/>
        <w:spacing w:after="0" w:line="276" w:lineRule="auto"/>
        <w:rPr>
          <w:sz w:val="20"/>
          <w:szCs w:val="20"/>
          <w:color w:val="auto"/>
        </w:rPr>
      </w:pPr>
      <w:r>
        <w:rPr>
          <w:rFonts w:ascii="Arial" w:cs="Arial" w:eastAsia="Arial" w:hAnsi="Arial"/>
          <w:sz w:val="16"/>
          <w:szCs w:val="16"/>
          <w:color w:val="auto"/>
        </w:rPr>
        <w:t>We are a clinical-stage biotechnology company developing therapeutics that are designed to target the biological processes that lie at the heart of fibrosis and cancer. While our initial focus has been on the development of small-molecule inhibitors of galectin-3 and the collagen cross-linking enzyme lysyl oxidase-like 2, or LOXL2, which play key roles in regulating fibrosis, we are also advancing our compounds for the treatment of cancer (initially in non-small cell lung cancer, or NSCLC, and myelofibrosis). We believe our product candidates are distinct from the current generation of antifibrotic and anti-cancer agents and have the potential to significantly improve patients’ clinical outcomes and enhance their quality of life.</w:t>
      </w:r>
    </w:p>
    <w:p>
      <w:pPr>
        <w:spacing w:after="0" w:line="167" w:lineRule="exact"/>
        <w:rPr>
          <w:sz w:val="20"/>
          <w:szCs w:val="20"/>
          <w:color w:val="auto"/>
        </w:rPr>
      </w:pPr>
    </w:p>
    <w:p>
      <w:pPr>
        <w:ind w:right="80" w:firstLine="764"/>
        <w:spacing w:after="0" w:line="292" w:lineRule="auto"/>
        <w:rPr>
          <w:sz w:val="20"/>
          <w:szCs w:val="20"/>
          <w:color w:val="auto"/>
        </w:rPr>
      </w:pPr>
      <w:r>
        <w:rPr>
          <w:rFonts w:ascii="Arial" w:cs="Arial" w:eastAsia="Arial" w:hAnsi="Arial"/>
          <w:sz w:val="15"/>
          <w:szCs w:val="15"/>
          <w:color w:val="auto"/>
        </w:rPr>
        <w:t>Our most advanced product candidate, GB0139, is an inhaled small molecule inhibitor of galectin-3. We are developing GB0139 for the treatment of severe fibrotic lung diseases such as idiopathic pulmonary fibrosis, or IPF, a life-threatening progressive fibrotic disease of the lung. While there are currently two approved therapies for the treatment of lung fibrosis, they have only been shown to have a modest impact on the progression of the disease, and both therapies have been associated with significant side effects leading to poor therapeutic adherence. In our clinical trials completed to date, we found orally inhaled GB0139 to be generally well-tolerated and that the compound inhibited galectin-3 in the lungs, in a dose-dependent manner, and that it decreased levels of a range of plasma biomarkers, such as YKL-40 and PDGF, that have been linked to mortality, severity and/or progression in IPF. We are currently conducting a 52-week randomized, double-blind, multicenter, parallel, placebo-controlled Phase 2b trial investigating the safety and efficacy of GB0139 in up to 210 patients with IPF, which we refer to as the GALACTIC-1 trial. We continue to recruit patients in this trial and expect that topline results will be available by mid-2023.</w:t>
      </w:r>
    </w:p>
    <w:p>
      <w:pPr>
        <w:spacing w:after="0" w:line="159" w:lineRule="exact"/>
        <w:rPr>
          <w:sz w:val="20"/>
          <w:szCs w:val="20"/>
          <w:color w:val="auto"/>
        </w:rPr>
      </w:pPr>
    </w:p>
    <w:p>
      <w:pPr>
        <w:ind w:right="20" w:firstLine="764"/>
        <w:spacing w:after="0" w:line="256" w:lineRule="auto"/>
        <w:rPr>
          <w:sz w:val="20"/>
          <w:szCs w:val="20"/>
          <w:color w:val="auto"/>
        </w:rPr>
      </w:pPr>
      <w:r>
        <w:rPr>
          <w:rFonts w:ascii="Arial" w:cs="Arial" w:eastAsia="Arial" w:hAnsi="Arial"/>
          <w:sz w:val="17"/>
          <w:szCs w:val="17"/>
          <w:color w:val="auto"/>
        </w:rPr>
        <w:t>Our product candidate portfolio includes GB2064, a selective small molecule oral inhibitor of LOXL2 that we initially plan to develop for the treatment of myelofibrosis, a malignant disease of the bone marrow in which fibrosis reduces the ability to form blood cells. The LOXL2 mechanism may also be important in other solid and liquid tumor types as well as fibrotic diseases. We initiated a Phase 2a trial examining GB2064 for the treatment of myelofibrosis, referred to as the MYLOX-1 trial, in the third quarter of 2021, and we expect that interim results from the MYLOX-1 trial will be available in the first half of 2022 and topline results will be available by the end of 2022.</w:t>
      </w:r>
    </w:p>
    <w:p>
      <w:pPr>
        <w:spacing w:after="0" w:line="183" w:lineRule="exact"/>
        <w:rPr>
          <w:sz w:val="20"/>
          <w:szCs w:val="20"/>
          <w:color w:val="auto"/>
        </w:rPr>
      </w:pPr>
    </w:p>
    <w:p>
      <w:pPr>
        <w:ind w:right="100" w:firstLine="764"/>
        <w:spacing w:after="0" w:line="256" w:lineRule="auto"/>
        <w:rPr>
          <w:sz w:val="20"/>
          <w:szCs w:val="20"/>
          <w:color w:val="auto"/>
        </w:rPr>
      </w:pPr>
      <w:r>
        <w:rPr>
          <w:rFonts w:ascii="Arial" w:cs="Arial" w:eastAsia="Arial" w:hAnsi="Arial"/>
          <w:sz w:val="17"/>
          <w:szCs w:val="17"/>
          <w:color w:val="auto"/>
        </w:rPr>
        <w:t>Our product candidate portfolio also includes a second and distinct galectin-3 inhibitor, GB1211, a potent small molecule selective oral galectin-3 inhibitor that we are developing for the treatment of cancer (initially in NSCLC) and fibrosis (initially in liver cirrhosis). In November 2021, we announced that we had entered into a clinical trial supply agreement with Roche for our planned Phase 2a trial of GB1211 in combination with Tecentriq®, a PD-L1 checkpoint inhibitor, for the treatment of NSCLC, which we refer to as the GALLANT-1 trial. We expect to initiate the GALLANT-1 trial in the first half of 2022 and expect that topline results from this trial will be available by mid-2023.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8" w:name="page19"/>
    <w:bookmarkEnd w:id="18"/>
    <w:p>
      <w:pPr>
        <w:ind w:right="180" w:firstLine="764"/>
        <w:spacing w:after="0" w:line="344" w:lineRule="auto"/>
        <w:rPr>
          <w:sz w:val="20"/>
          <w:szCs w:val="20"/>
          <w:color w:val="auto"/>
        </w:rPr>
      </w:pPr>
      <w:r>
        <w:rPr>
          <w:rFonts w:ascii="Arial" w:cs="Arial" w:eastAsia="Arial" w:hAnsi="Arial"/>
          <w:sz w:val="15"/>
          <w:szCs w:val="15"/>
          <w:color w:val="auto"/>
        </w:rPr>
        <w:t>We also initiated a Phase 1b/2a trial of GB1211 for liver cirrhosis, which we refer to as the GULLIVER-2 trial, in the third quarter of 2021. This trial is focused on safety and effect on liver function and fibrosis biomarkers. We expect that topline results from this trial will be available in the second half of 2022.</w:t>
      </w:r>
    </w:p>
    <w:p>
      <w:pPr>
        <w:spacing w:after="0" w:line="118" w:lineRule="exact"/>
        <w:rPr>
          <w:sz w:val="20"/>
          <w:szCs w:val="20"/>
          <w:color w:val="auto"/>
        </w:rPr>
      </w:pPr>
    </w:p>
    <w:p>
      <w:pPr>
        <w:ind w:right="20" w:firstLine="764"/>
        <w:spacing w:after="0" w:line="273" w:lineRule="auto"/>
        <w:rPr>
          <w:sz w:val="20"/>
          <w:szCs w:val="20"/>
          <w:color w:val="auto"/>
        </w:rPr>
      </w:pPr>
      <w:r>
        <w:rPr>
          <w:rFonts w:ascii="Arial" w:cs="Arial" w:eastAsia="Arial" w:hAnsi="Arial"/>
          <w:sz w:val="16"/>
          <w:szCs w:val="16"/>
          <w:color w:val="auto"/>
        </w:rPr>
        <w:t>Our most advanced product candidate, GB0139, is in Phase 2b clinical development and our other product candidates and research initiatives are in early stages of clinical and preclinical development. Our ability to generate revenue from product sales sufficient to achieve profitability will depend heavily on the successful development and eventual commercialization of one or more of our product candidates. Our operations to date have been financed primarily from our initial public offering, or IPO, the issuance of convertible preferred shares and convertible notes. Since inception, we have had significant operating losses. Our net loss was $12.7 million and $38.3 million for the three and nine months ended September 30, 2021, respectively. Our net loss was $11.7 million and $23.3 million for the three and nine months ended September 30, 2020, respectively. As of September 30, 2021, we had an accumulated deficit of $142.7 million and $127.6 million in cash, cash equivalents and marketable securities.</w:t>
      </w:r>
    </w:p>
    <w:p>
      <w:pPr>
        <w:spacing w:after="0" w:line="169" w:lineRule="exact"/>
        <w:rPr>
          <w:sz w:val="20"/>
          <w:szCs w:val="20"/>
          <w:color w:val="auto"/>
        </w:rPr>
      </w:pPr>
    </w:p>
    <w:p>
      <w:pPr>
        <w:ind w:right="20" w:firstLine="764"/>
        <w:spacing w:after="0" w:line="294" w:lineRule="auto"/>
        <w:rPr>
          <w:sz w:val="20"/>
          <w:szCs w:val="20"/>
          <w:color w:val="auto"/>
        </w:rPr>
      </w:pPr>
      <w:r>
        <w:rPr>
          <w:rFonts w:ascii="Arial" w:cs="Arial" w:eastAsia="Arial" w:hAnsi="Arial"/>
          <w:sz w:val="15"/>
          <w:szCs w:val="15"/>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product candidates, as well as hire additional personnel, pay fees to outside consultants, lawyers and accountants, and incur other increased costs associated with being a public company.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55" w:lineRule="exact"/>
        <w:rPr>
          <w:sz w:val="20"/>
          <w:szCs w:val="20"/>
          <w:color w:val="auto"/>
        </w:rPr>
      </w:pPr>
    </w:p>
    <w:p>
      <w:pPr>
        <w:ind w:right="60" w:firstLine="764"/>
        <w:spacing w:after="0" w:line="258" w:lineRule="auto"/>
        <w:rPr>
          <w:sz w:val="20"/>
          <w:szCs w:val="20"/>
          <w:color w:val="auto"/>
        </w:rPr>
      </w:pPr>
      <w:r>
        <w:rPr>
          <w:rFonts w:ascii="Arial" w:cs="Arial" w:eastAsia="Arial" w:hAnsi="Arial"/>
          <w:sz w:val="17"/>
          <w:szCs w:val="17"/>
          <w:color w:val="auto"/>
        </w:rPr>
        <w:t>Based upon our current operating plan, we believe that our existing cash, cash equivalents and marketable securities of $127.6 million as of September 30, 2021 will be sufficient to fund our operating expenditures and capital expenditure requirements into the second half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80" w:lineRule="exact"/>
        <w:rPr>
          <w:sz w:val="20"/>
          <w:szCs w:val="20"/>
          <w:color w:val="auto"/>
        </w:rPr>
      </w:pPr>
    </w:p>
    <w:p>
      <w:pPr>
        <w:ind w:right="60" w:firstLine="764"/>
        <w:spacing w:after="0" w:line="272" w:lineRule="auto"/>
        <w:rPr>
          <w:sz w:val="20"/>
          <w:szCs w:val="20"/>
          <w:color w:val="auto"/>
        </w:rPr>
      </w:pPr>
      <w:r>
        <w:rPr>
          <w:rFonts w:ascii="Arial" w:cs="Arial" w:eastAsia="Arial" w:hAnsi="Arial"/>
          <w:sz w:val="16"/>
          <w:szCs w:val="16"/>
          <w:color w:val="auto"/>
        </w:rPr>
        <w:t>To date, we have not had any products approved for sale and, therefore, have not generated any product revenue. We do not expect to generate any revenues from product sales unless and until we successfully complete development and obtain regulatory approval for one or more of our product candidates. If we obtain regulatory approval for any of our product candidates, we expect to incur significant commercialization expenses related to product sales, marketing, manufacturing and distribution. As a result, until such time, if ever, that we can generate substantial product revenue, we expect to finance our cash needs through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70" w:lineRule="exact"/>
        <w:rPr>
          <w:sz w:val="20"/>
          <w:szCs w:val="20"/>
          <w:color w:val="auto"/>
        </w:rPr>
      </w:pPr>
    </w:p>
    <w:p>
      <w:pPr>
        <w:ind w:right="180" w:firstLine="764"/>
        <w:spacing w:after="0" w:line="299" w:lineRule="auto"/>
        <w:rPr>
          <w:sz w:val="20"/>
          <w:szCs w:val="20"/>
          <w:color w:val="auto"/>
        </w:rPr>
      </w:pPr>
      <w:r>
        <w:rPr>
          <w:rFonts w:ascii="Arial" w:cs="Arial" w:eastAsia="Arial" w:hAnsi="Arial"/>
          <w:sz w:val="15"/>
          <w:szCs w:val="15"/>
          <w:color w:val="auto"/>
        </w:rPr>
        <w:t>The COVID-19 pandemic, which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still remain uncertain.</w:t>
      </w:r>
    </w:p>
    <w:p>
      <w:pPr>
        <w:spacing w:after="0" w:line="151" w:lineRule="exact"/>
        <w:rPr>
          <w:sz w:val="20"/>
          <w:szCs w:val="20"/>
          <w:color w:val="auto"/>
        </w:rPr>
      </w:pPr>
    </w:p>
    <w:p>
      <w:pPr>
        <w:ind w:right="120" w:firstLine="764"/>
        <w:spacing w:after="0" w:line="344" w:lineRule="auto"/>
        <w:rPr>
          <w:sz w:val="20"/>
          <w:szCs w:val="20"/>
          <w:color w:val="auto"/>
        </w:rPr>
      </w:pPr>
      <w:r>
        <w:rPr>
          <w:rFonts w:ascii="Arial" w:cs="Arial" w:eastAsia="Arial" w:hAnsi="Arial"/>
          <w:sz w:val="15"/>
          <w:szCs w:val="15"/>
          <w:color w:val="auto"/>
        </w:rPr>
        <w:t>In response to the impact of COVID-19, we have implemented certain measures intended to help us manage its impact and position ourselves to resume operations quickly and efficiently once these restrictions are lifted, such as executing a work-from-home strategy for administrative functions and operations.</w:t>
      </w:r>
    </w:p>
    <w:p>
      <w:pPr>
        <w:spacing w:after="0" w:line="118" w:lineRule="exact"/>
        <w:rPr>
          <w:sz w:val="20"/>
          <w:szCs w:val="20"/>
          <w:color w:val="auto"/>
        </w:rPr>
      </w:pPr>
    </w:p>
    <w:p>
      <w:pPr>
        <w:ind w:firstLine="764"/>
        <w:spacing w:after="0" w:line="254" w:lineRule="auto"/>
        <w:rPr>
          <w:sz w:val="20"/>
          <w:szCs w:val="20"/>
          <w:color w:val="auto"/>
        </w:rPr>
      </w:pPr>
      <w:r>
        <w:rPr>
          <w:rFonts w:ascii="Arial" w:cs="Arial" w:eastAsia="Arial" w:hAnsi="Arial"/>
          <w:sz w:val="17"/>
          <w:szCs w:val="17"/>
          <w:color w:val="auto"/>
        </w:rPr>
        <w:t>Despite our implementation of such measures, the actual and perceived impact of the COVID-19 pandemic is changing daily, and its ultimate effect on us cannot be predicted. To date, the COVID-19 pandemic has caused delays in certain of our studies, including (i) recruitment of patients in our ongoing Phase 2b GALACTIC-1 trial for GB0139, which has resulted in certain trial protocol amendments and increased costs and (ii) initiation of our planned clinical trials of GB2064 (MYLOX-1) and GB1211 (GALLANT-1 and GULLIVER-2). With respect to our GALACTIC-1 trial, due to the continued impact of the COVID-19 pandemic on screening and recruitment, we have added more investigator sites and have expanded the number of countries in which we are recruiting. As of the date of this report we have continued to randomize and enroll patients at a rate consistent with our forecasts even though we have experienced lower patient screen rates. If COVID-19 continues to impact patient screen rates, we may not be able to maintain our planned timing for enrollment, which could require further amendments to the trial protocol. We cannot assure you that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9" w:name="page20"/>
    <w:bookmarkEnd w:id="19"/>
    <w:p>
      <w:pPr>
        <w:spacing w:after="0" w:line="308" w:lineRule="auto"/>
        <w:rPr>
          <w:rFonts w:ascii="Arial" w:cs="Arial" w:eastAsia="Arial" w:hAnsi="Arial"/>
          <w:sz w:val="15"/>
          <w:szCs w:val="15"/>
          <w:color w:val="0000EE"/>
        </w:rPr>
      </w:pPr>
      <w:r>
        <w:rPr>
          <w:rFonts w:ascii="Arial" w:cs="Arial" w:eastAsia="Arial" w:hAnsi="Arial"/>
          <w:sz w:val="15"/>
          <w:szCs w:val="15"/>
          <w:color w:val="auto"/>
        </w:rPr>
        <w:t xml:space="preserve">we will not experience additional negative impacts associated with COVID-19, which could be significant. The COVID-19 pandemic may negatively impact our business, financial condition and results of operations by decreasing or delaying the enrollment of patients in our clinical trials or otherwise causing interruptions or delays in our programs and services. See “Risk Factors—Risks Related to Managing Our Business and Operations—The global pandemic of the novel coronavirus </w:t>
      </w:r>
      <w:hyperlink r:id="rId18">
        <w:r>
          <w:rPr>
            <w:rFonts w:ascii="Arial" w:cs="Arial" w:eastAsia="Arial" w:hAnsi="Arial"/>
            <w:sz w:val="15"/>
            <w:szCs w:val="15"/>
            <w:color w:val="auto"/>
          </w:rPr>
          <w:t xml:space="preserve">disease, COVID-19, has, and may continue to, adversely impact our business, including our preclinical studies and clinical trials” in our </w:t>
        </w:r>
        <w:r>
          <w:rPr>
            <w:rFonts w:ascii="Arial" w:cs="Arial" w:eastAsia="Arial" w:hAnsi="Arial"/>
            <w:sz w:val="15"/>
            <w:szCs w:val="15"/>
            <w:u w:val="single" w:color="auto"/>
            <w:color w:val="0000EE"/>
          </w:rPr>
          <w:t>Annual Report on Form 10-</w:t>
        </w:r>
      </w:hyperlink>
      <w:hyperlink r:id="rId18">
        <w:r>
          <w:rPr>
            <w:rFonts w:ascii="Arial" w:cs="Arial" w:eastAsia="Arial" w:hAnsi="Arial"/>
            <w:sz w:val="15"/>
            <w:szCs w:val="15"/>
            <w:u w:val="single" w:color="auto"/>
            <w:color w:val="0000EE"/>
          </w:rPr>
          <w:t>K</w:t>
        </w:r>
        <w:r>
          <w:rPr>
            <w:rFonts w:ascii="Arial" w:cs="Arial" w:eastAsia="Arial" w:hAnsi="Arial"/>
            <w:sz w:val="15"/>
            <w:szCs w:val="15"/>
            <w:color w:val="0000EE"/>
          </w:rPr>
          <w:t xml:space="preserve"> </w:t>
        </w:r>
        <w:r>
          <w:rPr>
            <w:rFonts w:ascii="Arial" w:cs="Arial" w:eastAsia="Arial" w:hAnsi="Arial"/>
            <w:sz w:val="15"/>
            <w:szCs w:val="15"/>
            <w:color w:val="000000"/>
          </w:rPr>
          <w:t>for the fiscal year ended December 31, 2020 for more information regarding the potential impact of COVID-19 on our business and operations.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operating expenses since inception have consisted primarily of research and development expenses and general and administrative costs.</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Research and Development</w:t>
      </w:r>
    </w:p>
    <w:p>
      <w:pPr>
        <w:spacing w:after="0" w:line="213" w:lineRule="exact"/>
        <w:rPr>
          <w:sz w:val="20"/>
          <w:szCs w:val="20"/>
          <w:color w:val="auto"/>
        </w:rPr>
      </w:pPr>
    </w:p>
    <w:p>
      <w:pPr>
        <w:ind w:firstLine="764"/>
        <w:spacing w:after="0" w:line="275" w:lineRule="auto"/>
        <w:rPr>
          <w:sz w:val="20"/>
          <w:szCs w:val="20"/>
          <w:color w:val="auto"/>
        </w:rPr>
      </w:pPr>
      <w:r>
        <w:rPr>
          <w:rFonts w:ascii="Arial" w:cs="Arial" w:eastAsia="Arial" w:hAnsi="Arial"/>
          <w:sz w:val="17"/>
          <w:szCs w:val="17"/>
          <w:color w:val="auto"/>
        </w:rPr>
        <w:t>Our research and development expenses consist primarily of costs incurred for the development of our product candidates and our drug discovery efforts, which include:</w:t>
      </w:r>
    </w:p>
    <w:p>
      <w:pPr>
        <w:spacing w:after="0" w:line="165" w:lineRule="exact"/>
        <w:rPr>
          <w:sz w:val="20"/>
          <w:szCs w:val="20"/>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personnel costs, which include salaries, benefits and stock-based compensation expense;</w:t>
      </w:r>
    </w:p>
    <w:p>
      <w:pPr>
        <w:spacing w:after="0" w:line="238" w:lineRule="exact"/>
        <w:rPr>
          <w:rFonts w:ascii="Arial" w:cs="Arial" w:eastAsia="Arial" w:hAnsi="Arial"/>
          <w:sz w:val="17"/>
          <w:szCs w:val="17"/>
          <w:color w:val="auto"/>
        </w:rPr>
      </w:pPr>
    </w:p>
    <w:p>
      <w:pPr>
        <w:ind w:left="1040" w:right="60" w:hanging="285"/>
        <w:spacing w:after="0" w:line="275"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expenses incurred under agreements with consultants, and third-party contract organizations that conduct research and development activities on our behalf;</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related to sponsored research service agreements;</w:t>
      </w:r>
    </w:p>
    <w:p>
      <w:pPr>
        <w:spacing w:after="0" w:line="238" w:lineRule="exact"/>
        <w:rPr>
          <w:rFonts w:ascii="Arial" w:cs="Arial" w:eastAsia="Arial" w:hAnsi="Arial"/>
          <w:sz w:val="17"/>
          <w:szCs w:val="17"/>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costs related to production of preclinical and clinical materials, including fees paid to contract manufacturers;</w:t>
      </w:r>
    </w:p>
    <w:p>
      <w:pPr>
        <w:spacing w:after="0" w:line="238" w:lineRule="exact"/>
        <w:rPr>
          <w:rFonts w:ascii="Arial" w:cs="Arial" w:eastAsia="Arial" w:hAnsi="Arial"/>
          <w:sz w:val="17"/>
          <w:szCs w:val="17"/>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laboratory and vendor expenses related to the execution of preclinical studies and planned clinical trials;</w:t>
      </w:r>
    </w:p>
    <w:p>
      <w:pPr>
        <w:spacing w:after="0" w:line="238" w:lineRule="exact"/>
        <w:rPr>
          <w:rFonts w:ascii="Arial" w:cs="Arial" w:eastAsia="Arial" w:hAnsi="Arial"/>
          <w:sz w:val="17"/>
          <w:szCs w:val="17"/>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laboratory supplies and equipment used for internal research and development activities; and</w:t>
      </w:r>
    </w:p>
    <w:p>
      <w:pPr>
        <w:spacing w:after="0" w:line="238" w:lineRule="exact"/>
        <w:rPr>
          <w:rFonts w:ascii="Arial" w:cs="Arial" w:eastAsia="Arial" w:hAnsi="Arial"/>
          <w:sz w:val="17"/>
          <w:szCs w:val="17"/>
          <w:color w:val="auto"/>
        </w:rPr>
      </w:pPr>
    </w:p>
    <w:p>
      <w:pPr>
        <w:ind w:left="1040" w:hanging="28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acquired in-process research and development programs.</w:t>
      </w:r>
    </w:p>
    <w:p>
      <w:pPr>
        <w:spacing w:after="0" w:line="238" w:lineRule="exact"/>
        <w:rPr>
          <w:sz w:val="20"/>
          <w:szCs w:val="20"/>
          <w:color w:val="auto"/>
        </w:rPr>
      </w:pPr>
    </w:p>
    <w:p>
      <w:pPr>
        <w:jc w:val="both"/>
        <w:ind w:right="220" w:firstLine="764"/>
        <w:spacing w:after="0" w:line="263" w:lineRule="auto"/>
        <w:rPr>
          <w:sz w:val="20"/>
          <w:szCs w:val="20"/>
          <w:color w:val="auto"/>
        </w:rPr>
      </w:pPr>
      <w:r>
        <w:rPr>
          <w:rFonts w:ascii="Arial" w:cs="Arial" w:eastAsia="Arial" w:hAnsi="Arial"/>
          <w:sz w:val="17"/>
          <w:szCs w:val="17"/>
          <w:color w:val="auto"/>
        </w:rPr>
        <w:t>We expense all research and development costs in the periods in which they are incurred, including for acquired in-process research and development. Costs for certain research and development activities are recognized based on an evaluation of the progress to completion of specific tasks using information and data provided to us by our vendors and third-party service providers.</w:t>
      </w:r>
    </w:p>
    <w:p>
      <w:pPr>
        <w:spacing w:after="0" w:line="149" w:lineRule="exact"/>
        <w:rPr>
          <w:sz w:val="20"/>
          <w:szCs w:val="20"/>
          <w:color w:val="auto"/>
        </w:rPr>
      </w:pPr>
    </w:p>
    <w:p>
      <w:pPr>
        <w:ind w:right="140" w:firstLine="764"/>
        <w:spacing w:after="0" w:line="263" w:lineRule="auto"/>
        <w:rPr>
          <w:sz w:val="20"/>
          <w:szCs w:val="20"/>
          <w:color w:val="auto"/>
        </w:rPr>
      </w:pPr>
      <w:r>
        <w:rPr>
          <w:rFonts w:ascii="Arial" w:cs="Arial" w:eastAsia="Arial" w:hAnsi="Arial"/>
          <w:sz w:val="17"/>
          <w:szCs w:val="17"/>
          <w:color w:val="auto"/>
        </w:rPr>
        <w:t>From time to time, we obtain grants from public and private funds for our research and development projects. The grant income for a given period is recognized as a cost reimbursement and is typically based on the time and the costs that we have spent on the specific project during that period. We have no grant income for the three and nine months ended September 30, 2021 and 2020.</w:t>
      </w:r>
    </w:p>
    <w:p>
      <w:pPr>
        <w:spacing w:after="0" w:line="174" w:lineRule="exact"/>
        <w:rPr>
          <w:sz w:val="20"/>
          <w:szCs w:val="20"/>
          <w:color w:val="auto"/>
        </w:rPr>
      </w:pPr>
    </w:p>
    <w:p>
      <w:pPr>
        <w:ind w:right="320" w:firstLine="764"/>
        <w:spacing w:after="0" w:line="258" w:lineRule="auto"/>
        <w:rPr>
          <w:sz w:val="20"/>
          <w:szCs w:val="20"/>
          <w:color w:val="auto"/>
        </w:rPr>
      </w:pPr>
      <w:r>
        <w:rPr>
          <w:rFonts w:ascii="Arial" w:cs="Arial" w:eastAsia="Arial" w:hAnsi="Arial"/>
          <w:sz w:val="17"/>
          <w:szCs w:val="17"/>
          <w:color w:val="auto"/>
        </w:rPr>
        <w:t>We have historically met the requirements to receive a tax credit in Denmark of up to $0.9 million per year for losses resulting from research and development costs of up to approximately $4.0 million per year. The tax credit is reported as a reduction to research and development expense in the condensed consolidated statements of operations. We recorded a tax credit of $0.9 million and $0.8 million for the nine month period ended September 30, 2021 and 2020, respectively.</w:t>
      </w:r>
    </w:p>
    <w:p>
      <w:pPr>
        <w:spacing w:after="0" w:line="180" w:lineRule="exact"/>
        <w:rPr>
          <w:sz w:val="20"/>
          <w:szCs w:val="20"/>
          <w:color w:val="auto"/>
        </w:rPr>
      </w:pPr>
    </w:p>
    <w:p>
      <w:pPr>
        <w:ind w:right="60" w:firstLine="764"/>
        <w:spacing w:after="0" w:line="263" w:lineRule="auto"/>
        <w:rPr>
          <w:sz w:val="20"/>
          <w:szCs w:val="20"/>
          <w:color w:val="auto"/>
        </w:rPr>
      </w:pPr>
      <w:r>
        <w:rPr>
          <w:rFonts w:ascii="Arial" w:cs="Arial" w:eastAsia="Arial" w:hAnsi="Arial"/>
          <w:sz w:val="17"/>
          <w:szCs w:val="17"/>
          <w:color w:val="auto"/>
        </w:rPr>
        <w:t>Our direct research and development expenses are not currently tracked on a program-by-program basis. We use our personnel and infrastructure resources across multiple research and development programs directed toward identifying and developing product candidates. The majority of our clinical spending in the three and nine month period ended September 30, 2021 and 2020 was on GB0139.</w:t>
      </w:r>
    </w:p>
    <w:p>
      <w:pPr>
        <w:spacing w:after="0" w:line="174" w:lineRule="exact"/>
        <w:rPr>
          <w:sz w:val="20"/>
          <w:szCs w:val="20"/>
          <w:color w:val="auto"/>
        </w:rPr>
      </w:pPr>
    </w:p>
    <w:p>
      <w:pPr>
        <w:ind w:right="40" w:firstLine="764"/>
        <w:spacing w:after="0" w:line="258"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including investments in conducting clinical trials, manufacturing and otherwise advancing our programs. The process of conducting the necessary clinical research to obtain regulatory approval is costly and time-consuming, and the successful development of our product candidates is highly uncertain.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20" w:name="page21"/>
    <w:bookmarkEnd w:id="20"/>
    <w:p>
      <w:pPr>
        <w:ind w:firstLine="764"/>
        <w:spacing w:after="0" w:line="256" w:lineRule="auto"/>
        <w:rPr>
          <w:sz w:val="20"/>
          <w:szCs w:val="20"/>
          <w:color w:val="auto"/>
        </w:rPr>
      </w:pPr>
      <w:r>
        <w:rPr>
          <w:rFonts w:ascii="Arial" w:cs="Arial" w:eastAsia="Arial" w:hAnsi="Arial"/>
          <w:sz w:val="17"/>
          <w:szCs w:val="17"/>
          <w:color w:val="auto"/>
        </w:rPr>
        <w:t>Because of the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our product candidates. The duration, costs and timing of preclinical studies and clinical trials and development of our product candidates will depend on a variety of factors, including:</w:t>
      </w:r>
    </w:p>
    <w:p>
      <w:pPr>
        <w:spacing w:after="0" w:line="183" w:lineRule="exact"/>
        <w:rPr>
          <w:sz w:val="20"/>
          <w:szCs w:val="20"/>
          <w:color w:val="auto"/>
        </w:rPr>
      </w:pPr>
    </w:p>
    <w:p>
      <w:pPr>
        <w:ind w:left="1040" w:right="180" w:hanging="285"/>
        <w:spacing w:after="0" w:line="275"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successful completion of preclinical studies and initiation of clinical trials for GB0139, our other current product candidates and any future product candidates;</w:t>
      </w:r>
    </w:p>
    <w:p>
      <w:pPr>
        <w:spacing w:after="0" w:line="164" w:lineRule="exact"/>
        <w:rPr>
          <w:rFonts w:ascii="Arial" w:cs="Arial" w:eastAsia="Arial" w:hAnsi="Arial"/>
          <w:sz w:val="17"/>
          <w:szCs w:val="17"/>
          <w:color w:val="auto"/>
        </w:rPr>
      </w:pPr>
    </w:p>
    <w:p>
      <w:pPr>
        <w:ind w:left="1040" w:right="80" w:hanging="285"/>
        <w:spacing w:after="0" w:line="275"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successful enrollment and completion of our Phase 2b clinical trial for GB0139, our current and planned clinical trials for GB2064 and GB1211, and any clinical trials for future product candidates;</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data from our clinical programs that support an acceptable risk-benefit profile of our product candidates in the intended patient populations;</w:t>
      </w:r>
    </w:p>
    <w:p>
      <w:pPr>
        <w:spacing w:after="0" w:line="224" w:lineRule="exact"/>
        <w:rPr>
          <w:rFonts w:ascii="Arial" w:cs="Arial" w:eastAsia="Arial" w:hAnsi="Arial"/>
          <w:sz w:val="16"/>
          <w:szCs w:val="16"/>
          <w:color w:val="auto"/>
        </w:rPr>
      </w:pPr>
    </w:p>
    <w:p>
      <w:pPr>
        <w:ind w:left="1040" w:right="60" w:hanging="285"/>
        <w:spacing w:after="0" w:line="263"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acceptance by the FDA, regulatory authorities in Europe, Medicines and Healthcare products Regulatory Agency, or MHRA, Health Canada or other regulatory agencies of the IND applications, clinical trial applications and/or other regulatory filings for GB0139, our other current product candidates and any future product candidates;</w:t>
      </w:r>
    </w:p>
    <w:p>
      <w:pPr>
        <w:spacing w:after="0" w:line="174"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and maintenance of a workforce of experienced scientists and others to continue to develop our product candidates;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successful application for and receipt of marketing approvals from applicable regulatory authorities;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obtainment and maintenance of intellectual property protection and regulatory exclusivity for our product candidates;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arrangements with third-party manufacturers for, or establishment of, commercial manufacturing capabilities;</w:t>
      </w:r>
    </w:p>
    <w:p>
      <w:pPr>
        <w:spacing w:after="0" w:line="212" w:lineRule="exact"/>
        <w:rPr>
          <w:rFonts w:ascii="Arial" w:cs="Arial" w:eastAsia="Arial" w:hAnsi="Arial"/>
          <w:sz w:val="17"/>
          <w:szCs w:val="17"/>
          <w:color w:val="auto"/>
        </w:rPr>
      </w:pPr>
    </w:p>
    <w:p>
      <w:pPr>
        <w:ind w:left="1040" w:right="380" w:hanging="285"/>
        <w:spacing w:after="0" w:line="275"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establishment of sales, marketing and distribution capabilities and successful launch of commercial sales of our products, if and when approved, whether alone or in collaboration with others;</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acceptance of our products, if and when approved, by patients, the medical community and third-party payors;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 competition with other therapies;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obtainment and maintenance of coverage, adequate pricing and adequate reimbursement from third-party payors, including government payors;</w:t>
      </w:r>
    </w:p>
    <w:p>
      <w:pPr>
        <w:spacing w:after="0" w:line="224" w:lineRule="exact"/>
        <w:rPr>
          <w:rFonts w:ascii="Arial" w:cs="Arial" w:eastAsia="Arial" w:hAnsi="Arial"/>
          <w:sz w:val="16"/>
          <w:szCs w:val="16"/>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maintenance, enforcement, defense and protection of our rights in our intellectual property portfolio;</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avoidance of infringement, misappropriation or other violations with respect to others’ intellectual property or proprietary rights; and</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maintenance of a continued acceptable safety profile of our products following receipt of any marketing approvals.</w:t>
      </w:r>
    </w:p>
    <w:p>
      <w:pPr>
        <w:spacing w:after="0" w:line="213" w:lineRule="exact"/>
        <w:rPr>
          <w:sz w:val="20"/>
          <w:szCs w:val="20"/>
          <w:color w:val="auto"/>
        </w:rPr>
      </w:pPr>
    </w:p>
    <w:p>
      <w:pPr>
        <w:ind w:right="20" w:firstLine="764"/>
        <w:spacing w:after="0" w:line="296" w:lineRule="auto"/>
        <w:rPr>
          <w:sz w:val="20"/>
          <w:szCs w:val="20"/>
          <w:color w:val="auto"/>
        </w:rPr>
      </w:pPr>
      <w:r>
        <w:rPr>
          <w:rFonts w:ascii="Arial" w:cs="Arial" w:eastAsia="Arial" w:hAnsi="Arial"/>
          <w:sz w:val="15"/>
          <w:szCs w:val="15"/>
          <w:color w:val="auto"/>
        </w:rPr>
        <w:t>We may never succeed in achieving regulatory approval for any of our product candidates.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53" w:lineRule="exact"/>
        <w:rPr>
          <w:sz w:val="20"/>
          <w:szCs w:val="20"/>
          <w:color w:val="auto"/>
        </w:rPr>
      </w:pPr>
    </w:p>
    <w:p>
      <w:pPr>
        <w:ind w:right="100" w:firstLine="764"/>
        <w:spacing w:after="0" w:line="256"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for the foreseeable future as we continue to implement our business strategy, which includes advancing GB0139 through clinical development and other product candidates further into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1" w:name="page22"/>
    <w:bookmarkEnd w:id="21"/>
    <w:p>
      <w:pPr>
        <w:ind w:right="40"/>
        <w:spacing w:after="0" w:line="276" w:lineRule="auto"/>
        <w:rPr>
          <w:sz w:val="20"/>
          <w:szCs w:val="20"/>
          <w:color w:val="auto"/>
        </w:rPr>
      </w:pPr>
      <w:r>
        <w:rPr>
          <w:rFonts w:ascii="Arial" w:cs="Arial" w:eastAsia="Arial" w:hAnsi="Arial"/>
          <w:sz w:val="16"/>
          <w:szCs w:val="16"/>
          <w:color w:val="auto"/>
        </w:rPr>
        <w:t>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3" w:lineRule="exact"/>
        <w:rPr>
          <w:sz w:val="20"/>
          <w:szCs w:val="20"/>
          <w:color w:val="auto"/>
        </w:rPr>
      </w:pPr>
    </w:p>
    <w:p>
      <w:pPr>
        <w:ind w:right="60" w:firstLine="764"/>
        <w:spacing w:after="0" w:line="294" w:lineRule="auto"/>
        <w:rPr>
          <w:sz w:val="20"/>
          <w:szCs w:val="20"/>
          <w:color w:val="auto"/>
        </w:rPr>
      </w:pPr>
      <w:r>
        <w:rPr>
          <w:rFonts w:ascii="Arial" w:cs="Arial" w:eastAsia="Arial" w:hAnsi="Arial"/>
          <w:sz w:val="15"/>
          <w:szCs w:val="15"/>
          <w:color w:val="auto"/>
        </w:rPr>
        <w:t>Our general and administrative expenses consist primarily of personnel costs, depreciation expense and other expenses for outside professional services, including legal, human resources, audit and accounting services and facility-related fees not otherwise included in research and development expenses. Personnel costs consist of salaries, benefits and stock-based compensation expense, for our personnel in executive, finance and accounting, business operations and other administrative functions. We expect our general and administrative expenses to increase over the next several years to support our continued research and development activities, manufacturing activities, increased costs of expanding our operations and operating as a public company. These increases will likely include increases related to the hiring of additional personnel and legal, regulatory and other fees and services associated with maintaining compliance with Nasdaq listing rules and SEC requirements, director and officer insurance premiums and investor relations costs associated with being a public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Our other income (expense), net is comprised of:</w:t>
      </w:r>
    </w:p>
    <w:p>
      <w:pPr>
        <w:spacing w:after="0" w:line="213" w:lineRule="exact"/>
        <w:rPr>
          <w:sz w:val="20"/>
          <w:szCs w:val="20"/>
          <w:color w:val="auto"/>
        </w:rPr>
      </w:pPr>
    </w:p>
    <w:p>
      <w:pPr>
        <w:ind w:left="1040" w:right="80" w:hanging="285"/>
        <w:spacing w:after="0" w:line="275"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income: The interest income earned on our cash, cash equivalents, restricted cash and marketable securities are recorded in our statements of operations.</w:t>
      </w:r>
    </w:p>
    <w:p>
      <w:pPr>
        <w:spacing w:after="0" w:line="164" w:lineRule="exact"/>
        <w:rPr>
          <w:rFonts w:ascii="Arial" w:cs="Arial" w:eastAsia="Arial" w:hAnsi="Arial"/>
          <w:sz w:val="17"/>
          <w:szCs w:val="17"/>
          <w:color w:val="auto"/>
        </w:rPr>
      </w:pPr>
    </w:p>
    <w:p>
      <w:pPr>
        <w:ind w:left="1040" w:right="300" w:hanging="285"/>
        <w:spacing w:after="0" w:line="275"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Foreign exchange: The functional currency of our subsidiaries in Denmark and Sweden is the Euro. Transactions denominated in currencies other than the Euro result in exchange gains and losses that are recorded in our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Three Months Ended September 30, 2021 and 2020</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sets forth our results of operations for the three months ended September 30, 2021 and 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7"/>
              </w:rPr>
              <w:t>Change</w:t>
            </w:r>
          </w:p>
        </w:tc>
        <w:tc>
          <w:tcPr>
            <w:tcW w:w="100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1"/>
              <w:spacing w:after="0" w:line="146"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9"/>
              <w:spacing w:after="0" w:line="146"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80"/>
              <w:spacing w:after="0" w:line="146" w:lineRule="exact"/>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tcPr>
          <w:p>
            <w:pPr>
              <w:jc w:val="right"/>
              <w:ind w:right="377"/>
              <w:spacing w:after="0" w:line="146" w:lineRule="exact"/>
              <w:rPr>
                <w:sz w:val="20"/>
                <w:szCs w:val="20"/>
                <w:color w:val="auto"/>
              </w:rPr>
            </w:pPr>
            <w:r>
              <w:rPr>
                <w:rFonts w:ascii="Arial" w:cs="Arial" w:eastAsia="Arial" w:hAnsi="Arial"/>
                <w:sz w:val="14"/>
                <w:szCs w:val="14"/>
                <w:b w:val="1"/>
                <w:bCs w:val="1"/>
                <w:color w:val="auto"/>
              </w:rPr>
              <w:t>Percent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00" w:type="dxa"/>
            <w:vAlign w:val="bottom"/>
            <w:gridSpan w:val="6"/>
          </w:tcPr>
          <w:p>
            <w:pPr>
              <w:ind w:left="360"/>
              <w:spacing w:after="0" w:line="146"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90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9,748</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7,651</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2,097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5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16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3,191</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7"/>
                <w:szCs w:val="17"/>
                <w:color w:val="auto"/>
              </w:rPr>
              <w:t>2,515</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676</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560" w:type="dxa"/>
            <w:vAlign w:val="bottom"/>
          </w:tcPr>
          <w:p>
            <w:pPr>
              <w:ind w:left="460"/>
              <w:spacing w:after="0"/>
              <w:rPr>
                <w:sz w:val="20"/>
                <w:szCs w:val="20"/>
                <w:color w:val="auto"/>
              </w:rPr>
            </w:pPr>
            <w:r>
              <w:rPr>
                <w:rFonts w:ascii="Arial" w:cs="Arial" w:eastAsia="Arial" w:hAnsi="Arial"/>
                <w:sz w:val="17"/>
                <w:szCs w:val="17"/>
                <w:color w:val="auto"/>
              </w:rPr>
              <w:t>Total operating expenses</w:t>
            </w:r>
          </w:p>
        </w:tc>
        <w:tc>
          <w:tcPr>
            <w:tcW w:w="1900" w:type="dxa"/>
            <w:vAlign w:val="bottom"/>
            <w:gridSpan w:val="2"/>
          </w:tcPr>
          <w:p>
            <w:pPr>
              <w:jc w:val="right"/>
              <w:ind w:right="86"/>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12,939</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9"/>
              <w:spacing w:after="0"/>
              <w:rPr>
                <w:sz w:val="20"/>
                <w:szCs w:val="20"/>
                <w:color w:val="auto"/>
              </w:rPr>
            </w:pPr>
            <w:r>
              <w:rPr>
                <w:rFonts w:ascii="Arial" w:cs="Arial" w:eastAsia="Arial" w:hAnsi="Arial"/>
                <w:sz w:val="17"/>
                <w:szCs w:val="17"/>
                <w:color w:val="auto"/>
              </w:rPr>
              <w:t>10,166</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16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(12,939)</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(10,166)</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(2,773)</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580"/>
              <w:spacing w:after="0"/>
              <w:rPr>
                <w:sz w:val="20"/>
                <w:szCs w:val="20"/>
                <w:color w:val="auto"/>
              </w:rPr>
            </w:pPr>
            <w:r>
              <w:rPr>
                <w:rFonts w:ascii="Arial" w:cs="Arial" w:eastAsia="Arial" w:hAnsi="Arial"/>
                <w:sz w:val="17"/>
                <w:szCs w:val="17"/>
                <w:color w:val="auto"/>
              </w:rPr>
              <w:t>Other income (expense), net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1,728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-116.4%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60" w:type="dxa"/>
            <w:vAlign w:val="bottom"/>
            <w:vMerge w:val="continue"/>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(12,696)</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(11,651)</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bottom w:val="single" w:sz="8" w:color="CFF0FC"/>
            </w:tcBorders>
            <w:vMerge w:val="restart"/>
          </w:tcPr>
          <w:p>
            <w:pPr>
              <w:jc w:val="right"/>
              <w:ind w:right="15"/>
              <w:spacing w:after="0"/>
              <w:rPr>
                <w:sz w:val="20"/>
                <w:szCs w:val="20"/>
                <w:color w:val="auto"/>
              </w:rPr>
            </w:pPr>
            <w:r>
              <w:rPr>
                <w:rFonts w:ascii="Arial" w:cs="Arial" w:eastAsia="Arial" w:hAnsi="Arial"/>
                <w:sz w:val="17"/>
                <w:szCs w:val="17"/>
                <w:color w:val="auto"/>
              </w:rPr>
              <w:t>21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Research and development expenses were comprised of:</w:t>
      </w:r>
    </w:p>
    <w:p>
      <w:pPr>
        <w:spacing w:after="0" w:line="29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4"/>
          </w:tcPr>
          <w:p>
            <w:pPr>
              <w:jc w:val="center"/>
              <w:ind w:left="312"/>
              <w:spacing w:after="0"/>
              <w:rPr>
                <w:sz w:val="20"/>
                <w:szCs w:val="20"/>
                <w:color w:val="auto"/>
              </w:rPr>
            </w:pPr>
            <w:r>
              <w:rPr>
                <w:rFonts w:ascii="Arial" w:cs="Arial" w:eastAsia="Arial" w:hAnsi="Arial"/>
                <w:sz w:val="14"/>
                <w:szCs w:val="14"/>
                <w:b w:val="1"/>
                <w:bCs w:val="1"/>
                <w:color w:val="auto"/>
                <w:w w:val="89"/>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1"/>
        </w:trPr>
        <w:tc>
          <w:tcPr>
            <w:tcW w:w="4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right="232"/>
              <w:spacing w:after="0"/>
              <w:rPr>
                <w:sz w:val="20"/>
                <w:szCs w:val="20"/>
                <w:color w:val="auto"/>
              </w:rPr>
            </w:pPr>
            <w:r>
              <w:rPr>
                <w:rFonts w:ascii="Arial" w:cs="Arial" w:eastAsia="Arial" w:hAnsi="Arial"/>
                <w:sz w:val="14"/>
                <w:szCs w:val="14"/>
                <w:b w:val="1"/>
                <w:bCs w:val="1"/>
                <w:color w:val="auto"/>
                <w:w w:val="87"/>
              </w:rPr>
              <w:t>September 30,</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7"/>
              </w:rPr>
              <w:t>Change</w:t>
            </w:r>
          </w:p>
        </w:tc>
      </w:tr>
      <w:tr>
        <w:trPr>
          <w:trHeight w:val="146"/>
        </w:trPr>
        <w:tc>
          <w:tcPr>
            <w:tcW w:w="4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00"/>
              <w:spacing w:after="0" w:line="146" w:lineRule="exact"/>
              <w:rPr>
                <w:sz w:val="20"/>
                <w:szCs w:val="20"/>
                <w:color w:val="auto"/>
              </w:rPr>
            </w:pPr>
            <w:r>
              <w:rPr>
                <w:rFonts w:ascii="Arial" w:cs="Arial" w:eastAsia="Arial" w:hAnsi="Arial"/>
                <w:sz w:val="14"/>
                <w:szCs w:val="14"/>
                <w:b w:val="1"/>
                <w:bCs w:val="1"/>
                <w:color w:val="auto"/>
                <w:w w:val="98"/>
              </w:rPr>
              <w:t>Amount</w:t>
            </w:r>
          </w:p>
        </w:tc>
      </w:tr>
      <w:tr>
        <w:trPr>
          <w:trHeight w:val="146"/>
        </w:trPr>
        <w:tc>
          <w:tcPr>
            <w:tcW w:w="4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7"/>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Preclinical studies and clinical trial-related activities</w:t>
            </w:r>
          </w:p>
        </w:tc>
        <w:tc>
          <w:tcPr>
            <w:tcW w:w="162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9"/>
              </w:rPr>
              <w:t>5,312</w:t>
            </w:r>
          </w:p>
        </w:tc>
        <w:tc>
          <w:tcPr>
            <w:tcW w:w="8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9"/>
              </w:rPr>
              <w:t>3,210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2,102</w:t>
            </w:r>
          </w:p>
        </w:tc>
      </w:tr>
      <w:tr>
        <w:trPr>
          <w:trHeight w:val="216"/>
        </w:trPr>
        <w:tc>
          <w:tcPr>
            <w:tcW w:w="4500" w:type="dxa"/>
            <w:vAlign w:val="bottom"/>
          </w:tcPr>
          <w:p>
            <w:pPr>
              <w:spacing w:after="0"/>
              <w:rPr>
                <w:sz w:val="20"/>
                <w:szCs w:val="20"/>
                <w:color w:val="auto"/>
              </w:rPr>
            </w:pPr>
            <w:r>
              <w:rPr>
                <w:rFonts w:ascii="Arial" w:cs="Arial" w:eastAsia="Arial" w:hAnsi="Arial"/>
                <w:sz w:val="17"/>
                <w:szCs w:val="17"/>
                <w:color w:val="auto"/>
              </w:rPr>
              <w:t>Chemistry, manufacturing and control</w:t>
            </w: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7"/>
                <w:szCs w:val="17"/>
                <w:color w:val="auto"/>
                <w:w w:val="89"/>
              </w:rPr>
              <w:t>1,314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w w:val="89"/>
              </w:rPr>
              <w:t>2,150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(836)</w:t>
            </w:r>
          </w:p>
        </w:tc>
      </w:tr>
      <w:tr>
        <w:trPr>
          <w:trHeight w:val="217"/>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Personnel</w:t>
            </w:r>
          </w:p>
        </w:tc>
        <w:tc>
          <w:tcPr>
            <w:tcW w:w="9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9"/>
              </w:rPr>
              <w:t>2,046</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9"/>
              </w:rPr>
              <w:t>1,068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978</w:t>
            </w:r>
          </w:p>
        </w:tc>
      </w:tr>
      <w:tr>
        <w:trPr>
          <w:trHeight w:val="216"/>
        </w:trPr>
        <w:tc>
          <w:tcPr>
            <w:tcW w:w="45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Consultants and other costs</w:t>
            </w:r>
          </w:p>
        </w:tc>
        <w:tc>
          <w:tcPr>
            <w:tcW w:w="94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w w:val="89"/>
              </w:rPr>
              <w:t>1,076</w:t>
            </w:r>
          </w:p>
        </w:tc>
        <w:tc>
          <w:tcPr>
            <w:tcW w:w="1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9"/>
              </w:rPr>
              <w:t>1,223</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7"/>
                <w:szCs w:val="17"/>
                <w:color w:val="auto"/>
              </w:rPr>
              <w:t>Total research and development expenses</w:t>
            </w:r>
          </w:p>
        </w:tc>
        <w:tc>
          <w:tcPr>
            <w:tcW w:w="1620" w:type="dxa"/>
            <w:vAlign w:val="bottom"/>
            <w:gridSpan w:val="2"/>
            <w:shd w:val="clear" w:color="auto" w:fill="CFF0FC"/>
          </w:tcPr>
          <w:p>
            <w:pPr>
              <w:jc w:val="right"/>
              <w:ind w:right="532"/>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9"/>
              </w:rPr>
              <w:t>9,748</w:t>
            </w:r>
          </w:p>
        </w:tc>
        <w:tc>
          <w:tcPr>
            <w:tcW w:w="8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w w:val="89"/>
              </w:rPr>
              <w:t>7,651</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2,097</w:t>
            </w:r>
          </w:p>
        </w:tc>
      </w:tr>
      <w:tr>
        <w:trPr>
          <w:trHeight w:val="20"/>
        </w:trPr>
        <w:tc>
          <w:tcPr>
            <w:tcW w:w="45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firstLine="764"/>
        <w:spacing w:after="0" w:line="256" w:lineRule="auto"/>
        <w:rPr>
          <w:sz w:val="20"/>
          <w:szCs w:val="20"/>
          <w:color w:val="auto"/>
        </w:rPr>
      </w:pPr>
      <w:r>
        <w:rPr>
          <w:rFonts w:ascii="Arial" w:cs="Arial" w:eastAsia="Arial" w:hAnsi="Arial"/>
          <w:sz w:val="17"/>
          <w:szCs w:val="17"/>
          <w:color w:val="auto"/>
        </w:rPr>
        <w:t>Research and development expenses were $9.7 million for the three months ended September 30, 2021, compared to $7.7 million for the three months ended September 30, 2020. The increase of $2.0 million was primarily related to an increase in clinical trial-related expenses of $2.1 million resulting from the GALACTIC-1 trial and the commencement of two new clinical trials; and increased personnel costs due to additional headcount of $0.5 million and personnel costs for non-cash stock-based compensation of $0.5 million; offset by a decrease in manufacturing expenses of $0.8 million and other research and development related expenses of $0.2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3" w:lineRule="exact"/>
        <w:rPr>
          <w:sz w:val="20"/>
          <w:szCs w:val="20"/>
          <w:color w:val="auto"/>
        </w:rPr>
      </w:pPr>
    </w:p>
    <w:p>
      <w:pPr>
        <w:ind w:right="60" w:firstLine="764"/>
        <w:spacing w:after="0" w:line="258" w:lineRule="auto"/>
        <w:rPr>
          <w:sz w:val="20"/>
          <w:szCs w:val="20"/>
          <w:color w:val="auto"/>
        </w:rPr>
      </w:pPr>
      <w:r>
        <w:rPr>
          <w:rFonts w:ascii="Arial" w:cs="Arial" w:eastAsia="Arial" w:hAnsi="Arial"/>
          <w:sz w:val="17"/>
          <w:szCs w:val="17"/>
          <w:color w:val="auto"/>
        </w:rPr>
        <w:t>General and administrative expenses were $3.2 million for the three months ended September 30, 2021, compared to $2.5 million for the three months ended September 30, 2020. The increase of $0.7 million was primarily related to an increase in insurance costs of $0.5 million; increased personnel costs due to additional headcount of $0.4 million; non-cash stock-based compensation of $0.6 million; offset by a decrease in accounting costs of $0.6 million; and other general and administrative costs of $0.2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3" w:lineRule="exact"/>
        <w:rPr>
          <w:sz w:val="20"/>
          <w:szCs w:val="20"/>
          <w:color w:val="auto"/>
        </w:rPr>
      </w:pPr>
    </w:p>
    <w:p>
      <w:pPr>
        <w:ind w:right="400" w:firstLine="764"/>
        <w:spacing w:after="0" w:line="263" w:lineRule="auto"/>
        <w:rPr>
          <w:sz w:val="20"/>
          <w:szCs w:val="20"/>
          <w:color w:val="auto"/>
        </w:rPr>
      </w:pPr>
      <w:r>
        <w:rPr>
          <w:rFonts w:ascii="Arial" w:cs="Arial" w:eastAsia="Arial" w:hAnsi="Arial"/>
          <w:sz w:val="17"/>
          <w:szCs w:val="17"/>
          <w:color w:val="auto"/>
        </w:rPr>
        <w:t>Other income (expense), net for the three months ended September 30, 2021 and 2020 were a net income of $0.2 million for the three months ended September 30, 2021, compared to a net expense of $1.5 million for the three months ended September 30, 2020. The increase of $1.7 million was due to the following:</w:t>
      </w:r>
    </w:p>
    <w:p>
      <w:pPr>
        <w:spacing w:after="0" w:line="174" w:lineRule="exact"/>
        <w:rPr>
          <w:sz w:val="20"/>
          <w:szCs w:val="20"/>
          <w:color w:val="auto"/>
        </w:rPr>
      </w:pPr>
    </w:p>
    <w:p>
      <w:pPr>
        <w:ind w:left="1320" w:right="460" w:hanging="284"/>
        <w:spacing w:after="0" w:line="275"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interest income was $35,000 for the three months ended September 30, 2021. There was no interest income for the three months ended September 30, 2020.</w:t>
      </w:r>
    </w:p>
    <w:p>
      <w:pPr>
        <w:spacing w:after="0" w:line="164" w:lineRule="exact"/>
        <w:rPr>
          <w:rFonts w:ascii="Arial" w:cs="Arial" w:eastAsia="Arial" w:hAnsi="Arial"/>
          <w:sz w:val="17"/>
          <w:szCs w:val="17"/>
          <w:color w:val="auto"/>
        </w:rPr>
      </w:pPr>
    </w:p>
    <w:p>
      <w:pPr>
        <w:ind w:left="1320" w:right="80" w:hanging="284"/>
        <w:spacing w:after="0" w:line="275" w:lineRule="auto"/>
        <w:tabs>
          <w:tab w:leader="none" w:pos="1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foreign exchange gains were $0.2 million for the three months ended September 30, 2021 and net foreign exchange losses were $1.5 million for the three months ended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Nine Months Ended September 30, 2021 and 2020</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sets forth our results of operations for the nine months ended September 30, 2021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1"/>
              <w:spacing w:after="0" w:line="146"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9"/>
              <w:spacing w:after="0" w:line="146"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ind w:left="20"/>
              <w:spacing w:after="0" w:line="146" w:lineRule="exact"/>
              <w:rPr>
                <w:sz w:val="20"/>
                <w:szCs w:val="20"/>
                <w:color w:val="auto"/>
              </w:rPr>
            </w:pPr>
            <w:r>
              <w:rPr>
                <w:rFonts w:ascii="Arial" w:cs="Arial" w:eastAsia="Arial" w:hAnsi="Arial"/>
                <w:sz w:val="14"/>
                <w:szCs w:val="14"/>
                <w:b w:val="1"/>
                <w:bCs w:val="1"/>
                <w:color w:val="auto"/>
              </w:rPr>
              <w:t>Amount</w:t>
            </w:r>
          </w:p>
        </w:tc>
        <w:tc>
          <w:tcPr>
            <w:tcW w:w="920" w:type="dxa"/>
            <w:vAlign w:val="bottom"/>
            <w:tcBorders>
              <w:bottom w:val="single" w:sz="8" w:color="auto"/>
            </w:tcBorders>
          </w:tcPr>
          <w:p>
            <w:pPr>
              <w:ind w:left="120"/>
              <w:spacing w:after="0" w:line="146"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3"/>
          </w:tcPr>
          <w:p>
            <w:pPr>
              <w:jc w:val="right"/>
              <w:spacing w:after="0" w:line="146"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26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28,373</w:t>
            </w:r>
          </w:p>
        </w:tc>
        <w:tc>
          <w:tcPr>
            <w:tcW w:w="2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16,874</w:t>
            </w:r>
          </w:p>
        </w:tc>
        <w:tc>
          <w:tcPr>
            <w:tcW w:w="2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11,499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68.1%</w:t>
            </w:r>
          </w:p>
        </w:tc>
        <w:tc>
          <w:tcPr>
            <w:tcW w:w="0" w:type="dxa"/>
            <w:vAlign w:val="bottom"/>
          </w:tcPr>
          <w:p>
            <w:pPr>
              <w:spacing w:after="0"/>
              <w:rPr>
                <w:sz w:val="1"/>
                <w:szCs w:val="1"/>
                <w:color w:val="auto"/>
              </w:rPr>
            </w:pPr>
          </w:p>
        </w:tc>
      </w:tr>
      <w:tr>
        <w:trPr>
          <w:trHeight w:val="217"/>
        </w:trPr>
        <w:tc>
          <w:tcPr>
            <w:tcW w:w="3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5,461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4,925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0"/>
        </w:trPr>
        <w:tc>
          <w:tcPr>
            <w:tcW w:w="3840" w:type="dxa"/>
            <w:vAlign w:val="bottom"/>
            <w:vMerge w:val="restart"/>
          </w:tcPr>
          <w:p>
            <w:pPr>
              <w:ind w:left="460"/>
              <w:spacing w:after="0"/>
              <w:rPr>
                <w:sz w:val="20"/>
                <w:szCs w:val="20"/>
                <w:color w:val="auto"/>
              </w:rPr>
            </w:pPr>
            <w:r>
              <w:rPr>
                <w:rFonts w:ascii="Arial" w:cs="Arial" w:eastAsia="Arial" w:hAnsi="Arial"/>
                <w:sz w:val="17"/>
                <w:szCs w:val="17"/>
                <w:color w:val="auto"/>
              </w:rPr>
              <w:t>Total operating expenses</w:t>
            </w: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4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38,759</w:t>
            </w:r>
          </w:p>
        </w:tc>
        <w:tc>
          <w:tcPr>
            <w:tcW w:w="2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22,335</w:t>
            </w:r>
          </w:p>
        </w:tc>
        <w:tc>
          <w:tcPr>
            <w:tcW w:w="2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16,424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0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(38,759)</w:t>
            </w:r>
          </w:p>
        </w:tc>
        <w:tc>
          <w:tcPr>
            <w:tcW w:w="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(22,335)</w:t>
            </w: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(16,424)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(925)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-145.0%</w:t>
            </w:r>
          </w:p>
        </w:tc>
        <w:tc>
          <w:tcPr>
            <w:tcW w:w="0" w:type="dxa"/>
            <w:vAlign w:val="bottom"/>
          </w:tcPr>
          <w:p>
            <w:pPr>
              <w:spacing w:after="0"/>
              <w:rPr>
                <w:sz w:val="1"/>
                <w:szCs w:val="1"/>
                <w:color w:val="auto"/>
              </w:rPr>
            </w:pPr>
          </w:p>
        </w:tc>
      </w:tr>
      <w:tr>
        <w:trPr>
          <w:trHeight w:val="20"/>
        </w:trPr>
        <w:tc>
          <w:tcPr>
            <w:tcW w:w="3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20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vMerge w:val="continue"/>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(38,343)</w:t>
            </w: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(23,260)</w:t>
            </w:r>
          </w:p>
        </w:tc>
        <w:tc>
          <w:tcPr>
            <w:tcW w:w="32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(15,083)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bottom w:val="single" w:sz="8" w:color="CFF0FC"/>
            </w:tcBorders>
            <w:vMerge w:val="restart"/>
          </w:tcPr>
          <w:p>
            <w:pPr>
              <w:jc w:val="right"/>
              <w:ind w:right="55"/>
              <w:spacing w:after="0"/>
              <w:rPr>
                <w:sz w:val="20"/>
                <w:szCs w:val="20"/>
                <w:color w:val="auto"/>
              </w:rPr>
            </w:pPr>
            <w:r>
              <w:rPr>
                <w:rFonts w:ascii="Arial" w:cs="Arial" w:eastAsia="Arial" w:hAnsi="Arial"/>
                <w:sz w:val="17"/>
                <w:szCs w:val="17"/>
                <w:color w:val="auto"/>
              </w:rPr>
              <w:t>22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84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Research and development expenses were comprised of:</w:t>
      </w:r>
    </w:p>
    <w:tbl>
      <w:tblPr>
        <w:tblLayout w:type="fixed"/>
        <w:tblInd w:w="0" w:type="dxa"/>
        <w:tblCellMar>
          <w:top w:w="0" w:type="dxa"/>
          <w:left w:w="0" w:type="dxa"/>
          <w:bottom w:w="0" w:type="dxa"/>
          <w:right w:w="0" w:type="dxa"/>
        </w:tblCellMar>
      </w:tblPr>
      <w:tr>
        <w:trPr>
          <w:trHeight w:val="154"/>
        </w:trPr>
        <w:tc>
          <w:tcPr>
            <w:tcW w:w="5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3"/>
          </w:tcPr>
          <w:p>
            <w:pPr>
              <w:jc w:val="right"/>
              <w:spacing w:after="0" w:line="154" w:lineRule="exact"/>
              <w:rPr>
                <w:sz w:val="20"/>
                <w:szCs w:val="20"/>
                <w:color w:val="auto"/>
              </w:rPr>
            </w:pPr>
            <w:r>
              <w:rPr>
                <w:rFonts w:ascii="Arial" w:cs="Arial" w:eastAsia="Arial" w:hAnsi="Arial"/>
                <w:sz w:val="14"/>
                <w:szCs w:val="14"/>
                <w:b w:val="1"/>
                <w:bCs w:val="1"/>
                <w:color w:val="auto"/>
                <w:w w:val="90"/>
              </w:rPr>
              <w:t>Nine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58"/>
              <w:spacing w:after="0" w:line="146"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40"/>
              <w:spacing w:after="0" w:line="146"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178"/>
              <w:spacing w:after="0" w:line="146"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Preclinical studies and clinical trial-related activities</w:t>
            </w:r>
          </w:p>
        </w:tc>
        <w:tc>
          <w:tcPr>
            <w:tcW w:w="2380" w:type="dxa"/>
            <w:vAlign w:val="bottom"/>
            <w:gridSpan w:val="2"/>
            <w:shd w:val="clear" w:color="auto" w:fill="CFF0FC"/>
          </w:tcPr>
          <w:p>
            <w:pPr>
              <w:jc w:val="right"/>
              <w:ind w:right="643"/>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14,115</w:t>
            </w:r>
          </w:p>
        </w:tc>
        <w:tc>
          <w:tcPr>
            <w:tcW w:w="740" w:type="dxa"/>
            <w:vAlign w:val="bottom"/>
            <w:gridSpan w:val="2"/>
            <w:shd w:val="clear" w:color="auto" w:fill="CFF0FC"/>
          </w:tcPr>
          <w:p>
            <w:pPr>
              <w:jc w:val="right"/>
              <w:ind w:right="332"/>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6,629</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Chemistry, manufacturing and control</w:t>
            </w: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5,708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4,513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Personnel</w:t>
            </w:r>
          </w:p>
        </w:tc>
        <w:tc>
          <w:tcPr>
            <w:tcW w:w="15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5,748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7"/>
                <w:szCs w:val="17"/>
                <w:color w:val="auto"/>
              </w:rPr>
              <w:t>Consultants and other costs</w:t>
            </w:r>
          </w:p>
        </w:tc>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2,802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51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research and development expenses</w:t>
            </w:r>
          </w:p>
        </w:tc>
        <w:tc>
          <w:tcPr>
            <w:tcW w:w="15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43"/>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2"/>
              </w:rPr>
              <w:t>28,373</w:t>
            </w:r>
          </w:p>
        </w:tc>
        <w:tc>
          <w:tcPr>
            <w:tcW w:w="740" w:type="dxa"/>
            <w:vAlign w:val="bottom"/>
            <w:gridSpan w:val="2"/>
            <w:shd w:val="clear" w:color="auto" w:fill="CFF0FC"/>
          </w:tcPr>
          <w:p>
            <w:pPr>
              <w:jc w:val="right"/>
              <w:ind w:right="332"/>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16,874</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40" w:firstLine="764"/>
        <w:spacing w:after="0" w:line="256" w:lineRule="auto"/>
        <w:rPr>
          <w:sz w:val="20"/>
          <w:szCs w:val="20"/>
          <w:color w:val="auto"/>
        </w:rPr>
      </w:pPr>
      <w:r>
        <w:rPr>
          <w:rFonts w:ascii="Arial" w:cs="Arial" w:eastAsia="Arial" w:hAnsi="Arial"/>
          <w:sz w:val="17"/>
          <w:szCs w:val="17"/>
          <w:color w:val="auto"/>
        </w:rPr>
        <w:t>Research and development expenses were $28.4 million for the nine months ended September 30, 2021, compared to $16.9 million for the nine months ended September 30, 2020. The increase of $11.5 million was primarily related to an increase in clinical trial-related expenses of $7.5 million resulting from the GALACTIC-1 trial and the commencement of two new clinical trials; increased CMC activities to prepare for these clinical trials of $1.2 million; increased personnel costs due to additional headcount of $1.8 million and personnel costs for non-cash stock-based compensation of $1.1 million; offset by a decrease in other research and development costs of $0.1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3" w:lineRule="exact"/>
        <w:rPr>
          <w:sz w:val="20"/>
          <w:szCs w:val="20"/>
          <w:color w:val="auto"/>
        </w:rPr>
      </w:pPr>
    </w:p>
    <w:p>
      <w:pPr>
        <w:ind w:right="120" w:firstLine="764"/>
        <w:spacing w:after="0" w:line="258" w:lineRule="auto"/>
        <w:rPr>
          <w:sz w:val="20"/>
          <w:szCs w:val="20"/>
          <w:color w:val="auto"/>
        </w:rPr>
      </w:pPr>
      <w:r>
        <w:rPr>
          <w:rFonts w:ascii="Arial" w:cs="Arial" w:eastAsia="Arial" w:hAnsi="Arial"/>
          <w:sz w:val="17"/>
          <w:szCs w:val="17"/>
          <w:color w:val="auto"/>
        </w:rPr>
        <w:t>General and administrative expenses were $10.4 million for the nine months ended September 30, 2021, compared to $5.5 million for the nine months ended September 30, 2020. The increase of $4.9 million was primarily related to an increase in insurance costs of $1.5 million and increased personnel costs due to additional headcount of $1.4 million as well as non-cash stock-based compensation of $1.6 million; consultant costs of $0.5 million; and other general and administrative costs of $0.7 million; offset by a decrease in accounting costs of $0.8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income (expense), net for the nine months ended September 30, 2021 and 2020 were net income of $0.4 million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2021, compared to a net loss of $0.9 million for the nine months ended September 30, 2020. The increase of $1.3 million was due to the following:</w:t>
      </w:r>
    </w:p>
    <w:p>
      <w:pPr>
        <w:spacing w:after="0" w:line="225" w:lineRule="exact"/>
        <w:rPr>
          <w:sz w:val="20"/>
          <w:szCs w:val="20"/>
          <w:color w:val="auto"/>
        </w:rPr>
      </w:pPr>
    </w:p>
    <w:p>
      <w:pPr>
        <w:ind w:left="1320" w:right="280" w:hanging="284"/>
        <w:spacing w:after="0" w:line="275" w:lineRule="auto"/>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interest income was $0.1 million for the nine months ended September 30, 2021. There was no interest income for the nine months ended September 30, 2020.</w:t>
      </w:r>
    </w:p>
    <w:p>
      <w:pPr>
        <w:spacing w:after="0" w:line="164" w:lineRule="exact"/>
        <w:rPr>
          <w:rFonts w:ascii="Arial" w:cs="Arial" w:eastAsia="Arial" w:hAnsi="Arial"/>
          <w:sz w:val="17"/>
          <w:szCs w:val="17"/>
          <w:color w:val="auto"/>
        </w:rPr>
      </w:pPr>
    </w:p>
    <w:p>
      <w:pPr>
        <w:ind w:left="1320" w:right="140" w:hanging="284"/>
        <w:spacing w:after="0" w:line="275" w:lineRule="auto"/>
        <w:tabs>
          <w:tab w:leader="none" w:pos="1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Net foreign exchange gains were $0.3 million for the nine months ended September 30, 2021 and net foreign exchange losses were $0.9 million for the nine months ended September 30, 2020.</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13" w:lineRule="exact"/>
        <w:rPr>
          <w:sz w:val="20"/>
          <w:szCs w:val="20"/>
          <w:color w:val="auto"/>
        </w:rPr>
      </w:pPr>
    </w:p>
    <w:p>
      <w:pPr>
        <w:ind w:right="20" w:firstLine="764"/>
        <w:spacing w:after="0" w:line="287" w:lineRule="auto"/>
        <w:rPr>
          <w:sz w:val="20"/>
          <w:szCs w:val="20"/>
          <w:color w:val="auto"/>
        </w:rPr>
      </w:pPr>
      <w:r>
        <w:rPr>
          <w:rFonts w:ascii="Arial" w:cs="Arial" w:eastAsia="Arial" w:hAnsi="Arial"/>
          <w:sz w:val="15"/>
          <w:szCs w:val="15"/>
          <w:color w:val="auto"/>
        </w:rPr>
        <w:t>Our operations to date have been financed primarily through our IPO, the issuance of convertible preferred shares and convertible notes. On November 2, 2020, we completed our IPO in which we issued and sold 6,342,207 shares of common stock at a public offering price of $15.00 per share, including 675,540 shares of common stock sold pursuant to the underwriters’ exercise of their option to purchase additional shares of common stock, resulting in net proceeds of $86.3 million after deducting underwriting discounts and commissions and estimated offering expenses. Since inception, we have had significant operating losses. Our net losses were $12.7 million and $38.3 million for the three and nine months ended September 30, 2021, respectively. Our net losses were $11.7 million and</w:t>
      </w:r>
    </w:p>
    <w:p>
      <w:pPr>
        <w:spacing w:after="0" w:line="1" w:lineRule="exact"/>
        <w:rPr>
          <w:sz w:val="20"/>
          <w:szCs w:val="20"/>
          <w:color w:val="auto"/>
        </w:rPr>
      </w:pPr>
    </w:p>
    <w:p>
      <w:pPr>
        <w:jc w:val="both"/>
        <w:ind w:right="220"/>
        <w:spacing w:after="0" w:line="298" w:lineRule="auto"/>
        <w:rPr>
          <w:sz w:val="20"/>
          <w:szCs w:val="20"/>
          <w:color w:val="auto"/>
        </w:rPr>
      </w:pPr>
      <w:r>
        <w:rPr>
          <w:rFonts w:ascii="Arial" w:cs="Arial" w:eastAsia="Arial" w:hAnsi="Arial"/>
          <w:sz w:val="15"/>
          <w:szCs w:val="15"/>
          <w:color w:val="auto"/>
        </w:rPr>
        <w:t>$23.3 million for the three and nine months ended September 30, 2020, respectively. As of September 30, 2021, we had an accumulated deficit of $142.7 million and $127.6 million in cash, cash equivalents and marketable securities.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420" w:type="dxa"/>
            <w:vAlign w:val="bottom"/>
          </w:tcPr>
          <w:p>
            <w:pPr>
              <w:spacing w:after="0"/>
              <w:rPr>
                <w:sz w:val="14"/>
                <w:szCs w:val="14"/>
                <w:color w:val="auto"/>
              </w:rPr>
            </w:pPr>
          </w:p>
        </w:tc>
      </w:tr>
      <w:tr>
        <w:trPr>
          <w:trHeight w:val="161"/>
        </w:trPr>
        <w:tc>
          <w:tcPr>
            <w:tcW w:w="4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420" w:type="dxa"/>
            <w:vAlign w:val="bottom"/>
            <w:tcBorders>
              <w:bottom w:val="single" w:sz="8" w:color="auto"/>
            </w:tcBorders>
          </w:tcPr>
          <w:p>
            <w:pPr>
              <w:spacing w:after="0"/>
              <w:rPr>
                <w:sz w:val="13"/>
                <w:szCs w:val="13"/>
                <w:color w:val="auto"/>
              </w:rPr>
            </w:pPr>
          </w:p>
        </w:tc>
      </w:tr>
      <w:tr>
        <w:trPr>
          <w:trHeight w:val="146"/>
        </w:trPr>
        <w:tc>
          <w:tcPr>
            <w:tcW w:w="4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Borders>
              <w:bottom w:val="single" w:sz="8" w:color="auto"/>
            </w:tcBorders>
          </w:tcPr>
          <w:p>
            <w:pPr>
              <w:jc w:val="right"/>
              <w:ind w:right="92"/>
              <w:spacing w:after="0" w:line="146"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878"/>
              <w:spacing w:after="0" w:line="146" w:lineRule="exact"/>
              <w:rPr>
                <w:sz w:val="20"/>
                <w:szCs w:val="20"/>
                <w:color w:val="auto"/>
              </w:rPr>
            </w:pPr>
            <w:r>
              <w:rPr>
                <w:rFonts w:ascii="Arial" w:cs="Arial" w:eastAsia="Arial" w:hAnsi="Arial"/>
                <w:sz w:val="14"/>
                <w:szCs w:val="14"/>
                <w:b w:val="1"/>
                <w:bCs w:val="1"/>
                <w:color w:val="auto"/>
              </w:rPr>
              <w:t>2020</w:t>
            </w:r>
          </w:p>
        </w:tc>
      </w:tr>
      <w:tr>
        <w:trPr>
          <w:trHeight w:val="146"/>
        </w:trPr>
        <w:tc>
          <w:tcPr>
            <w:tcW w:w="4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2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84"/>
              </w:rPr>
              <w:t>(in thousands)</w:t>
            </w:r>
          </w:p>
        </w:tc>
        <w:tc>
          <w:tcPr>
            <w:tcW w:w="1420" w:type="dxa"/>
            <w:vAlign w:val="bottom"/>
          </w:tcPr>
          <w:p>
            <w:pPr>
              <w:spacing w:after="0"/>
              <w:rPr>
                <w:sz w:val="12"/>
                <w:szCs w:val="12"/>
                <w:color w:val="auto"/>
              </w:rPr>
            </w:pP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2520" w:type="dxa"/>
            <w:vAlign w:val="bottom"/>
            <w:gridSpan w:val="2"/>
            <w:shd w:val="clear" w:color="auto" w:fill="CFF0FC"/>
          </w:tcPr>
          <w:p>
            <w:pPr>
              <w:jc w:val="right"/>
              <w:ind w:right="1112"/>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(34,479)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(23,686)</w:t>
            </w:r>
          </w:p>
        </w:tc>
      </w:tr>
      <w:tr>
        <w:trPr>
          <w:trHeight w:val="216"/>
        </w:trPr>
        <w:tc>
          <w:tcPr>
            <w:tcW w:w="45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(62,460)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Arial" w:cs="Arial" w:eastAsia="Arial" w:hAnsi="Arial"/>
                <w:sz w:val="17"/>
                <w:szCs w:val="17"/>
                <w:color w:val="auto"/>
              </w:rPr>
              <w:t>—</w:t>
            </w:r>
          </w:p>
        </w:tc>
      </w:tr>
      <w:tr>
        <w:trPr>
          <w:trHeight w:val="217"/>
        </w:trPr>
        <w:tc>
          <w:tcPr>
            <w:tcW w:w="45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95,599</w:t>
            </w:r>
          </w:p>
        </w:tc>
      </w:tr>
      <w:tr>
        <w:trPr>
          <w:trHeight w:val="185"/>
        </w:trPr>
        <w:tc>
          <w:tcPr>
            <w:tcW w:w="4540" w:type="dxa"/>
            <w:vAlign w:val="bottom"/>
          </w:tcPr>
          <w:p>
            <w:pPr>
              <w:spacing w:after="0" w:line="185" w:lineRule="exact"/>
              <w:rPr>
                <w:sz w:val="20"/>
                <w:szCs w:val="20"/>
                <w:color w:val="auto"/>
              </w:rPr>
            </w:pPr>
            <w:r>
              <w:rPr>
                <w:rFonts w:ascii="Arial" w:cs="Arial" w:eastAsia="Arial" w:hAnsi="Arial"/>
                <w:sz w:val="17"/>
                <w:szCs w:val="17"/>
                <w:color w:val="auto"/>
              </w:rPr>
              <w:t>Net increase (decrease) in cash, cash equivalents</w:t>
            </w:r>
          </w:p>
        </w:tc>
        <w:tc>
          <w:tcPr>
            <w:tcW w:w="126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7"/>
                <w:szCs w:val="17"/>
                <w:color w:val="auto"/>
              </w:rPr>
              <w:t>and restricted cash</w:t>
            </w:r>
          </w:p>
        </w:tc>
        <w:tc>
          <w:tcPr>
            <w:tcW w:w="2520" w:type="dxa"/>
            <w:vAlign w:val="bottom"/>
            <w:gridSpan w:val="2"/>
          </w:tcPr>
          <w:p>
            <w:pPr>
              <w:jc w:val="right"/>
              <w:ind w:right="1112"/>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(96,939)</w:t>
            </w:r>
          </w:p>
        </w:tc>
        <w:tc>
          <w:tcPr>
            <w:tcW w:w="180" w:type="dxa"/>
            <w:vAlign w:val="bottom"/>
          </w:tcPr>
          <w:p>
            <w:pPr>
              <w:spacing w:after="0"/>
              <w:rPr>
                <w:sz w:val="18"/>
                <w:szCs w:val="18"/>
                <w:color w:val="auto"/>
              </w:rPr>
            </w:pPr>
          </w:p>
        </w:tc>
        <w:tc>
          <w:tcPr>
            <w:tcW w:w="640" w:type="dxa"/>
            <w:vAlign w:val="bottom"/>
          </w:tcPr>
          <w:p>
            <w:pPr>
              <w:jc w:val="right"/>
              <w:ind w:right="486"/>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38"/>
              <w:spacing w:after="0"/>
              <w:rPr>
                <w:sz w:val="20"/>
                <w:szCs w:val="20"/>
                <w:color w:val="auto"/>
              </w:rPr>
            </w:pPr>
            <w:r>
              <w:rPr>
                <w:rFonts w:ascii="Arial" w:cs="Arial" w:eastAsia="Arial" w:hAnsi="Arial"/>
                <w:sz w:val="17"/>
                <w:szCs w:val="17"/>
                <w:color w:val="auto"/>
              </w:rPr>
              <w:t>71,913</w:t>
            </w: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213" w:lineRule="exact"/>
        <w:rPr>
          <w:sz w:val="20"/>
          <w:szCs w:val="20"/>
          <w:color w:val="auto"/>
        </w:rPr>
      </w:pPr>
    </w:p>
    <w:p>
      <w:pPr>
        <w:ind w:right="40" w:firstLine="764"/>
        <w:spacing w:after="0" w:line="263" w:lineRule="auto"/>
        <w:rPr>
          <w:sz w:val="20"/>
          <w:szCs w:val="20"/>
          <w:color w:val="auto"/>
        </w:rPr>
      </w:pPr>
      <w:r>
        <w:rPr>
          <w:rFonts w:ascii="Arial" w:cs="Arial" w:eastAsia="Arial" w:hAnsi="Arial"/>
          <w:sz w:val="17"/>
          <w:szCs w:val="17"/>
          <w:color w:val="auto"/>
        </w:rPr>
        <w:t>Cash used in operating activities of $34.5 million during the nine months ended September 30, 2021 was primarily attributable to our net loss of $38.3 million together with non-cash items of $4.4 million principally with respect to stock-based compensation, offset by a net decrease of $0.5 million in components of our working capital.</w:t>
      </w:r>
    </w:p>
    <w:p>
      <w:pPr>
        <w:spacing w:after="0" w:line="174" w:lineRule="exact"/>
        <w:rPr>
          <w:sz w:val="20"/>
          <w:szCs w:val="20"/>
          <w:color w:val="auto"/>
        </w:rPr>
      </w:pPr>
    </w:p>
    <w:p>
      <w:pPr>
        <w:jc w:val="both"/>
        <w:ind w:right="200" w:firstLine="764"/>
        <w:spacing w:after="0" w:line="263" w:lineRule="auto"/>
        <w:rPr>
          <w:sz w:val="20"/>
          <w:szCs w:val="20"/>
          <w:color w:val="auto"/>
        </w:rPr>
      </w:pPr>
      <w:r>
        <w:rPr>
          <w:rFonts w:ascii="Arial" w:cs="Arial" w:eastAsia="Arial" w:hAnsi="Arial"/>
          <w:sz w:val="17"/>
          <w:szCs w:val="17"/>
          <w:color w:val="auto"/>
        </w:rPr>
        <w:t>Cash used in operating activities of $23.7 million during the nine months ended September 30, 2020 was primarily attributable to our net loss of $23.3 million together with non-cash items of $0.6 million principally with respect to stock-based compensation, offset by a net decrease of $1.1 million in our working capital.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213" w:lineRule="exact"/>
        <w:rPr>
          <w:sz w:val="20"/>
          <w:szCs w:val="20"/>
          <w:color w:val="auto"/>
        </w:rPr>
      </w:pPr>
    </w:p>
    <w:p>
      <w:pPr>
        <w:jc w:val="both"/>
        <w:ind w:right="200" w:firstLine="764"/>
        <w:spacing w:after="0" w:line="344" w:lineRule="auto"/>
        <w:rPr>
          <w:sz w:val="20"/>
          <w:szCs w:val="20"/>
          <w:color w:val="auto"/>
        </w:rPr>
      </w:pPr>
      <w:r>
        <w:rPr>
          <w:rFonts w:ascii="Arial" w:cs="Arial" w:eastAsia="Arial" w:hAnsi="Arial"/>
          <w:sz w:val="15"/>
          <w:szCs w:val="15"/>
          <w:color w:val="auto"/>
        </w:rPr>
        <w:t>Cash used in investing activities of $62.5 million during the nine months ended September 30, 2021 was the result of $84.2 million for the purchase of marketable securities and $0.2 million for the purchase of property and equipment, offset by $21.9 million in proceeds from the sale of marketable securities.</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had no investing activities for the nine months ended September 30, 2020.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had no financing activities for the nine months ended September 30, 2021.</w:t>
      </w:r>
    </w:p>
    <w:p>
      <w:pPr>
        <w:spacing w:after="0" w:line="213" w:lineRule="exact"/>
        <w:rPr>
          <w:sz w:val="20"/>
          <w:szCs w:val="20"/>
          <w:color w:val="auto"/>
        </w:rPr>
      </w:pPr>
    </w:p>
    <w:p>
      <w:pPr>
        <w:ind w:right="260" w:firstLine="764"/>
        <w:spacing w:after="0" w:line="263" w:lineRule="auto"/>
        <w:rPr>
          <w:sz w:val="20"/>
          <w:szCs w:val="20"/>
          <w:color w:val="auto"/>
        </w:rPr>
      </w:pPr>
      <w:r>
        <w:rPr>
          <w:rFonts w:ascii="Arial" w:cs="Arial" w:eastAsia="Arial" w:hAnsi="Arial"/>
          <w:sz w:val="17"/>
          <w:szCs w:val="17"/>
          <w:color w:val="auto"/>
        </w:rPr>
        <w:t>Cash provided by financing activities of $95.6 million for the nine months ended September 30, 2020 was comprised of net proceeds of $39.7 million from the sale and issuance of our Series C convertible preferred shares in January 2020 and net proceeds of $55.9 million from the issuance of our Series D convertible preferred stock in September 2020.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217" w:lineRule="exact"/>
        <w:rPr>
          <w:sz w:val="20"/>
          <w:szCs w:val="20"/>
          <w:color w:val="auto"/>
        </w:rPr>
      </w:pPr>
    </w:p>
    <w:p>
      <w:pPr>
        <w:ind w:firstLine="764"/>
        <w:spacing w:after="0" w:line="294" w:lineRule="auto"/>
        <w:rPr>
          <w:sz w:val="20"/>
          <w:szCs w:val="20"/>
          <w:color w:val="auto"/>
        </w:rPr>
      </w:pPr>
      <w:r>
        <w:rPr>
          <w:rFonts w:ascii="Arial" w:cs="Arial" w:eastAsia="Arial" w:hAnsi="Arial"/>
          <w:sz w:val="15"/>
          <w:szCs w:val="15"/>
          <w:color w:val="auto"/>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potentially collaborations, licenses and other similar arrangements. Our primary uses of capital are, and we expect will continue to be, compensation and related expenses; costs related to third-party clinical research, manufacturing and development services; costs relating to the build-out of our headquarters and other offices, our laboratories and our manufacturing facility; license payments or milestone obligations that may arise; laboratory expenses and costs for related supplies; clinical costs; manufacturing costs; legal and other regulatory expenses and general overhead costs.</w:t>
      </w:r>
    </w:p>
    <w:p>
      <w:pPr>
        <w:spacing w:after="0" w:line="155" w:lineRule="exact"/>
        <w:rPr>
          <w:sz w:val="20"/>
          <w:szCs w:val="20"/>
          <w:color w:val="auto"/>
        </w:rPr>
      </w:pPr>
    </w:p>
    <w:p>
      <w:pPr>
        <w:ind w:right="20" w:firstLine="764"/>
        <w:spacing w:after="0" w:line="273" w:lineRule="auto"/>
        <w:rPr>
          <w:sz w:val="20"/>
          <w:szCs w:val="20"/>
          <w:color w:val="auto"/>
        </w:rPr>
      </w:pPr>
      <w:r>
        <w:rPr>
          <w:rFonts w:ascii="Arial" w:cs="Arial" w:eastAsia="Arial" w:hAnsi="Arial"/>
          <w:sz w:val="16"/>
          <w:szCs w:val="16"/>
          <w:color w:val="auto"/>
        </w:rPr>
        <w:t>Based upon our current operating plan, we believe that our existing cash, cash equivalents and marketable securities of $127.6 million as of September 30, 2021 will be sufficient to fund our operating expenses and capital expenditure requirements into the second half of 2024. To finance our operations beyond that point we will need to raise additional capital, which cannot be assured.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potentially collaborations, licenses and other similar arrangements. However, we may be unable to raise additional funds or enter into such other arrangements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5" w:name="page26"/>
    <w:bookmarkEnd w:id="25"/>
    <w:p>
      <w:pPr>
        <w:ind w:right="20"/>
        <w:spacing w:after="0" w:line="299" w:lineRule="auto"/>
        <w:rPr>
          <w:sz w:val="20"/>
          <w:szCs w:val="20"/>
          <w:color w:val="auto"/>
        </w:rPr>
      </w:pPr>
      <w:r>
        <w:rPr>
          <w:rFonts w:ascii="Arial" w:cs="Arial" w:eastAsia="Arial" w:hAnsi="Arial"/>
          <w:sz w:val="15"/>
          <w:szCs w:val="15"/>
          <w:color w:val="auto"/>
        </w:rPr>
        <w:t>when needed on favorable terms or at all. If we raise additional capital through public or private equity offerings in the future,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151" w:lineRule="exact"/>
        <w:rPr>
          <w:sz w:val="20"/>
          <w:szCs w:val="20"/>
          <w:color w:val="auto"/>
        </w:rPr>
      </w:pPr>
    </w:p>
    <w:p>
      <w:pPr>
        <w:ind w:firstLine="764"/>
        <w:spacing w:after="0" w:line="344" w:lineRule="auto"/>
        <w:rPr>
          <w:sz w:val="20"/>
          <w:szCs w:val="20"/>
          <w:color w:val="auto"/>
        </w:rPr>
      </w:pPr>
      <w:r>
        <w:rPr>
          <w:rFonts w:ascii="Arial" w:cs="Arial" w:eastAsia="Arial" w:hAnsi="Arial"/>
          <w:sz w:val="15"/>
          <w:szCs w:val="15"/>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18" w:lineRule="exact"/>
        <w:rPr>
          <w:sz w:val="20"/>
          <w:szCs w:val="20"/>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impacts of the COVID-19 pandemic;</w:t>
      </w:r>
    </w:p>
    <w:p>
      <w:pPr>
        <w:spacing w:after="0" w:line="212" w:lineRule="exact"/>
        <w:rPr>
          <w:rFonts w:ascii="Arial" w:cs="Arial" w:eastAsia="Arial" w:hAnsi="Arial"/>
          <w:sz w:val="17"/>
          <w:szCs w:val="17"/>
          <w:color w:val="auto"/>
        </w:rPr>
      </w:pPr>
    </w:p>
    <w:p>
      <w:pPr>
        <w:ind w:left="1040" w:right="200" w:hanging="285"/>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progress, costs and results of our ongoing Phase 2b clinical trial of GB0139 in IPF, Phase 2a trial of GB 2064 in myelofibrosis and Phase 1b/2a trial of GB1211 in liver cirrhosis, and our planned trials for GB1211 and our other product candidates;</w:t>
      </w:r>
    </w:p>
    <w:p>
      <w:pPr>
        <w:spacing w:after="0" w:line="164" w:lineRule="exact"/>
        <w:rPr>
          <w:rFonts w:ascii="Arial" w:cs="Arial" w:eastAsia="Arial" w:hAnsi="Arial"/>
          <w:sz w:val="17"/>
          <w:szCs w:val="17"/>
          <w:color w:val="auto"/>
        </w:rPr>
      </w:pPr>
    </w:p>
    <w:p>
      <w:pPr>
        <w:ind w:left="1040" w:right="100" w:hanging="285"/>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scope, progress, results and costs of discovery research, preclinical development, laboratory testing and clinical trials for our product candidates, including our ongoing Phase 2b clinical trial of GB0139;</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number of, and development requirements for, other product candidates that we pursue;</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212" w:lineRule="exact"/>
        <w:rPr>
          <w:rFonts w:ascii="Arial" w:cs="Arial" w:eastAsia="Arial" w:hAnsi="Arial"/>
          <w:sz w:val="17"/>
          <w:szCs w:val="17"/>
          <w:color w:val="auto"/>
        </w:rPr>
      </w:pPr>
    </w:p>
    <w:p>
      <w:pPr>
        <w:ind w:left="1040" w:right="60" w:hanging="285"/>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enter into contract manufacturing arrangements for supply of active pharmaceutical ingredient, or API, and manufacture of our product candidates and the terms of such arrangements;</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arrangements;</w:t>
      </w:r>
    </w:p>
    <w:p>
      <w:pPr>
        <w:spacing w:after="0" w:line="224" w:lineRule="exact"/>
        <w:rPr>
          <w:rFonts w:ascii="Arial" w:cs="Arial" w:eastAsia="Arial" w:hAnsi="Arial"/>
          <w:sz w:val="16"/>
          <w:szCs w:val="16"/>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payment or receipt of milestones and receipt of other collaboration-based revenues, if any;</w:t>
      </w:r>
    </w:p>
    <w:p>
      <w:pPr>
        <w:spacing w:after="0" w:line="212" w:lineRule="exact"/>
        <w:rPr>
          <w:rFonts w:ascii="Arial" w:cs="Arial" w:eastAsia="Arial" w:hAnsi="Arial"/>
          <w:sz w:val="17"/>
          <w:szCs w:val="17"/>
          <w:color w:val="auto"/>
        </w:rPr>
      </w:pPr>
    </w:p>
    <w:p>
      <w:pPr>
        <w:ind w:left="1040" w:right="280" w:hanging="285"/>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any future commercialization activities, including product manufacturing, sales, marketing and distribution, for any of our product candidates for which we may receive marketing approval;</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24" w:lineRule="exact"/>
        <w:rPr>
          <w:rFonts w:ascii="Arial" w:cs="Arial" w:eastAsia="Arial" w:hAnsi="Arial"/>
          <w:sz w:val="16"/>
          <w:szCs w:val="16"/>
          <w:color w:val="auto"/>
        </w:rPr>
      </w:pPr>
    </w:p>
    <w:p>
      <w:pPr>
        <w:ind w:left="1040" w:right="380" w:hanging="285"/>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and proprietary rights and defending any intellectual property-related claims;</w:t>
      </w:r>
    </w:p>
    <w:p>
      <w:pPr>
        <w:spacing w:after="0" w:line="164"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products, product candidates, technologies or data referencing rights;</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to receive additional non-dilutive funding, including grants from organizations and foundations; and</w:t>
      </w:r>
    </w:p>
    <w:p>
      <w:pPr>
        <w:spacing w:after="0" w:line="212" w:lineRule="exact"/>
        <w:rPr>
          <w:rFonts w:ascii="Arial" w:cs="Arial" w:eastAsia="Arial" w:hAnsi="Arial"/>
          <w:sz w:val="17"/>
          <w:szCs w:val="17"/>
          <w:color w:val="auto"/>
        </w:rPr>
      </w:pPr>
    </w:p>
    <w:p>
      <w:pPr>
        <w:ind w:left="1040" w:hanging="285"/>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213" w:lineRule="exact"/>
        <w:rPr>
          <w:sz w:val="20"/>
          <w:szCs w:val="20"/>
          <w:color w:val="auto"/>
        </w:rPr>
      </w:pPr>
    </w:p>
    <w:p>
      <w:pPr>
        <w:ind w:right="160" w:firstLine="764"/>
        <w:spacing w:after="0" w:line="258" w:lineRule="auto"/>
        <w:rPr>
          <w:sz w:val="20"/>
          <w:szCs w:val="20"/>
          <w:color w:val="auto"/>
        </w:rPr>
      </w:pPr>
      <w:r>
        <w:rPr>
          <w:rFonts w:ascii="Arial" w:cs="Arial" w:eastAsia="Arial" w:hAnsi="Arial"/>
          <w:sz w:val="17"/>
          <w:szCs w:val="17"/>
          <w:color w:val="auto"/>
        </w:rPr>
        <w:t>Further,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17" w:lineRule="exact"/>
        <w:rPr>
          <w:sz w:val="20"/>
          <w:szCs w:val="20"/>
          <w:color w:val="auto"/>
        </w:rPr>
      </w:pPr>
    </w:p>
    <w:p>
      <w:pPr>
        <w:ind w:right="80" w:firstLine="764"/>
        <w:spacing w:after="0" w:line="25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unaudited interim condensed consolidated financial statements, which have been prepared in accordance with U.S. GAAP. The preparation of these unaudited interim condensed consolidated financial statements requires us to make estimates and assumptions that affect the reported amounts of assets and liabilities and the disclosure of contingent assets and liabilities at the date of the unaudited condensed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6" w:name="page27"/>
    <w:bookmarkEnd w:id="26"/>
    <w:p>
      <w:pPr>
        <w:spacing w:after="0" w:line="256" w:lineRule="auto"/>
        <w:rPr>
          <w:sz w:val="20"/>
          <w:szCs w:val="20"/>
          <w:color w:val="auto"/>
        </w:rPr>
      </w:pPr>
      <w:r>
        <w:rPr>
          <w:rFonts w:ascii="Arial" w:cs="Arial" w:eastAsia="Arial" w:hAnsi="Arial"/>
          <w:sz w:val="17"/>
          <w:szCs w:val="17"/>
          <w:color w:val="auto"/>
        </w:rPr>
        <w:t>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17" w:lineRule="exact"/>
        <w:rPr>
          <w:sz w:val="20"/>
          <w:szCs w:val="20"/>
          <w:color w:val="auto"/>
        </w:rPr>
      </w:pPr>
    </w:p>
    <w:p>
      <w:pPr>
        <w:ind w:right="20" w:firstLine="764"/>
        <w:spacing w:after="0" w:line="290" w:lineRule="auto"/>
        <w:rPr>
          <w:sz w:val="20"/>
          <w:szCs w:val="20"/>
          <w:color w:val="auto"/>
        </w:rPr>
      </w:pPr>
      <w:r>
        <w:rPr>
          <w:rFonts w:ascii="Arial" w:cs="Arial" w:eastAsia="Arial" w:hAnsi="Arial"/>
          <w:sz w:val="15"/>
          <w:szCs w:val="15"/>
          <w:color w:val="auto"/>
        </w:rPr>
        <w:t>We incur substantial expenses associated with clinical trials. Accounting for clinical trials relating to activities performed by contract research organizations, or CROs, contract manufacturing organizations, or CMOs, and other external vendors requires management to exercise significant estimates in regard to the timing and accounting for these expenses. We estimate costs of research and development activities conducted by service providers, which include, the conduct of sponsored research, preclinical studies and contract manufacturing activities. The diverse nature of services being provided under CRO and other arrangements, the different compensation arrangements that exist for each type of service and the lack of timely information related to certain clinical activities complicates the estimation of accruals for services rendered by CROs, CMOs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on the balance sheets and within research and development expense on the condensed consolidated statements of operations. In estimating the duration of a clinical study, we evaluate the start-up, treatment and wrap-up periods, compensation arrangements and services rendered attributable to each clinical trial and fluctuations are regularly tested against payment plans and trial completion assumptions.</w:t>
      </w:r>
    </w:p>
    <w:p>
      <w:pPr>
        <w:spacing w:after="0" w:line="162" w:lineRule="exact"/>
        <w:rPr>
          <w:sz w:val="20"/>
          <w:szCs w:val="20"/>
          <w:color w:val="auto"/>
        </w:rPr>
      </w:pPr>
    </w:p>
    <w:p>
      <w:pPr>
        <w:ind w:right="240" w:firstLine="764"/>
        <w:spacing w:after="0" w:line="280" w:lineRule="auto"/>
        <w:rPr>
          <w:sz w:val="20"/>
          <w:szCs w:val="20"/>
          <w:color w:val="auto"/>
        </w:rPr>
      </w:pPr>
      <w:r>
        <w:rPr>
          <w:rFonts w:ascii="Arial" w:cs="Arial" w:eastAsia="Arial" w:hAnsi="Arial"/>
          <w:sz w:val="16"/>
          <w:szCs w:val="16"/>
          <w:color w:val="auto"/>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accrued liabilities or prepaid expenses. We have not experienced any material differences between accrued costs and actual costs incurred since our inception.</w:t>
      </w:r>
    </w:p>
    <w:p>
      <w:pPr>
        <w:spacing w:after="0" w:line="162" w:lineRule="exact"/>
        <w:rPr>
          <w:sz w:val="20"/>
          <w:szCs w:val="20"/>
          <w:color w:val="auto"/>
        </w:rPr>
      </w:pPr>
    </w:p>
    <w:p>
      <w:pPr>
        <w:ind w:right="60" w:firstLine="764"/>
        <w:spacing w:after="0" w:line="256"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183" w:lineRule="exact"/>
        <w:rPr>
          <w:sz w:val="20"/>
          <w:szCs w:val="20"/>
          <w:color w:val="auto"/>
        </w:rPr>
      </w:pPr>
    </w:p>
    <w:p>
      <w:pPr>
        <w:ind w:right="320" w:firstLine="764"/>
        <w:spacing w:after="0" w:line="258" w:lineRule="auto"/>
        <w:rPr>
          <w:sz w:val="20"/>
          <w:szCs w:val="20"/>
          <w:color w:val="auto"/>
        </w:rPr>
      </w:pPr>
      <w:r>
        <w:rPr>
          <w:rFonts w:ascii="Arial" w:cs="Arial" w:eastAsia="Arial" w:hAnsi="Arial"/>
          <w:sz w:val="17"/>
          <w:szCs w:val="17"/>
          <w:color w:val="auto"/>
        </w:rPr>
        <w:t>During 2019, we acquired the right to develop and commercialize PharmAkea’s product candidate PAT-1251, which we now refer to as GB2064. GB2064 is in clinical development and has not achieved regulatory approval for marketing and absent obtaining such approval, has no alternative future use. As such, the costs of acquiring GB2064 were immediately expensed as purchased in-process research and development costs in our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3" w:lineRule="exact"/>
        <w:rPr>
          <w:sz w:val="20"/>
          <w:szCs w:val="20"/>
          <w:color w:val="auto"/>
        </w:rPr>
      </w:pPr>
    </w:p>
    <w:p>
      <w:pPr>
        <w:ind w:right="260" w:firstLine="764"/>
        <w:spacing w:after="0" w:line="314" w:lineRule="auto"/>
        <w:rPr>
          <w:sz w:val="20"/>
          <w:szCs w:val="20"/>
          <w:color w:val="auto"/>
        </w:rPr>
      </w:pPr>
      <w:r>
        <w:rPr>
          <w:rFonts w:ascii="Arial" w:cs="Arial" w:eastAsia="Arial" w:hAnsi="Arial"/>
          <w:sz w:val="15"/>
          <w:szCs w:val="15"/>
          <w:color w:val="auto"/>
        </w:rPr>
        <w:t xml:space="preserve">We have issued stock-based compensation awards through the granting of stock options, which generally vest over a four-year period. We account for stock-based compensation in accordance with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or ASC 718. In accordance with ASC 718, compensation cost is measured at estimated fair value and is included as compensation expense over the vesting period during which service is provided in exchange for the award.</w:t>
      </w:r>
    </w:p>
    <w:p>
      <w:pPr>
        <w:spacing w:after="0" w:line="140" w:lineRule="exact"/>
        <w:rPr>
          <w:sz w:val="20"/>
          <w:szCs w:val="20"/>
          <w:color w:val="auto"/>
        </w:rPr>
      </w:pPr>
    </w:p>
    <w:p>
      <w:pPr>
        <w:ind w:right="120" w:firstLine="764"/>
        <w:spacing w:after="0" w:line="299" w:lineRule="auto"/>
        <w:rPr>
          <w:sz w:val="20"/>
          <w:szCs w:val="20"/>
          <w:color w:val="auto"/>
        </w:rPr>
      </w:pPr>
      <w:r>
        <w:rPr>
          <w:rFonts w:ascii="Arial" w:cs="Arial" w:eastAsia="Arial" w:hAnsi="Arial"/>
          <w:sz w:val="15"/>
          <w:szCs w:val="15"/>
          <w:color w:val="auto"/>
        </w:rPr>
        <w:t>We use a Black-Scholes option pricing model to determine fair value of our stock options. The Black-Scholes option pricing model includes various assumptions, including the fair value of common shares, expected life of stock options, the expected volatility based on the historical volatility of a publicly traded set of peer companies and the expected risk-free interest rate. These assumptions reflect our best estimates, but they involve inherent uncertainties based on market conditions generally outside our control. As a result, if other assumptions had been used, stock-based compensation cost could have been materially impacted. Furthermore, if we use different assumptions for future grants, share-based compensation cost could be materially impacted in future periods.</w:t>
      </w:r>
    </w:p>
    <w:p>
      <w:pPr>
        <w:spacing w:after="0" w:line="151" w:lineRule="exact"/>
        <w:rPr>
          <w:sz w:val="20"/>
          <w:szCs w:val="20"/>
          <w:color w:val="auto"/>
        </w:rPr>
      </w:pPr>
    </w:p>
    <w:p>
      <w:pPr>
        <w:ind w:firstLine="764"/>
        <w:spacing w:after="0" w:line="252" w:lineRule="auto"/>
        <w:rPr>
          <w:sz w:val="20"/>
          <w:szCs w:val="20"/>
          <w:color w:val="auto"/>
        </w:rPr>
      </w:pPr>
      <w:r>
        <w:rPr>
          <w:rFonts w:ascii="Arial" w:cs="Arial" w:eastAsia="Arial" w:hAnsi="Arial"/>
          <w:sz w:val="17"/>
          <w:szCs w:val="17"/>
          <w:color w:val="auto"/>
        </w:rPr>
        <w:t xml:space="preserve">The fair value of our awards in the nine months ended September 30, 2021 has been estimated using Black-Scholes based on the following assumptions: expected term of 6.0 years; expected volatility of 90.5%; risk-free interest rate of 0.7%; and no expectation of dividends. </w:t>
      </w:r>
      <w:r>
        <w:rPr>
          <w:rFonts w:ascii="Arial" w:cs="Arial" w:eastAsia="Arial" w:hAnsi="Arial"/>
          <w:sz w:val="16"/>
          <w:szCs w:val="16"/>
          <w:color w:val="auto"/>
        </w:rPr>
        <w:t>The fair value of our awards in the nine</w:t>
      </w:r>
      <w:r>
        <w:rPr>
          <w:rFonts w:ascii="Arial" w:cs="Arial" w:eastAsia="Arial" w:hAnsi="Arial"/>
          <w:sz w:val="17"/>
          <w:szCs w:val="17"/>
          <w:color w:val="auto"/>
        </w:rPr>
        <w:t xml:space="preserve"> </w:t>
      </w:r>
      <w:r>
        <w:rPr>
          <w:rFonts w:ascii="Arial" w:cs="Arial" w:eastAsia="Arial" w:hAnsi="Arial"/>
          <w:sz w:val="16"/>
          <w:szCs w:val="16"/>
          <w:color w:val="auto"/>
        </w:rPr>
        <w:t>months ended September 30, 2020 has been estimated using Black-Scholes based on the following assumptions: term of 6.0 years; volatility of 89.0%; risk-free rate of 0.4%; and no expectation of dividends.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20"/>
          </w:cols>
          <w:pgMar w:left="320" w:top="331" w:right="359" w:bottom="1440" w:gutter="0" w:footer="0" w:header="0"/>
        </w:sectPr>
      </w:pPr>
    </w:p>
    <w:bookmarkStart w:id="27" w:name="page28"/>
    <w:bookmarkEnd w:id="27"/>
    <w:p>
      <w:pPr>
        <w:ind w:right="20" w:firstLine="764"/>
        <w:spacing w:after="0" w:line="258" w:lineRule="auto"/>
        <w:rPr>
          <w:sz w:val="20"/>
          <w:szCs w:val="20"/>
          <w:color w:val="auto"/>
        </w:rPr>
      </w:pPr>
      <w:r>
        <w:rPr>
          <w:rFonts w:ascii="Arial" w:cs="Arial" w:eastAsia="Arial" w:hAnsi="Arial"/>
          <w:sz w:val="17"/>
          <w:szCs w:val="17"/>
          <w:color w:val="auto"/>
        </w:rPr>
        <w:t>We will continue to use judgment in evaluating the assumptions utilized for our stock-based compensation expense calculations on a prospective basis. In addition to the assumptions used in the Black-Scholes model, the amount of stock-based compensation expense we recognize in our consolidated financial statements includes stock option forfeitures as they occurred. We recognize forfeitures as they occur, and the compensation expense is reversed in the period that the forfeiture occurs.</w:t>
      </w:r>
    </w:p>
    <w:p>
      <w:pPr>
        <w:spacing w:after="0" w:line="180" w:lineRule="exact"/>
        <w:rPr>
          <w:sz w:val="20"/>
          <w:szCs w:val="20"/>
          <w:color w:val="auto"/>
        </w:rPr>
      </w:pPr>
    </w:p>
    <w:p>
      <w:pPr>
        <w:ind w:right="40" w:firstLine="764"/>
        <w:spacing w:after="0" w:line="270" w:lineRule="auto"/>
        <w:rPr>
          <w:sz w:val="20"/>
          <w:szCs w:val="20"/>
          <w:color w:val="auto"/>
        </w:rPr>
      </w:pPr>
      <w:r>
        <w:rPr>
          <w:rFonts w:ascii="Arial" w:cs="Arial" w:eastAsia="Arial" w:hAnsi="Arial"/>
          <w:sz w:val="16"/>
          <w:szCs w:val="16"/>
          <w:color w:val="auto"/>
        </w:rPr>
        <w:t>For grants of options we made in June 2020, we employed a market approach and utilized the market-adjusted back-solve method for inferring the equity value predicated on the closing of the final tranche of our Series C convertible preferred shares in January 2020, and we allocated value among different classes of equity securities under a Black-Scholes option pricing methodology, or OPM. This method was selected as we concluded that the recent financing transaction was an arm’s-length transaction. We then applied an adjustment for market performance of the composite of multiple biotechnology indexes which was 0.4% from the period of January 1, 2020 through April 30, 2020. Furthermore, as of the valuation date the development timelines were long (the current Phase 2b clinical trial was expected to last up to 18 additional months) and future liquidity events were difficult to forecast. Application of the OPM back-solve method involves making assumptions for the expected time to liquidity, volatility and risk-free rate and then solving for the value of equity such that the value for the most recent financing equals the amount paid. We assumed a 1.7-year estimated term, 80% volatility rate and a risk-free rate of 0.19%. We then reflected a discount for lack of marketability of 33% derived from our then-current estimates of the time to a liquidity event. With the aid of the April 30, 2020 third-party valuation and after consideration of macroeconomic and company-specific developments during the first half of 2020, our board of directors determined the fair market value of our common shares to be $1.95 per share for the options granted on June 24, 2020.</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right="20" w:firstLine="764"/>
        <w:spacing w:after="0" w:line="304" w:lineRule="auto"/>
        <w:rPr>
          <w:sz w:val="20"/>
          <w:szCs w:val="20"/>
          <w:color w:val="auto"/>
        </w:rPr>
      </w:pPr>
      <w:r>
        <w:rPr>
          <w:rFonts w:ascii="Arial" w:cs="Arial" w:eastAsia="Arial" w:hAnsi="Arial"/>
          <w:sz w:val="15"/>
          <w:szCs w:val="15"/>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147" w:lineRule="exact"/>
        <w:rPr>
          <w:sz w:val="20"/>
          <w:szCs w:val="20"/>
          <w:color w:val="auto"/>
        </w:rPr>
      </w:pPr>
    </w:p>
    <w:p>
      <w:pPr>
        <w:ind w:right="140" w:firstLine="764"/>
        <w:spacing w:after="0" w:line="307" w:lineRule="auto"/>
        <w:rPr>
          <w:sz w:val="20"/>
          <w:szCs w:val="20"/>
          <w:color w:val="auto"/>
        </w:rPr>
      </w:pPr>
      <w:r>
        <w:rPr>
          <w:rFonts w:ascii="Arial" w:cs="Arial" w:eastAsia="Arial" w:hAnsi="Arial"/>
          <w:sz w:val="16"/>
          <w:szCs w:val="16"/>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net deferred tax assets.</w:t>
      </w:r>
    </w:p>
    <w:p>
      <w:pPr>
        <w:spacing w:after="0" w:line="142" w:lineRule="exact"/>
        <w:rPr>
          <w:sz w:val="20"/>
          <w:szCs w:val="20"/>
          <w:color w:val="auto"/>
        </w:rPr>
      </w:pPr>
    </w:p>
    <w:p>
      <w:pPr>
        <w:ind w:right="60" w:firstLine="764"/>
        <w:spacing w:after="0" w:line="256" w:lineRule="auto"/>
        <w:rPr>
          <w:sz w:val="20"/>
          <w:szCs w:val="20"/>
          <w:color w:val="auto"/>
        </w:rPr>
      </w:pPr>
      <w:r>
        <w:rPr>
          <w:rFonts w:ascii="Arial" w:cs="Arial" w:eastAsia="Arial" w:hAnsi="Arial"/>
          <w:sz w:val="17"/>
          <w:szCs w:val="17"/>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do not believe there will be any material changes in its unrecognized tax positions over the next 12 months. We have not incurred any interest or penalties. In the event we are assessed interest or penalties at some point in the future, they will be classified in the financial statements as a component of income tax expense.</w:t>
      </w:r>
    </w:p>
    <w:p>
      <w:pPr>
        <w:spacing w:after="0" w:line="183" w:lineRule="exact"/>
        <w:rPr>
          <w:sz w:val="20"/>
          <w:szCs w:val="20"/>
          <w:color w:val="auto"/>
        </w:rPr>
      </w:pPr>
    </w:p>
    <w:p>
      <w:pPr>
        <w:ind w:right="120" w:firstLine="764"/>
        <w:spacing w:after="0" w:line="258" w:lineRule="auto"/>
        <w:rPr>
          <w:sz w:val="20"/>
          <w:szCs w:val="20"/>
          <w:color w:val="auto"/>
        </w:rPr>
      </w:pPr>
      <w:r>
        <w:rPr>
          <w:rFonts w:ascii="Arial" w:cs="Arial" w:eastAsia="Arial" w:hAnsi="Arial"/>
          <w:sz w:val="17"/>
          <w:szCs w:val="17"/>
          <w:color w:val="auto"/>
        </w:rPr>
        <w:t>We operate in multiple jurisdictions, both within and outside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will monitor the extent to which our deferred tax assets may be realized and adjust the valuation allowance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3" w:lineRule="exact"/>
        <w:rPr>
          <w:sz w:val="20"/>
          <w:szCs w:val="20"/>
          <w:color w:val="auto"/>
        </w:rPr>
      </w:pPr>
    </w:p>
    <w:p>
      <w:pPr>
        <w:ind w:right="120" w:firstLine="764"/>
        <w:spacing w:after="0" w:line="344" w:lineRule="auto"/>
        <w:rPr>
          <w:sz w:val="20"/>
          <w:szCs w:val="20"/>
          <w:color w:val="auto"/>
        </w:rPr>
      </w:pPr>
      <w:r>
        <w:rPr>
          <w:rFonts w:ascii="Arial" w:cs="Arial" w:eastAsia="Arial" w:hAnsi="Arial"/>
          <w:sz w:val="15"/>
          <w:szCs w:val="15"/>
          <w:color w:val="auto"/>
        </w:rPr>
        <w:t>Refer to Note 2, “Summary of Significant Accounting Policies,” in the accompanying notes to our consolidated financial statements for the nine months ended September 30, 2021 and 2020 appearing elsewhere in this Quarterly Report on Form 10-Q for a discussion of recent accounting pronouncements.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our contractual obligations as of September 30, 2021: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Payments due by period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1"/>
        </w:trPr>
        <w:tc>
          <w:tcPr>
            <w:tcW w:w="2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(in thousands)</w:t>
            </w: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26"/>
        </w:trPr>
        <w:tc>
          <w:tcPr>
            <w:tcW w:w="2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right"/>
              <w:ind w:right="262"/>
              <w:spacing w:after="0" w:line="126" w:lineRule="exact"/>
              <w:rPr>
                <w:sz w:val="20"/>
                <w:szCs w:val="20"/>
                <w:color w:val="auto"/>
              </w:rPr>
            </w:pPr>
            <w:r>
              <w:rPr>
                <w:rFonts w:ascii="Arial" w:cs="Arial" w:eastAsia="Arial" w:hAnsi="Arial"/>
                <w:sz w:val="14"/>
                <w:szCs w:val="14"/>
                <w:b w:val="1"/>
                <w:bCs w:val="1"/>
                <w:color w:val="auto"/>
                <w:w w:val="95"/>
              </w:rPr>
              <w:t>Less than one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380"/>
              <w:spacing w:after="0" w:line="126" w:lineRule="exact"/>
              <w:rPr>
                <w:sz w:val="20"/>
                <w:szCs w:val="20"/>
                <w:color w:val="auto"/>
              </w:rPr>
            </w:pPr>
            <w:r>
              <w:rPr>
                <w:rFonts w:ascii="Arial" w:cs="Arial" w:eastAsia="Arial" w:hAnsi="Arial"/>
                <w:sz w:val="14"/>
                <w:szCs w:val="14"/>
                <w:b w:val="1"/>
                <w:bCs w:val="1"/>
                <w:color w:val="auto"/>
                <w:w w:val="87"/>
              </w:rPr>
              <w:t>One to three</w:t>
            </w:r>
          </w:p>
        </w:tc>
        <w:tc>
          <w:tcPr>
            <w:tcW w:w="180" w:type="dxa"/>
            <w:vAlign w:val="bottom"/>
          </w:tcPr>
          <w:p>
            <w:pPr>
              <w:spacing w:after="0"/>
              <w:rPr>
                <w:sz w:val="10"/>
                <w:szCs w:val="10"/>
                <w:color w:val="auto"/>
              </w:rPr>
            </w:pPr>
          </w:p>
        </w:tc>
        <w:tc>
          <w:tcPr>
            <w:tcW w:w="132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Three to five</w:t>
            </w:r>
          </w:p>
        </w:tc>
        <w:tc>
          <w:tcPr>
            <w:tcW w:w="140" w:type="dxa"/>
            <w:vAlign w:val="bottom"/>
          </w:tcPr>
          <w:p>
            <w:pPr>
              <w:spacing w:after="0"/>
              <w:rPr>
                <w:sz w:val="10"/>
                <w:szCs w:val="10"/>
                <w:color w:val="auto"/>
              </w:rPr>
            </w:pPr>
          </w:p>
        </w:tc>
        <w:tc>
          <w:tcPr>
            <w:tcW w:w="1240" w:type="dxa"/>
            <w:vAlign w:val="bottom"/>
          </w:tcPr>
          <w:p>
            <w:pPr>
              <w:jc w:val="center"/>
              <w:ind w:right="183"/>
              <w:spacing w:after="0" w:line="126" w:lineRule="exact"/>
              <w:rPr>
                <w:sz w:val="20"/>
                <w:szCs w:val="20"/>
                <w:color w:val="auto"/>
              </w:rPr>
            </w:pPr>
            <w:r>
              <w:rPr>
                <w:rFonts w:ascii="Arial" w:cs="Arial" w:eastAsia="Arial" w:hAnsi="Arial"/>
                <w:sz w:val="14"/>
                <w:szCs w:val="14"/>
                <w:b w:val="1"/>
                <w:bCs w:val="1"/>
                <w:color w:val="auto"/>
                <w:w w:val="90"/>
              </w:rPr>
              <w:t>More than five</w:t>
            </w:r>
          </w:p>
        </w:tc>
      </w:tr>
      <w:tr>
        <w:trPr>
          <w:trHeight w:val="161"/>
        </w:trPr>
        <w:tc>
          <w:tcPr>
            <w:tcW w:w="292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87"/>
              </w:rPr>
              <w:t>years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81"/>
              </w:rPr>
              <w:t>years</w:t>
            </w:r>
          </w:p>
        </w:tc>
      </w:tr>
      <w:tr>
        <w:trPr>
          <w:trHeight w:val="210"/>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Leases</w:t>
            </w:r>
          </w:p>
        </w:tc>
        <w:tc>
          <w:tcPr>
            <w:tcW w:w="9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7"/>
                <w:szCs w:val="17"/>
                <w:color w:val="auto"/>
              </w:rPr>
              <w:t>1,048</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7"/>
                <w:szCs w:val="17"/>
                <w:color w:val="auto"/>
              </w:rPr>
              <w:t>489</w:t>
            </w: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tcPr>
          <w:p>
            <w:pPr>
              <w:spacing w:after="0"/>
              <w:rPr>
                <w:sz w:val="20"/>
                <w:szCs w:val="20"/>
                <w:color w:val="auto"/>
              </w:rPr>
            </w:pPr>
            <w:r>
              <w:rPr>
                <w:rFonts w:ascii="Arial" w:cs="Arial" w:eastAsia="Arial" w:hAnsi="Arial"/>
                <w:sz w:val="17"/>
                <w:szCs w:val="17"/>
                <w:color w:val="auto"/>
              </w:rPr>
              <w:t>Total contractual obligations</w:t>
            </w:r>
          </w:p>
        </w:tc>
        <w:tc>
          <w:tcPr>
            <w:tcW w:w="126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1,048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2"/>
              <w:spacing w:after="0"/>
              <w:rPr>
                <w:sz w:val="20"/>
                <w:szCs w:val="20"/>
                <w:color w:val="auto"/>
              </w:rPr>
            </w:pPr>
            <w:r>
              <w:rPr>
                <w:rFonts w:ascii="Arial" w:cs="Arial" w:eastAsia="Arial" w:hAnsi="Arial"/>
                <w:sz w:val="17"/>
                <w:szCs w:val="17"/>
                <w:color w:val="auto"/>
              </w:rPr>
              <w:t>489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5"/>
              <w:spacing w:after="0"/>
              <w:rPr>
                <w:sz w:val="20"/>
                <w:szCs w:val="20"/>
                <w:color w:val="auto"/>
              </w:rPr>
            </w:pPr>
            <w:r>
              <w:rPr>
                <w:rFonts w:ascii="Arial" w:cs="Arial" w:eastAsia="Arial" w:hAnsi="Arial"/>
                <w:sz w:val="17"/>
                <w:szCs w:val="17"/>
                <w:color w:val="auto"/>
              </w:rPr>
              <w:t>490</w:t>
            </w:r>
          </w:p>
        </w:tc>
        <w:tc>
          <w:tcPr>
            <w:tcW w:w="12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43"/>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ind w:left="960"/>
              <w:spacing w:after="0"/>
              <w:rPr>
                <w:sz w:val="20"/>
                <w:szCs w:val="20"/>
                <w:color w:val="auto"/>
              </w:rPr>
            </w:pPr>
            <w:r>
              <w:rPr>
                <w:rFonts w:ascii="Arial" w:cs="Arial" w:eastAsia="Arial" w:hAnsi="Arial"/>
                <w:sz w:val="17"/>
                <w:szCs w:val="17"/>
                <w:color w:val="auto"/>
              </w:rPr>
              <w:t>—</w:t>
            </w:r>
          </w:p>
        </w:tc>
      </w:tr>
      <w:tr>
        <w:trPr>
          <w:trHeight w:val="20"/>
        </w:trPr>
        <w:tc>
          <w:tcPr>
            <w:tcW w:w="2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16"/>
        </w:trPr>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82"/>
              <w:spacing w:after="0"/>
              <w:rPr>
                <w:sz w:val="20"/>
                <w:szCs w:val="20"/>
                <w:color w:val="auto"/>
              </w:rPr>
            </w:pPr>
            <w:r>
              <w:rPr>
                <w:rFonts w:ascii="Arial" w:cs="Arial" w:eastAsia="Arial" w:hAnsi="Arial"/>
                <w:sz w:val="17"/>
                <w:szCs w:val="17"/>
                <w:color w:val="auto"/>
                <w:w w:val="94"/>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9"/>
        </w:trPr>
        <w:tc>
          <w:tcPr>
            <w:tcW w:w="29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8" w:name="page29"/>
    <w:bookmarkEnd w:id="28"/>
    <w:p>
      <w:pPr>
        <w:ind w:right="60" w:firstLine="764"/>
        <w:spacing w:after="0" w:line="276" w:lineRule="auto"/>
        <w:rPr>
          <w:sz w:val="20"/>
          <w:szCs w:val="20"/>
          <w:color w:val="auto"/>
        </w:rPr>
      </w:pPr>
      <w:r>
        <w:rPr>
          <w:rFonts w:ascii="Arial" w:cs="Arial" w:eastAsia="Arial" w:hAnsi="Arial"/>
          <w:sz w:val="16"/>
          <w:szCs w:val="16"/>
          <w:color w:val="auto"/>
        </w:rPr>
        <w:t>We enter into contracts in the normal course of business with third-party service providers for clinical trials, preclinical research studies and testing, manufacturing and other services and products for operating purposes. We have not included our payment obligations under these contracts in the table, as these contracts generally provide for termination upon notice, and therefore, we believe that our non-cancelable obligations under these agreements are not material and we cannot reasonably estimate the timing of if and when they will occur. We could also enter into additional research, manufacturing, supplier and other agreements in the future, which may require up-front payments and even long-term commitments of cash.</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17" w:lineRule="exact"/>
        <w:rPr>
          <w:sz w:val="20"/>
          <w:szCs w:val="20"/>
          <w:color w:val="auto"/>
        </w:rPr>
      </w:pPr>
    </w:p>
    <w:p>
      <w:pPr>
        <w:ind w:firstLine="764"/>
        <w:spacing w:after="0" w:line="255" w:lineRule="auto"/>
        <w:rPr>
          <w:sz w:val="20"/>
          <w:szCs w:val="20"/>
          <w:color w:val="auto"/>
        </w:rPr>
      </w:pPr>
      <w:r>
        <w:rPr>
          <w:rFonts w:ascii="Arial" w:cs="Arial" w:eastAsia="Arial" w:hAnsi="Arial"/>
          <w:sz w:val="17"/>
          <w:szCs w:val="17"/>
          <w:color w:val="auto"/>
        </w:rPr>
        <w:t>As an emerging growth company, or EGC, under the Jumpstart our Business Startups Act of 2012, or the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regarding mandatory audit firm rotation, and less extensive disclosure about our executive compensation arrangements.</w:t>
      </w:r>
    </w:p>
    <w:p>
      <w:pPr>
        <w:spacing w:after="0" w:line="183" w:lineRule="exact"/>
        <w:rPr>
          <w:sz w:val="20"/>
          <w:szCs w:val="20"/>
          <w:color w:val="auto"/>
        </w:rPr>
      </w:pPr>
    </w:p>
    <w:p>
      <w:pPr>
        <w:ind w:firstLine="764"/>
        <w:spacing w:after="0" w:line="255" w:lineRule="auto"/>
        <w:rPr>
          <w:sz w:val="20"/>
          <w:szCs w:val="20"/>
          <w:color w:val="auto"/>
        </w:rPr>
      </w:pPr>
      <w:r>
        <w:rPr>
          <w:rFonts w:ascii="Arial" w:cs="Arial" w:eastAsia="Arial" w:hAnsi="Arial"/>
          <w:sz w:val="17"/>
          <w:szCs w:val="17"/>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may remain classified as an EGC until the end of the fiscal year following the fifth anniversary of the completion of our IPO, although if the market</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value of our common stock that is held by non-affiliates exceeds $700 million as of June 30 of any year before that time, or if we have annual gross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$1.07 billion or more in any fiscal year, we would cease to be an EGC as of December 31 of the applicable year. We also would cease to be an EGC if we issue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$1.0 billion of non-convertible debt over a three-year period.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are a smaller reporting company as defined by Item 10 of Regulation S-K and are not required to provide the information otherwise required under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this item.</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3" w:lineRule="exact"/>
        <w:rPr>
          <w:sz w:val="20"/>
          <w:szCs w:val="20"/>
          <w:color w:val="auto"/>
        </w:rPr>
      </w:pPr>
    </w:p>
    <w:p>
      <w:pPr>
        <w:ind w:right="100" w:firstLine="764"/>
        <w:spacing w:after="0" w:line="273"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2021.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spacing w:after="0" w:line="169" w:lineRule="exact"/>
        <w:rPr>
          <w:sz w:val="20"/>
          <w:szCs w:val="20"/>
          <w:color w:val="auto"/>
        </w:rPr>
      </w:pPr>
    </w:p>
    <w:p>
      <w:pPr>
        <w:ind w:firstLine="764"/>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the evaluation of our disclosure controls and procedures as of September 30, 2021, our chief executive officer and chief financial officer concluded that, as a result of material weaknesses in our internal control over financial reporting, included in our </w:t>
      </w:r>
      <w:hyperlink r:id="rId18">
        <w:r>
          <w:rPr>
            <w:rFonts w:ascii="Arial" w:cs="Arial" w:eastAsia="Arial" w:hAnsi="Arial"/>
            <w:sz w:val="17"/>
            <w:szCs w:val="17"/>
            <w:u w:val="single" w:color="auto"/>
            <w:color w:val="auto"/>
          </w:rPr>
          <w:t xml:space="preserve">Annual Report on Form 10-K </w:t>
        </w:r>
      </w:hyperlink>
      <w:r>
        <w:rPr>
          <w:rFonts w:ascii="Arial" w:cs="Arial" w:eastAsia="Arial" w:hAnsi="Arial"/>
          <w:sz w:val="17"/>
          <w:szCs w:val="17"/>
          <w:color w:val="auto"/>
        </w:rPr>
        <w:t>filed with the SEC on March 29, 2021, our disclosure controls and procedures were not effective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-159385</wp:posOffset>
            </wp:positionV>
            <wp:extent cx="12839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Changes in Internal Control</w:t>
      </w:r>
    </w:p>
    <w:p>
      <w:pPr>
        <w:spacing w:after="0" w:line="213" w:lineRule="exact"/>
        <w:rPr>
          <w:sz w:val="20"/>
          <w:szCs w:val="20"/>
          <w:color w:val="auto"/>
        </w:rPr>
      </w:pPr>
    </w:p>
    <w:p>
      <w:pPr>
        <w:ind w:firstLine="764"/>
        <w:spacing w:after="0" w:line="263" w:lineRule="auto"/>
        <w:rPr>
          <w:sz w:val="20"/>
          <w:szCs w:val="20"/>
          <w:color w:val="auto"/>
        </w:rPr>
      </w:pPr>
      <w:r>
        <w:rPr>
          <w:rFonts w:ascii="Arial" w:cs="Arial" w:eastAsia="Arial" w:hAnsi="Arial"/>
          <w:sz w:val="17"/>
          <w:szCs w:val="17"/>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17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0980"/>
          </w:cols>
          <w:pgMar w:left="320" w:top="433" w:right="59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7"/>
          <w:szCs w:val="17"/>
          <w:b w:val="1"/>
          <w:bCs w:val="1"/>
          <w:color w:val="auto"/>
        </w:rPr>
        <w:t>PART II—OTHER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17" w:lineRule="exact"/>
        <w:rPr>
          <w:sz w:val="20"/>
          <w:szCs w:val="20"/>
          <w:color w:val="auto"/>
        </w:rPr>
      </w:pPr>
    </w:p>
    <w:p>
      <w:pPr>
        <w:jc w:val="both"/>
        <w:ind w:right="20" w:firstLine="764"/>
        <w:spacing w:after="0" w:line="263" w:lineRule="auto"/>
        <w:rPr>
          <w:sz w:val="20"/>
          <w:szCs w:val="20"/>
          <w:color w:val="auto"/>
        </w:rPr>
      </w:pPr>
      <w:r>
        <w:rPr>
          <w:rFonts w:ascii="Arial" w:cs="Arial" w:eastAsia="Arial" w:hAnsi="Arial"/>
          <w:sz w:val="17"/>
          <w:szCs w:val="17"/>
          <w:color w:val="auto"/>
        </w:rPr>
        <w:t>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7" w:lineRule="exact"/>
        <w:rPr>
          <w:sz w:val="20"/>
          <w:szCs w:val="20"/>
          <w:color w:val="auto"/>
        </w:rPr>
      </w:pPr>
    </w:p>
    <w:p>
      <w:pPr>
        <w:ind w:right="140" w:firstLine="764"/>
        <w:spacing w:after="0" w:line="263" w:lineRule="auto"/>
        <w:rPr>
          <w:rFonts w:ascii="Arial" w:cs="Arial" w:eastAsia="Arial" w:hAnsi="Arial"/>
          <w:sz w:val="17"/>
          <w:szCs w:val="17"/>
          <w:color w:val="auto"/>
        </w:rPr>
      </w:pPr>
      <w:r>
        <w:rPr>
          <w:rFonts w:ascii="Arial" w:cs="Arial" w:eastAsia="Arial" w:hAnsi="Arial"/>
          <w:sz w:val="17"/>
          <w:szCs w:val="17"/>
          <w:color w:val="auto"/>
        </w:rPr>
        <w:t xml:space="preserve">In addition to the other information set forth in this report, you should carefully consider the risk factors discussed in Part I, Item 1A. “Risk Factors” in our </w:t>
      </w:r>
      <w:hyperlink r:id="rId18">
        <w:r>
          <w:rPr>
            <w:rFonts w:ascii="Arial" w:cs="Arial" w:eastAsia="Arial" w:hAnsi="Arial"/>
            <w:sz w:val="17"/>
            <w:szCs w:val="17"/>
            <w:u w:val="single" w:color="auto"/>
            <w:color w:val="0000EE"/>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which could materially affect our business, financial condition, or results of operations. There have been no material changes in or additions to the risk factors referred to in the previous sentence</w:t>
      </w:r>
      <w:r>
        <w:rPr>
          <w:rFonts w:ascii="Arial" w:cs="Arial" w:eastAsia="Arial" w:hAnsi="Arial"/>
          <w:sz w:val="17"/>
          <w:szCs w:val="17"/>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registered securities</w:t>
      </w:r>
    </w:p>
    <w:p>
      <w:pPr>
        <w:spacing w:after="0" w:line="213" w:lineRule="exact"/>
        <w:rPr>
          <w:sz w:val="20"/>
          <w:szCs w:val="20"/>
          <w:color w:val="auto"/>
        </w:rPr>
      </w:pPr>
    </w:p>
    <w:p>
      <w:pPr>
        <w:ind w:firstLine="764"/>
        <w:spacing w:after="0" w:line="276" w:lineRule="auto"/>
        <w:rPr>
          <w:rFonts w:ascii="Arial" w:cs="Arial" w:eastAsia="Arial" w:hAnsi="Arial"/>
          <w:sz w:val="16"/>
          <w:szCs w:val="16"/>
          <w:color w:val="auto"/>
        </w:rPr>
      </w:pPr>
      <w:r>
        <w:rPr>
          <w:rFonts w:ascii="Arial" w:cs="Arial" w:eastAsia="Arial" w:hAnsi="Arial"/>
          <w:sz w:val="16"/>
          <w:szCs w:val="16"/>
          <w:color w:val="auto"/>
        </w:rPr>
        <w:t xml:space="preserve">On November 2, 2020, we completed our IPO in which we issued and sold 6,342,207 shares of common stock, $0.00001 par value per share, including 675,540 shares of common stock sold pursuant to the underwriters’ exercise of their option to purchase additional shares of common stock. The offer and sale of the shares in the IPO was registered under the Securities Act pursuant to registration statements on </w:t>
      </w:r>
      <w:hyperlink r:id="rId56">
        <w:r>
          <w:rPr>
            <w:rFonts w:ascii="Arial" w:cs="Arial" w:eastAsia="Arial" w:hAnsi="Arial"/>
            <w:sz w:val="16"/>
            <w:szCs w:val="16"/>
            <w:u w:val="single" w:color="auto"/>
            <w:color w:val="0000EE"/>
          </w:rPr>
          <w:t>Form S-1 (File No. 333-249369)</w:t>
        </w:r>
      </w:hyperlink>
      <w:r>
        <w:rPr>
          <w:rFonts w:ascii="Arial" w:cs="Arial" w:eastAsia="Arial" w:hAnsi="Arial"/>
          <w:sz w:val="16"/>
          <w:szCs w:val="16"/>
          <w:color w:val="auto"/>
        </w:rPr>
        <w:t>, which was filed with the SEC on October 7, 2020 and subsequently amended and declared effective on October 28, 2020, or the Prospectus. The underwriters of the offering were BofA Securities, Inc., SVB Leerink LLC, Credit Suisse Securities (USA) LLC and Kempen &amp; Co U.S.A, Inc.</w:t>
      </w:r>
    </w:p>
    <w:p>
      <w:pPr>
        <w:spacing w:after="0" w:line="167" w:lineRule="exact"/>
        <w:rPr>
          <w:sz w:val="20"/>
          <w:szCs w:val="20"/>
          <w:color w:val="auto"/>
        </w:rPr>
      </w:pPr>
    </w:p>
    <w:p>
      <w:pPr>
        <w:ind w:right="160" w:firstLine="764"/>
        <w:spacing w:after="0" w:line="283" w:lineRule="auto"/>
        <w:rPr>
          <w:sz w:val="20"/>
          <w:szCs w:val="20"/>
          <w:color w:val="auto"/>
        </w:rPr>
      </w:pPr>
      <w:r>
        <w:rPr>
          <w:rFonts w:ascii="Arial" w:cs="Arial" w:eastAsia="Arial" w:hAnsi="Arial"/>
          <w:sz w:val="16"/>
          <w:szCs w:val="16"/>
          <w:color w:val="auto"/>
        </w:rPr>
        <w:t>We raised approximately $86.3 million in net proceeds after deducting underwriting discounts and commissions of $6.7 million and other offering expenses of approximately $2.1 million payable by us. No underwriting discounts and commissions or offering expenses were paid directly or indirectly to any of our directors of officers (or their associates) or persons owning ten percent or more of any class of our equity securities or to any other affiliates</w:t>
      </w:r>
      <w:r>
        <w:rPr>
          <w:rFonts w:ascii="Arial" w:cs="Arial" w:eastAsia="Arial" w:hAnsi="Arial"/>
          <w:sz w:val="19"/>
          <w:szCs w:val="19"/>
          <w:color w:val="auto"/>
        </w:rPr>
        <w:t>.</w:t>
      </w:r>
    </w:p>
    <w:p>
      <w:pPr>
        <w:spacing w:after="0" w:line="151" w:lineRule="exact"/>
        <w:rPr>
          <w:sz w:val="20"/>
          <w:szCs w:val="20"/>
          <w:color w:val="auto"/>
        </w:rPr>
      </w:pPr>
    </w:p>
    <w:p>
      <w:pPr>
        <w:ind w:right="60" w:firstLine="764"/>
        <w:spacing w:after="0" w:line="258" w:lineRule="auto"/>
        <w:rPr>
          <w:sz w:val="20"/>
          <w:szCs w:val="20"/>
          <w:color w:val="auto"/>
        </w:rPr>
      </w:pPr>
      <w:r>
        <w:rPr>
          <w:rFonts w:ascii="Arial" w:cs="Arial" w:eastAsia="Arial" w:hAnsi="Arial"/>
          <w:sz w:val="17"/>
          <w:szCs w:val="17"/>
          <w:color w:val="auto"/>
        </w:rPr>
        <w:t>As of September 30, 2021, we have not used the net proceeds from our initial public offering. We have invested the unused net proceeds from the offering in money market accounts and marketable debt securities. We expect to use the net proceeds from the offering described in our final prospectus filed pursuant to Rule 424(b)(4) under the Securities Act with the SEC on October 30, 2020, to fund our clinical development programs, including for GB0139, GB1211 and GB2064</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Purchases of Equity Securities by the Issuer and Affiliated Purchasers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Not Applicable.</w:t>
      </w:r>
    </w:p>
    <w:p>
      <w:pPr>
        <w:spacing w:after="0" w:line="209" w:lineRule="exact"/>
        <w:rPr>
          <w:sz w:val="20"/>
          <w:szCs w:val="20"/>
          <w:color w:val="auto"/>
        </w:rPr>
      </w:pPr>
    </w:p>
    <w:p>
      <w:pPr>
        <w:jc w:val="center"/>
        <w:ind w:right="9220"/>
        <w:spacing w:after="0"/>
        <w:rPr>
          <w:sz w:val="20"/>
          <w:szCs w:val="20"/>
          <w:color w:val="auto"/>
        </w:rPr>
      </w:pPr>
      <w:r>
        <w:rPr>
          <w:rFonts w:ascii="Arial" w:cs="Arial" w:eastAsia="Arial" w:hAnsi="Arial"/>
          <w:sz w:val="16"/>
          <w:szCs w:val="16"/>
          <w:b w:val="1"/>
          <w:bCs w:val="1"/>
          <w:color w:val="auto"/>
        </w:rPr>
        <w:t>Item 5. Other Information.</w:t>
      </w: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None.</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6.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Exhibit</w:t>
            </w:r>
          </w:p>
        </w:tc>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Number</w:t>
            </w:r>
          </w:p>
        </w:tc>
        <w:tc>
          <w:tcPr>
            <w:tcW w:w="2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20" w:type="dxa"/>
            <w:vAlign w:val="bottom"/>
            <w:gridSpan w:val="4"/>
          </w:tcPr>
          <w:p>
            <w:pPr>
              <w:ind w:left="620"/>
              <w:spacing w:after="0"/>
              <w:rPr>
                <w:sz w:val="20"/>
                <w:szCs w:val="20"/>
                <w:color w:val="auto"/>
              </w:rPr>
            </w:pPr>
            <w:r>
              <w:rPr>
                <w:rFonts w:ascii="Arial" w:cs="Arial" w:eastAsia="Arial" w:hAnsi="Arial"/>
                <w:sz w:val="14"/>
                <w:szCs w:val="14"/>
                <w:b w:val="1"/>
                <w:bCs w:val="1"/>
                <w:color w:val="auto"/>
              </w:rPr>
              <w:t>Description</w:t>
            </w:r>
          </w:p>
        </w:tc>
      </w:tr>
      <w:tr>
        <w:trPr>
          <w:trHeight w:val="299"/>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31.1*</w:t>
            </w:r>
          </w:p>
        </w:tc>
        <w:tc>
          <w:tcPr>
            <w:tcW w:w="120" w:type="dxa"/>
            <w:vAlign w:val="bottom"/>
          </w:tcPr>
          <w:p>
            <w:pPr>
              <w:spacing w:after="0"/>
              <w:rPr>
                <w:sz w:val="24"/>
                <w:szCs w:val="24"/>
                <w:color w:val="auto"/>
              </w:rPr>
            </w:pPr>
          </w:p>
        </w:tc>
        <w:tc>
          <w:tcPr>
            <w:tcW w:w="9720" w:type="dxa"/>
            <w:vAlign w:val="bottom"/>
            <w:tcBorders>
              <w:top w:val="single" w:sz="8" w:color="auto"/>
              <w:bottom w:val="single" w:sz="8" w:color="0000EE"/>
            </w:tcBorders>
            <w:gridSpan w:val="4"/>
          </w:tcPr>
          <w:p>
            <w:pPr>
              <w:spacing w:after="0"/>
              <w:rPr>
                <w:rFonts w:ascii="Arial" w:cs="Arial" w:eastAsia="Arial" w:hAnsi="Arial"/>
                <w:sz w:val="17"/>
                <w:szCs w:val="17"/>
                <w:color w:val="0000EE"/>
                <w:w w:val="91"/>
              </w:rPr>
            </w:pPr>
            <w:hyperlink w:anchor="page34">
              <w:r>
                <w:rPr>
                  <w:rFonts w:ascii="Arial" w:cs="Arial" w:eastAsia="Arial" w:hAnsi="Arial"/>
                  <w:sz w:val="17"/>
                  <w:szCs w:val="17"/>
                  <w:color w:val="0000EE"/>
                  <w:w w:val="91"/>
                </w:rPr>
                <w:t>Certification of Principal Executive Officer Pursuant to Rules 13a-14(a) and 15d-14(a) under the Securities Exchange Act of 1934, as Adopted</w:t>
              </w:r>
            </w:hyperlink>
          </w:p>
        </w:tc>
        <w:tc>
          <w:tcPr>
            <w:tcW w:w="380" w:type="dxa"/>
            <w:vAlign w:val="bottom"/>
            <w:tcBorders>
              <w:top w:val="single" w:sz="8" w:color="auto"/>
            </w:tcBorders>
            <w:gridSpan w:val="2"/>
          </w:tcPr>
          <w:p>
            <w:pPr>
              <w:spacing w:after="0"/>
              <w:rPr>
                <w:sz w:val="24"/>
                <w:szCs w:val="24"/>
                <w:color w:val="auto"/>
              </w:rPr>
            </w:pPr>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Borders>
              <w:bottom w:val="single" w:sz="8" w:color="0000EE"/>
            </w:tcBorders>
            <w:gridSpan w:val="2"/>
          </w:tcPr>
          <w:p>
            <w:pPr>
              <w:spacing w:after="0" w:line="185" w:lineRule="exact"/>
              <w:rPr>
                <w:rFonts w:ascii="Arial" w:cs="Arial" w:eastAsia="Arial" w:hAnsi="Arial"/>
                <w:sz w:val="17"/>
                <w:szCs w:val="17"/>
                <w:color w:val="0000EE"/>
                <w:w w:val="90"/>
              </w:rPr>
            </w:pPr>
            <w:hyperlink w:anchor="page34">
              <w:r>
                <w:rPr>
                  <w:rFonts w:ascii="Arial" w:cs="Arial" w:eastAsia="Arial" w:hAnsi="Arial"/>
                  <w:sz w:val="17"/>
                  <w:szCs w:val="17"/>
                  <w:color w:val="0000EE"/>
                  <w:w w:val="90"/>
                </w:rPr>
                <w:t>Pursuant to Section 302 of the Sarbanes-Oxley Act of 2002.</w:t>
              </w:r>
            </w:hyperlink>
          </w:p>
        </w:tc>
        <w:tc>
          <w:tcPr>
            <w:tcW w:w="6020" w:type="dxa"/>
            <w:vAlign w:val="bottom"/>
            <w:gridSpan w:val="4"/>
          </w:tcPr>
          <w:p>
            <w:pPr>
              <w:spacing w:after="0"/>
              <w:rPr>
                <w:sz w:val="16"/>
                <w:szCs w:val="16"/>
                <w:color w:val="auto"/>
              </w:rPr>
            </w:pPr>
          </w:p>
        </w:tc>
      </w:tr>
      <w:tr>
        <w:trPr>
          <w:trHeight w:val="325"/>
        </w:trPr>
        <w:tc>
          <w:tcPr>
            <w:tcW w:w="1020" w:type="dxa"/>
            <w:vAlign w:val="bottom"/>
          </w:tcPr>
          <w:p>
            <w:pPr>
              <w:jc w:val="center"/>
              <w:spacing w:after="0"/>
              <w:rPr>
                <w:sz w:val="20"/>
                <w:szCs w:val="20"/>
                <w:color w:val="auto"/>
              </w:rPr>
            </w:pPr>
            <w:r>
              <w:rPr>
                <w:rFonts w:ascii="Arial" w:cs="Arial" w:eastAsia="Arial" w:hAnsi="Arial"/>
                <w:sz w:val="17"/>
                <w:szCs w:val="17"/>
                <w:color w:val="auto"/>
                <w:w w:val="95"/>
              </w:rPr>
              <w:t>31.2*</w:t>
            </w:r>
          </w:p>
        </w:tc>
        <w:tc>
          <w:tcPr>
            <w:tcW w:w="120" w:type="dxa"/>
            <w:vAlign w:val="bottom"/>
          </w:tcPr>
          <w:p>
            <w:pPr>
              <w:spacing w:after="0"/>
              <w:rPr>
                <w:sz w:val="24"/>
                <w:szCs w:val="24"/>
                <w:color w:val="auto"/>
              </w:rPr>
            </w:pPr>
          </w:p>
        </w:tc>
        <w:tc>
          <w:tcPr>
            <w:tcW w:w="10100" w:type="dxa"/>
            <w:vAlign w:val="bottom"/>
            <w:gridSpan w:val="6"/>
          </w:tcPr>
          <w:p>
            <w:pPr>
              <w:spacing w:after="0"/>
              <w:rPr>
                <w:rFonts w:ascii="Arial" w:cs="Arial" w:eastAsia="Arial" w:hAnsi="Arial"/>
                <w:sz w:val="17"/>
                <w:szCs w:val="17"/>
                <w:color w:val="0000EE"/>
                <w:w w:val="95"/>
              </w:rPr>
            </w:pPr>
            <w:hyperlink w:anchor="page35">
              <w:r>
                <w:rPr>
                  <w:rFonts w:ascii="Arial" w:cs="Arial" w:eastAsia="Arial" w:hAnsi="Arial"/>
                  <w:sz w:val="17"/>
                  <w:szCs w:val="17"/>
                  <w:color w:val="0000EE"/>
                  <w:w w:val="95"/>
                </w:rPr>
                <w:t>Certification of Principal Financial Officer Pursuant to Rules 13a-14(a) and 15d-14(a) under the Securities Exchange Act of 1934, as Adopted</w:t>
              </w:r>
            </w:hyperlink>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0"/>
              </w:rPr>
            </w:pPr>
            <w:hyperlink w:anchor="page35">
              <w:r>
                <w:rPr>
                  <w:rFonts w:ascii="Arial" w:cs="Arial" w:eastAsia="Arial" w:hAnsi="Arial"/>
                  <w:sz w:val="17"/>
                  <w:szCs w:val="17"/>
                  <w:color w:val="0000EE"/>
                  <w:w w:val="90"/>
                </w:rPr>
                <w:t>Pursuant to Section 302 of the Sarbanes-Oxley Act of 2002.</w:t>
              </w:r>
            </w:hyperlink>
          </w:p>
        </w:tc>
        <w:tc>
          <w:tcPr>
            <w:tcW w:w="5580" w:type="dxa"/>
            <w:vAlign w:val="bottom"/>
            <w:tcBorders>
              <w:top w:val="single" w:sz="8" w:color="0000EE"/>
            </w:tcBorders>
          </w:tcPr>
          <w:p>
            <w:pPr>
              <w:spacing w:after="0"/>
              <w:rPr>
                <w:sz w:val="16"/>
                <w:szCs w:val="16"/>
                <w:color w:val="auto"/>
              </w:rPr>
            </w:pPr>
          </w:p>
        </w:tc>
        <w:tc>
          <w:tcPr>
            <w:tcW w:w="440" w:type="dxa"/>
            <w:vAlign w:val="bottom"/>
            <w:gridSpan w:val="3"/>
          </w:tcPr>
          <w:p>
            <w:pPr>
              <w:spacing w:after="0"/>
              <w:rPr>
                <w:sz w:val="16"/>
                <w:szCs w:val="16"/>
                <w:color w:val="auto"/>
              </w:rPr>
            </w:pPr>
          </w:p>
        </w:tc>
      </w:tr>
      <w:tr>
        <w:trPr>
          <w:trHeight w:val="325"/>
        </w:trPr>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32.1†</w:t>
            </w:r>
          </w:p>
        </w:tc>
        <w:tc>
          <w:tcPr>
            <w:tcW w:w="10100" w:type="dxa"/>
            <w:vAlign w:val="bottom"/>
            <w:gridSpan w:val="6"/>
          </w:tcPr>
          <w:p>
            <w:pPr>
              <w:spacing w:after="0"/>
              <w:rPr>
                <w:rFonts w:ascii="Arial" w:cs="Arial" w:eastAsia="Arial" w:hAnsi="Arial"/>
                <w:sz w:val="17"/>
                <w:szCs w:val="17"/>
                <w:color w:val="0000EE"/>
                <w:w w:val="91"/>
              </w:rPr>
            </w:pPr>
            <w:hyperlink w:anchor="page36">
              <w:r>
                <w:rPr>
                  <w:rFonts w:ascii="Arial" w:cs="Arial" w:eastAsia="Arial" w:hAnsi="Arial"/>
                  <w:sz w:val="17"/>
                  <w:szCs w:val="17"/>
                  <w:color w:val="0000EE"/>
                  <w:w w:val="91"/>
                </w:rPr>
                <w:t>Certification of Principal Executive Officer and Principal Financial Officer Pursuant to 18 U.S.C. Section 1350, as Adopted Pursuant to Section 906</w:t>
              </w:r>
            </w:hyperlink>
          </w:p>
        </w:tc>
      </w:t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90"/>
              </w:rPr>
            </w:pPr>
            <w:hyperlink w:anchor="page36">
              <w:r>
                <w:rPr>
                  <w:rFonts w:ascii="Arial" w:cs="Arial" w:eastAsia="Arial" w:hAnsi="Arial"/>
                  <w:sz w:val="17"/>
                  <w:szCs w:val="17"/>
                  <w:color w:val="0000EE"/>
                  <w:w w:val="90"/>
                </w:rPr>
                <w:t>of the Sarbanes-Oxley Act of 2002.</w:t>
              </w:r>
            </w:hyperlink>
          </w:p>
        </w:tc>
        <w:tc>
          <w:tcPr>
            <w:tcW w:w="7660" w:type="dxa"/>
            <w:vAlign w:val="bottom"/>
            <w:tcBorders>
              <w:top w:val="single" w:sz="8" w:color="0000EE"/>
            </w:tcBorders>
            <w:gridSpan w:val="4"/>
          </w:tcPr>
          <w:p>
            <w:pPr>
              <w:spacing w:after="0"/>
              <w:rPr>
                <w:sz w:val="16"/>
                <w:szCs w:val="16"/>
                <w:color w:val="auto"/>
              </w:rPr>
            </w:pPr>
          </w:p>
        </w:tc>
        <w:tc>
          <w:tcPr>
            <w:tcW w:w="20" w:type="dxa"/>
            <w:vAlign w:val="bottom"/>
          </w:tcPr>
          <w:p>
            <w:pPr>
              <w:spacing w:after="0"/>
              <w:rPr>
                <w:sz w:val="16"/>
                <w:szCs w:val="16"/>
                <w:color w:val="auto"/>
              </w:rPr>
            </w:pPr>
          </w:p>
        </w:tc>
      </w:tr>
      <w:tr>
        <w:trPr>
          <w:trHeight w:val="350"/>
        </w:trPr>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101.INS</w:t>
            </w:r>
          </w:p>
        </w:tc>
        <w:tc>
          <w:tcPr>
            <w:tcW w:w="10100" w:type="dxa"/>
            <w:vAlign w:val="bottom"/>
            <w:gridSpan w:val="6"/>
          </w:tcPr>
          <w:p>
            <w:pPr>
              <w:spacing w:after="0"/>
              <w:rPr>
                <w:sz w:val="20"/>
                <w:szCs w:val="20"/>
                <w:color w:val="auto"/>
              </w:rPr>
            </w:pPr>
            <w:r>
              <w:rPr>
                <w:rFonts w:ascii="Arial" w:cs="Arial" w:eastAsia="Arial" w:hAnsi="Arial"/>
                <w:sz w:val="17"/>
                <w:szCs w:val="17"/>
                <w:color w:val="auto"/>
                <w:w w:val="91"/>
              </w:rPr>
              <w:t>Inline XBRL Instance Document - the instance document does not appear in the Interactive Data File because its XBRL tags are embedded within</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Arial" w:cs="Arial" w:eastAsia="Arial" w:hAnsi="Arial"/>
                <w:sz w:val="17"/>
                <w:szCs w:val="17"/>
                <w:color w:val="auto"/>
              </w:rPr>
              <w:t>the Inline XBRL document</w:t>
            </w:r>
          </w:p>
        </w:tc>
      </w:tr>
      <w:tr>
        <w:trPr>
          <w:trHeight w:val="217"/>
        </w:trPr>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101.SCH</w:t>
            </w:r>
          </w:p>
        </w:tc>
        <w:tc>
          <w:tcPr>
            <w:tcW w:w="1010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17"/>
        </w:trPr>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6"/>
              </w:rPr>
              <w:t>101.CAL</w:t>
            </w:r>
          </w:p>
        </w:tc>
        <w:tc>
          <w:tcPr>
            <w:tcW w:w="10100" w:type="dxa"/>
            <w:vAlign w:val="bottom"/>
            <w:gridSpan w:val="6"/>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17"/>
        </w:trPr>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101.DEF</w:t>
            </w:r>
          </w:p>
        </w:tc>
        <w:tc>
          <w:tcPr>
            <w:tcW w:w="1010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17"/>
        </w:trPr>
        <w:tc>
          <w:tcPr>
            <w:tcW w:w="1140" w:type="dxa"/>
            <w:vAlign w:val="bottom"/>
            <w:gridSpan w:val="2"/>
          </w:tcPr>
          <w:p>
            <w:pPr>
              <w:jc w:val="center"/>
              <w:ind w:right="140"/>
              <w:spacing w:after="0"/>
              <w:rPr>
                <w:sz w:val="20"/>
                <w:szCs w:val="20"/>
                <w:color w:val="auto"/>
              </w:rPr>
            </w:pPr>
            <w:r>
              <w:rPr>
                <w:rFonts w:ascii="Arial" w:cs="Arial" w:eastAsia="Arial" w:hAnsi="Arial"/>
                <w:sz w:val="17"/>
                <w:szCs w:val="17"/>
                <w:color w:val="auto"/>
                <w:w w:val="98"/>
              </w:rPr>
              <w:t>101.LAB</w:t>
            </w:r>
          </w:p>
        </w:tc>
        <w:tc>
          <w:tcPr>
            <w:tcW w:w="10100" w:type="dxa"/>
            <w:vAlign w:val="bottom"/>
            <w:gridSpan w:val="6"/>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17"/>
        </w:trPr>
        <w:tc>
          <w:tcPr>
            <w:tcW w:w="11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101.PRE</w:t>
            </w:r>
          </w:p>
        </w:tc>
        <w:tc>
          <w:tcPr>
            <w:tcW w:w="1010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1" w:lineRule="exact"/>
        <w:rPr>
          <w:sz w:val="20"/>
          <w:szCs w:val="20"/>
          <w:color w:val="auto"/>
        </w:rPr>
      </w:pPr>
    </w:p>
    <w:p>
      <w:pPr>
        <w:ind w:left="20" w:right="4640" w:firstLine="359"/>
        <w:spacing w:after="0" w:line="383" w:lineRule="auto"/>
        <w:tabs>
          <w:tab w:leader="none" w:pos="1143" w:val="left"/>
        </w:tabs>
        <w:numPr>
          <w:ilvl w:val="1"/>
          <w:numId w:val="14"/>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24961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496185" cy="8255"/>
                    </a:xfrm>
                    <a:prstGeom prst="rect">
                      <a:avLst/>
                    </a:prstGeom>
                    <a:noFill/>
                  </pic:spPr>
                </pic:pic>
              </a:graphicData>
            </a:graphic>
          </wp:anchor>
        </w:drawing>
      </w:r>
    </w:p>
    <w:p>
      <w:pPr>
        <w:ind w:left="380" w:right="20" w:hanging="365"/>
        <w:spacing w:after="0" w:line="263" w:lineRule="auto"/>
        <w:tabs>
          <w:tab w:leader="none" w:pos="13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or the Securities Exchange Act of 1934, as amended, except to the extent specifically incorporated by reference into such filing.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165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534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jc w:val="center"/>
        <w:ind w:right="-759"/>
        <w:spacing w:after="0"/>
        <w:rPr>
          <w:sz w:val="20"/>
          <w:szCs w:val="20"/>
          <w:color w:val="auto"/>
        </w:rPr>
      </w:pPr>
      <w:r>
        <w:rPr>
          <w:rFonts w:ascii="Arial" w:cs="Arial" w:eastAsia="Arial" w:hAnsi="Arial"/>
          <w:sz w:val="17"/>
          <w:szCs w:val="17"/>
          <w:b w:val="1"/>
          <w:bCs w:val="1"/>
          <w:color w:val="auto"/>
        </w:rPr>
        <w:t>SIGNATURES</w:t>
      </w:r>
    </w:p>
    <w:p>
      <w:pPr>
        <w:spacing w:after="0" w:line="217" w:lineRule="exact"/>
        <w:rPr>
          <w:sz w:val="20"/>
          <w:szCs w:val="20"/>
          <w:color w:val="auto"/>
        </w:rPr>
      </w:pPr>
    </w:p>
    <w:p>
      <w:pPr>
        <w:ind w:firstLine="764"/>
        <w:spacing w:after="0" w:line="27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Galecto, Inc.</w:t>
      </w:r>
    </w:p>
    <w:p>
      <w:pPr>
        <w:spacing w:after="0" w:line="238" w:lineRule="exact"/>
        <w:rPr>
          <w:sz w:val="20"/>
          <w:szCs w:val="20"/>
          <w:color w:val="auto"/>
        </w:rPr>
      </w:pPr>
    </w:p>
    <w:p>
      <w:pPr>
        <w:spacing w:after="0"/>
        <w:tabs>
          <w:tab w:leader="none" w:pos="5580" w:val="left"/>
          <w:tab w:leader="none" w:pos="778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Hans T. Schambye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13335</wp:posOffset>
            </wp:positionV>
            <wp:extent cx="34201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Hans T. Schambye, M.D., Ph.D.</w:t>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b w:val="1"/>
          <w:bCs w:val="1"/>
          <w:color w:val="auto"/>
        </w:rPr>
        <w:t>President, Chief Executive Officer and Director</w:t>
      </w:r>
    </w:p>
    <w:p>
      <w:pPr>
        <w:spacing w:after="0" w:line="33" w:lineRule="exact"/>
        <w:rPr>
          <w:sz w:val="20"/>
          <w:szCs w:val="20"/>
          <w:color w:val="auto"/>
        </w:rPr>
      </w:pPr>
    </w:p>
    <w:p>
      <w:pPr>
        <w:ind w:left="7500"/>
        <w:spacing w:after="0"/>
        <w:rPr>
          <w:sz w:val="20"/>
          <w:szCs w:val="20"/>
          <w:color w:val="auto"/>
        </w:rPr>
      </w:pPr>
      <w:r>
        <w:rPr>
          <w:rFonts w:ascii="Arial" w:cs="Arial" w:eastAsia="Arial" w:hAnsi="Arial"/>
          <w:sz w:val="17"/>
          <w:szCs w:val="17"/>
          <w:b w:val="1"/>
          <w:bCs w:val="1"/>
          <w:color w:val="auto"/>
        </w:rPr>
        <w:t>(Principal Executive Officer)</w:t>
      </w:r>
    </w:p>
    <w:p>
      <w:pPr>
        <w:spacing w:after="0" w:line="227" w:lineRule="exact"/>
        <w:rPr>
          <w:sz w:val="20"/>
          <w:szCs w:val="20"/>
          <w:color w:val="auto"/>
        </w:rPr>
      </w:pPr>
    </w:p>
    <w:p>
      <w:pPr>
        <w:spacing w:after="0"/>
        <w:tabs>
          <w:tab w:leader="none" w:pos="5580" w:val="left"/>
          <w:tab w:leader="none" w:pos="790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Jonathan Freve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13335</wp:posOffset>
            </wp:positionV>
            <wp:extent cx="34201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Jonathan Freve</w:t>
      </w:r>
    </w:p>
    <w:p>
      <w:pPr>
        <w:spacing w:after="0" w:line="24" w:lineRule="exact"/>
        <w:rPr>
          <w:sz w:val="20"/>
          <w:szCs w:val="20"/>
          <w:color w:val="auto"/>
        </w:rPr>
      </w:pPr>
    </w:p>
    <w:p>
      <w:pPr>
        <w:ind w:left="7700"/>
        <w:spacing w:after="0"/>
        <w:rPr>
          <w:sz w:val="20"/>
          <w:szCs w:val="20"/>
          <w:color w:val="auto"/>
        </w:rPr>
      </w:pPr>
      <w:r>
        <w:rPr>
          <w:rFonts w:ascii="Arial" w:cs="Arial" w:eastAsia="Arial" w:hAnsi="Arial"/>
          <w:sz w:val="17"/>
          <w:szCs w:val="17"/>
          <w:b w:val="1"/>
          <w:bCs w:val="1"/>
          <w:color w:val="auto"/>
        </w:rPr>
        <w:t>Chief Financial Officer</w:t>
      </w:r>
    </w:p>
    <w:p>
      <w:pPr>
        <w:spacing w:after="0" w:line="21"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80"/>
          </w:cols>
          <w:pgMar w:left="320" w:top="327" w:right="109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Hans T. Schambye, certify that:</w:t>
      </w:r>
    </w:p>
    <w:p>
      <w:pPr>
        <w:spacing w:after="0" w:line="226" w:lineRule="exact"/>
        <w:rPr>
          <w:sz w:val="20"/>
          <w:szCs w:val="20"/>
          <w:color w:val="auto"/>
        </w:rPr>
      </w:pPr>
    </w:p>
    <w:p>
      <w:pPr>
        <w:ind w:left="1760" w:hanging="656"/>
        <w:spacing w:after="0"/>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2021 of Galecto, Inc.;</w:t>
      </w:r>
    </w:p>
    <w:p>
      <w:pPr>
        <w:spacing w:after="0" w:line="225" w:lineRule="exact"/>
        <w:rPr>
          <w:rFonts w:ascii="Arial" w:cs="Arial" w:eastAsia="Arial" w:hAnsi="Arial"/>
          <w:sz w:val="17"/>
          <w:szCs w:val="17"/>
          <w:color w:val="auto"/>
        </w:rPr>
      </w:pPr>
    </w:p>
    <w:p>
      <w:pPr>
        <w:ind w:left="1760" w:right="20" w:hanging="656"/>
        <w:spacing w:after="0" w:line="263" w:lineRule="auto"/>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7"/>
          <w:szCs w:val="17"/>
          <w:color w:val="auto"/>
        </w:rPr>
      </w:pPr>
    </w:p>
    <w:p>
      <w:pPr>
        <w:ind w:left="1760" w:right="300" w:hanging="656"/>
        <w:spacing w:after="0" w:line="344" w:lineRule="auto"/>
        <w:tabs>
          <w:tab w:leader="none" w:pos="17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5"/>
          <w:szCs w:val="15"/>
          <w:color w:val="auto"/>
        </w:rPr>
      </w:pPr>
    </w:p>
    <w:p>
      <w:pPr>
        <w:ind w:left="1760" w:right="480" w:hanging="656"/>
        <w:spacing w:after="0" w:line="275" w:lineRule="auto"/>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Arial" w:cs="Arial" w:eastAsia="Arial" w:hAnsi="Arial"/>
          <w:sz w:val="17"/>
          <w:szCs w:val="17"/>
          <w:color w:val="auto"/>
        </w:rPr>
      </w:pPr>
    </w:p>
    <w:p>
      <w:pPr>
        <w:ind w:left="2460" w:right="80" w:hanging="641"/>
        <w:spacing w:after="0" w:line="271" w:lineRule="auto"/>
        <w:tabs>
          <w:tab w:leader="none" w:pos="2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480" w:hanging="661"/>
        <w:spacing w:after="0"/>
        <w:tabs>
          <w:tab w:leader="none" w:pos="24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8" w:lineRule="exact"/>
        <w:rPr>
          <w:rFonts w:ascii="Arial" w:cs="Arial" w:eastAsia="Arial" w:hAnsi="Arial"/>
          <w:sz w:val="17"/>
          <w:szCs w:val="17"/>
          <w:color w:val="auto"/>
        </w:rPr>
      </w:pPr>
    </w:p>
    <w:p>
      <w:pPr>
        <w:ind w:left="2460" w:right="280" w:hanging="641"/>
        <w:spacing w:after="0" w:line="250" w:lineRule="auto"/>
        <w:tabs>
          <w:tab w:leader="none" w:pos="24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ind w:left="2480" w:right="280" w:hanging="661"/>
        <w:spacing w:after="0" w:line="306" w:lineRule="auto"/>
        <w:tabs>
          <w:tab w:leader="none" w:pos="24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5"/>
          <w:szCs w:val="15"/>
          <w:color w:val="auto"/>
        </w:rPr>
      </w:pPr>
    </w:p>
    <w:p>
      <w:pPr>
        <w:ind w:left="1760" w:right="220" w:hanging="656"/>
        <w:spacing w:after="0" w:line="263" w:lineRule="auto"/>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7"/>
          <w:szCs w:val="17"/>
          <w:color w:val="auto"/>
        </w:rPr>
      </w:pPr>
    </w:p>
    <w:p>
      <w:pPr>
        <w:ind w:left="2460" w:right="60" w:hanging="641"/>
        <w:spacing w:after="0" w:line="255" w:lineRule="auto"/>
        <w:tabs>
          <w:tab w:leader="none" w:pos="24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480" w:right="60" w:hanging="661"/>
        <w:spacing w:after="0" w:line="261" w:lineRule="auto"/>
        <w:tabs>
          <w:tab w:leader="none" w:pos="24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86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Hans T. Schambye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13335</wp:posOffset>
            </wp:positionV>
            <wp:extent cx="33229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10"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Hans T. Schambye, M.D., Ph.D.</w:t>
      </w:r>
    </w:p>
    <w:p>
      <w:pPr>
        <w:spacing w:after="0" w:line="24"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12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 Jonathan Freve, certify that:</w:t>
      </w:r>
    </w:p>
    <w:p>
      <w:pPr>
        <w:spacing w:after="0" w:line="226" w:lineRule="exact"/>
        <w:rPr>
          <w:sz w:val="20"/>
          <w:szCs w:val="20"/>
          <w:color w:val="auto"/>
        </w:rPr>
      </w:pPr>
    </w:p>
    <w:p>
      <w:pPr>
        <w:ind w:left="1760" w:hanging="656"/>
        <w:spacing w:after="0"/>
        <w:tabs>
          <w:tab w:leader="none" w:pos="1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2021 of Galecto, Inc.;</w:t>
      </w:r>
    </w:p>
    <w:p>
      <w:pPr>
        <w:spacing w:after="0" w:line="225" w:lineRule="exact"/>
        <w:rPr>
          <w:rFonts w:ascii="Arial" w:cs="Arial" w:eastAsia="Arial" w:hAnsi="Arial"/>
          <w:sz w:val="17"/>
          <w:szCs w:val="17"/>
          <w:color w:val="auto"/>
        </w:rPr>
      </w:pPr>
    </w:p>
    <w:p>
      <w:pPr>
        <w:ind w:left="1760" w:right="20" w:hanging="656"/>
        <w:spacing w:after="0" w:line="263" w:lineRule="auto"/>
        <w:tabs>
          <w:tab w:leader="none" w:pos="1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7"/>
          <w:szCs w:val="17"/>
          <w:color w:val="auto"/>
        </w:rPr>
      </w:pPr>
    </w:p>
    <w:p>
      <w:pPr>
        <w:ind w:left="1760" w:right="300" w:hanging="656"/>
        <w:spacing w:after="0" w:line="344" w:lineRule="auto"/>
        <w:tabs>
          <w:tab w:leader="none" w:pos="1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5"/>
          <w:szCs w:val="15"/>
          <w:color w:val="auto"/>
        </w:rPr>
      </w:pPr>
    </w:p>
    <w:p>
      <w:pPr>
        <w:ind w:left="1760" w:right="480" w:hanging="656"/>
        <w:spacing w:after="0" w:line="275" w:lineRule="auto"/>
        <w:tabs>
          <w:tab w:leader="none" w:pos="1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77" w:lineRule="exact"/>
        <w:rPr>
          <w:rFonts w:ascii="Arial" w:cs="Arial" w:eastAsia="Arial" w:hAnsi="Arial"/>
          <w:sz w:val="17"/>
          <w:szCs w:val="17"/>
          <w:color w:val="auto"/>
        </w:rPr>
      </w:pPr>
    </w:p>
    <w:p>
      <w:pPr>
        <w:ind w:left="2460" w:right="80" w:hanging="641"/>
        <w:spacing w:after="0" w:line="271" w:lineRule="auto"/>
        <w:tabs>
          <w:tab w:leader="none" w:pos="2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480" w:hanging="661"/>
        <w:spacing w:after="0"/>
        <w:tabs>
          <w:tab w:leader="none" w:pos="2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33-8392/34-49313);</w:t>
      </w:r>
    </w:p>
    <w:p>
      <w:pPr>
        <w:spacing w:after="0" w:line="8" w:lineRule="exact"/>
        <w:rPr>
          <w:rFonts w:ascii="Arial" w:cs="Arial" w:eastAsia="Arial" w:hAnsi="Arial"/>
          <w:sz w:val="17"/>
          <w:szCs w:val="17"/>
          <w:color w:val="auto"/>
        </w:rPr>
      </w:pPr>
    </w:p>
    <w:p>
      <w:pPr>
        <w:ind w:left="2460" w:right="280" w:hanging="641"/>
        <w:spacing w:after="0" w:line="250" w:lineRule="auto"/>
        <w:tabs>
          <w:tab w:leader="none" w:pos="24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ind w:left="2480" w:right="280" w:hanging="661"/>
        <w:spacing w:after="0" w:line="306" w:lineRule="auto"/>
        <w:tabs>
          <w:tab w:leader="none" w:pos="248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5"/>
          <w:szCs w:val="15"/>
          <w:color w:val="auto"/>
        </w:rPr>
      </w:pPr>
    </w:p>
    <w:p>
      <w:pPr>
        <w:ind w:left="1760" w:right="220" w:hanging="656"/>
        <w:spacing w:after="0" w:line="263" w:lineRule="auto"/>
        <w:tabs>
          <w:tab w:leader="none" w:pos="1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7"/>
          <w:szCs w:val="17"/>
          <w:color w:val="auto"/>
        </w:rPr>
      </w:pPr>
    </w:p>
    <w:p>
      <w:pPr>
        <w:ind w:left="2460" w:right="60" w:hanging="641"/>
        <w:spacing w:after="0" w:line="255" w:lineRule="auto"/>
        <w:tabs>
          <w:tab w:leader="none" w:pos="24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480" w:right="60" w:hanging="661"/>
        <w:spacing w:after="0" w:line="261" w:lineRule="auto"/>
        <w:tabs>
          <w:tab w:leader="none" w:pos="2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640" w:val="left"/>
          <w:tab w:leader="none" w:pos="798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Jonathan Freve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13335</wp:posOffset>
            </wp:positionV>
            <wp:extent cx="33229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22955" cy="8255"/>
                    </a:xfrm>
                    <a:prstGeom prst="rect">
                      <a:avLst/>
                    </a:prstGeom>
                    <a:noFill/>
                  </pic:spPr>
                </pic:pic>
              </a:graphicData>
            </a:graphic>
          </wp:anchor>
        </w:drawing>
      </w:r>
    </w:p>
    <w:p>
      <w:pPr>
        <w:spacing w:after="0" w:line="10" w:lineRule="exact"/>
        <w:rPr>
          <w:sz w:val="20"/>
          <w:szCs w:val="20"/>
          <w:color w:val="auto"/>
        </w:rPr>
      </w:pPr>
    </w:p>
    <w:p>
      <w:pPr>
        <w:ind w:left="8060"/>
        <w:spacing w:after="0"/>
        <w:rPr>
          <w:sz w:val="20"/>
          <w:szCs w:val="20"/>
          <w:color w:val="auto"/>
        </w:rPr>
      </w:pPr>
      <w:r>
        <w:rPr>
          <w:rFonts w:ascii="Arial" w:cs="Arial" w:eastAsia="Arial" w:hAnsi="Arial"/>
          <w:sz w:val="17"/>
          <w:szCs w:val="17"/>
          <w:b w:val="1"/>
          <w:bCs w:val="1"/>
          <w:color w:val="auto"/>
        </w:rPr>
        <w:t>Jonathan Freve</w:t>
      </w:r>
    </w:p>
    <w:p>
      <w:pPr>
        <w:spacing w:after="0" w:line="24" w:lineRule="exact"/>
        <w:rPr>
          <w:sz w:val="20"/>
          <w:szCs w:val="20"/>
          <w:color w:val="auto"/>
        </w:rPr>
      </w:pPr>
    </w:p>
    <w:p>
      <w:pPr>
        <w:ind w:left="7780"/>
        <w:spacing w:after="0"/>
        <w:rPr>
          <w:sz w:val="20"/>
          <w:szCs w:val="20"/>
          <w:color w:val="auto"/>
        </w:rPr>
      </w:pPr>
      <w:r>
        <w:rPr>
          <w:rFonts w:ascii="Arial" w:cs="Arial" w:eastAsia="Arial" w:hAnsi="Arial"/>
          <w:sz w:val="17"/>
          <w:szCs w:val="17"/>
          <w:b w:val="1"/>
          <w:bCs w:val="1"/>
          <w:color w:val="auto"/>
        </w:rPr>
        <w:t>Chief Financial Officer</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7"/>
          <w:szCs w:val="17"/>
          <w:b w:val="1"/>
          <w:bCs w:val="1"/>
          <w:color w:val="auto"/>
        </w:rPr>
        <w:t>(Principal Financial and Accounting Officer)</w:t>
      </w:r>
    </w:p>
    <w:p>
      <w:pPr>
        <w:sectPr>
          <w:pgSz w:w="11900" w:h="16838" w:orient="portrait"/>
          <w:cols w:equalWidth="0" w:num="1">
            <w:col w:w="11240"/>
          </w:cols>
          <w:pgMar w:left="320" w:top="12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4" w:lineRule="exact"/>
        <w:rPr>
          <w:sz w:val="20"/>
          <w:szCs w:val="20"/>
          <w:color w:val="auto"/>
        </w:rPr>
      </w:pPr>
    </w:p>
    <w:p>
      <w:pPr>
        <w:ind w:right="140" w:firstLine="433"/>
        <w:spacing w:after="0" w:line="275"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Hans T. Schambye, the Chief Executive Officer, and Jonathan Freve, the Chief Financial Officer, of Galecto, Inc. (the “Company”), hereby certify, that, to their knowledge:</w:t>
      </w:r>
    </w:p>
    <w:p>
      <w:pPr>
        <w:spacing w:after="0" w:line="177" w:lineRule="exact"/>
        <w:rPr>
          <w:sz w:val="20"/>
          <w:szCs w:val="20"/>
          <w:color w:val="auto"/>
        </w:rPr>
      </w:pPr>
    </w:p>
    <w:p>
      <w:pPr>
        <w:ind w:left="1840" w:right="380" w:hanging="736"/>
        <w:spacing w:after="0" w:line="275"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Quarterly Report on Form 10-Q for the period ended September 30, 2021 (the “Report”) of the Company fully complies with the requirements of Section 13(a) or 15(d) of the Securities Exchange Act of 1934; and</w:t>
      </w:r>
    </w:p>
    <w:p>
      <w:pPr>
        <w:spacing w:after="0" w:line="177" w:lineRule="exact"/>
        <w:rPr>
          <w:rFonts w:ascii="Arial" w:cs="Arial" w:eastAsia="Arial" w:hAnsi="Arial"/>
          <w:sz w:val="17"/>
          <w:szCs w:val="17"/>
          <w:color w:val="auto"/>
        </w:rPr>
      </w:pPr>
    </w:p>
    <w:p>
      <w:pPr>
        <w:ind w:left="1840" w:right="320" w:hanging="736"/>
        <w:spacing w:after="0" w:line="275" w:lineRule="auto"/>
        <w:tabs>
          <w:tab w:leader="none" w:pos="18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5640" w:val="left"/>
          <w:tab w:leader="none" w:pos="788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Hans T. Schambye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13335</wp:posOffset>
            </wp:positionV>
            <wp:extent cx="33064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0"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Hans T. Schambye, M.D., Ph.D.</w:t>
      </w:r>
    </w:p>
    <w:p>
      <w:pPr>
        <w:spacing w:after="0" w:line="24" w:lineRule="exact"/>
        <w:rPr>
          <w:sz w:val="20"/>
          <w:szCs w:val="20"/>
          <w:color w:val="auto"/>
        </w:rPr>
      </w:pPr>
    </w:p>
    <w:p>
      <w:pPr>
        <w:ind w:left="6920"/>
        <w:spacing w:after="0"/>
        <w:rPr>
          <w:sz w:val="20"/>
          <w:szCs w:val="20"/>
          <w:color w:val="auto"/>
        </w:rPr>
      </w:pPr>
      <w:r>
        <w:rPr>
          <w:rFonts w:ascii="Arial" w:cs="Arial" w:eastAsia="Arial" w:hAnsi="Arial"/>
          <w:sz w:val="17"/>
          <w:szCs w:val="17"/>
          <w:b w:val="1"/>
          <w:bCs w:val="1"/>
          <w:color w:val="auto"/>
        </w:rPr>
        <w:t>President, Chief Executive Officer and Director</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7"/>
          <w:szCs w:val="17"/>
          <w:b w:val="1"/>
          <w:bCs w:val="1"/>
          <w:color w:val="auto"/>
        </w:rPr>
        <w:t>(Principal Executive Officer)</w:t>
      </w:r>
    </w:p>
    <w:p>
      <w:pPr>
        <w:spacing w:after="0" w:line="227" w:lineRule="exact"/>
        <w:rPr>
          <w:sz w:val="20"/>
          <w:szCs w:val="20"/>
          <w:color w:val="auto"/>
        </w:rPr>
      </w:pPr>
    </w:p>
    <w:p>
      <w:pPr>
        <w:spacing w:after="0"/>
        <w:tabs>
          <w:tab w:leader="none" w:pos="5640" w:val="left"/>
          <w:tab w:leader="none" w:pos="8000" w:val="left"/>
        </w:tabs>
        <w:rPr>
          <w:sz w:val="20"/>
          <w:szCs w:val="20"/>
          <w:color w:val="auto"/>
        </w:rPr>
      </w:pPr>
      <w:r>
        <w:rPr>
          <w:rFonts w:ascii="Arial" w:cs="Arial" w:eastAsia="Arial" w:hAnsi="Arial"/>
          <w:sz w:val="17"/>
          <w:szCs w:val="17"/>
          <w:color w:val="auto"/>
        </w:rPr>
        <w:t>Date: November 4,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4"/>
          <w:szCs w:val="14"/>
          <w:color w:val="auto"/>
        </w:rPr>
        <w:t>/s/ Jonathan Freve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3834765</wp:posOffset>
            </wp:positionH>
            <wp:positionV relativeFrom="paragraph">
              <wp:posOffset>13335</wp:posOffset>
            </wp:positionV>
            <wp:extent cx="3306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10" w:lineRule="exact"/>
        <w:rPr>
          <w:sz w:val="20"/>
          <w:szCs w:val="20"/>
          <w:color w:val="auto"/>
        </w:rPr>
      </w:pPr>
    </w:p>
    <w:p>
      <w:pPr>
        <w:ind w:left="8060"/>
        <w:spacing w:after="0"/>
        <w:rPr>
          <w:sz w:val="20"/>
          <w:szCs w:val="20"/>
          <w:color w:val="auto"/>
        </w:rPr>
      </w:pPr>
      <w:r>
        <w:rPr>
          <w:rFonts w:ascii="Arial" w:cs="Arial" w:eastAsia="Arial" w:hAnsi="Arial"/>
          <w:sz w:val="17"/>
          <w:szCs w:val="17"/>
          <w:b w:val="1"/>
          <w:bCs w:val="1"/>
          <w:color w:val="auto"/>
        </w:rPr>
        <w:t>Jonathan Freve</w:t>
      </w:r>
    </w:p>
    <w:p>
      <w:pPr>
        <w:spacing w:after="0" w:line="24" w:lineRule="exact"/>
        <w:rPr>
          <w:sz w:val="20"/>
          <w:szCs w:val="20"/>
          <w:color w:val="auto"/>
        </w:rPr>
      </w:pPr>
    </w:p>
    <w:p>
      <w:pPr>
        <w:ind w:left="7800"/>
        <w:spacing w:after="0"/>
        <w:rPr>
          <w:sz w:val="20"/>
          <w:szCs w:val="20"/>
          <w:color w:val="auto"/>
        </w:rPr>
      </w:pPr>
      <w:r>
        <w:rPr>
          <w:rFonts w:ascii="Arial" w:cs="Arial" w:eastAsia="Arial" w:hAnsi="Arial"/>
          <w:sz w:val="17"/>
          <w:szCs w:val="17"/>
          <w:b w:val="1"/>
          <w:bCs w:val="1"/>
          <w:color w:val="auto"/>
        </w:rPr>
        <w:t>Chief Financial Officer</w:t>
      </w:r>
    </w:p>
    <w:p>
      <w:pPr>
        <w:spacing w:after="0" w:line="21" w:lineRule="exact"/>
        <w:rPr>
          <w:sz w:val="20"/>
          <w:szCs w:val="20"/>
          <w:color w:val="auto"/>
        </w:rPr>
      </w:pPr>
    </w:p>
    <w:p>
      <w:pPr>
        <w:ind w:left="7000"/>
        <w:spacing w:after="0"/>
        <w:rPr>
          <w:sz w:val="20"/>
          <w:szCs w:val="20"/>
          <w:color w:val="auto"/>
        </w:rPr>
      </w:pPr>
      <w:r>
        <w:rPr>
          <w:rFonts w:ascii="Arial" w:cs="Arial" w:eastAsia="Arial" w:hAnsi="Arial"/>
          <w:sz w:val="17"/>
          <w:szCs w:val="17"/>
          <w:b w:val="1"/>
          <w:bCs w:val="1"/>
          <w:color w:val="auto"/>
        </w:rPr>
        <w:t>(Principal Financial and Accounting Officer)</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lvl w:ilvl="1">
      <w:lvlJc w:val="left"/>
      <w:lvlText w:val="(%2)"/>
      <w:numFmt w:val="decimal"/>
      <w:start w:val="1"/>
    </w:lvl>
  </w:abstractNum>
  <w:abstractNum w:abstractNumId="6">
    <w:nsid w:val="140E0F76"/>
    <w:multiLevelType w:val="hybridMultilevel"/>
    <w:lvl w:ilvl="0">
      <w:lvlJc w:val="left"/>
      <w:lvlText w:val="%1."/>
      <w:numFmt w:val="decimal"/>
      <w:start w:val="6"/>
    </w:lvl>
    <w:lvl w:ilvl="1">
      <w:lvlJc w:val="left"/>
      <w:lvlText w:val="%2"/>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18" Type="http://schemas.openxmlformats.org/officeDocument/2006/relationships/hyperlink" Target="http://www.sec.gov/Archives/edgar/data/0001800315/000156459021015916/glto-10k_20201231.htm" TargetMode="External"/><Relationship Id="rId56" Type="http://schemas.openxmlformats.org/officeDocument/2006/relationships/hyperlink" Target="http://www.sec.gov/Archives/edgar/data/0001800315/000119312520265628/d39338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2021-11-04T15:33:02Z</dcterms:created>
  <dcterms:modified xsi:type="dcterms:W3CDTF">2021-11-04T15:33:02Z</dcterms:modified>
</cp:coreProperties>
</file>