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6"/>
        </w:rPr>
      </w:pPr>
      <w:bookmarkStart w:id="0" w:name="d157378dposam.htm"/>
      <w:bookmarkStart w:id="1" w:name="ksd157378dposam"/>
      <w:bookmarkEnd w:id="0"/>
      <w:bookmarkEnd w:id="1"/>
      <w:r>
        <w:rPr>
          <w:rFonts w:ascii="Times New Roman" w:hAnsi="Times New Roman"/>
          <w:b/>
          <w:sz w:val="16"/>
        </w:rPr>
        <w:t xml:space="preserve">As filed with the Securities and Exchange Commission on August 10,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333-292175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0"/>
        </w:rPr>
      </w:pPr>
      <w:r>
        <w:rPr>
          <w:rFonts w:ascii="Times New Roman" w:hAnsi="Times New Roman"/>
          <w:b/>
          <w:sz w:val="30"/>
        </w:rPr>
        <w:t xml:space="preserve">UNITED STATES </w:t>
      </w:r>
    </w:p>
    <w:p>
      <w:pPr>
        <w:pStyle w:val="TextBody"/>
        <w:bidi w:val="0"/>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0"/>
        </w:rPr>
      </w:pPr>
      <w:r>
        <w:rPr>
          <w:rFonts w:ascii="Times New Roman" w:hAnsi="Times New Roman"/>
          <w:b/>
          <w:sz w:val="30"/>
        </w:rPr>
        <w:t xml:space="preserve">POST-EFFECTIVE AMENDMENT NO. 1 TO </w:t>
      </w:r>
    </w:p>
    <w:p>
      <w:pPr>
        <w:pStyle w:val="TextBody"/>
        <w:bidi w:val="0"/>
        <w:spacing w:before="0" w:after="0"/>
        <w:jc w:val="center"/>
        <w:rPr>
          <w:rFonts w:ascii="Times New Roman" w:hAnsi="Times New Roman"/>
          <w:b/>
          <w:sz w:val="30"/>
        </w:rPr>
      </w:pPr>
      <w:r>
        <w:rPr>
          <w:rFonts w:ascii="Times New Roman" w:hAnsi="Times New Roman"/>
          <w:b/>
          <w:sz w:val="30"/>
        </w:rPr>
        <w:t xml:space="preserve">FORM S-3 </w:t>
      </w:r>
    </w:p>
    <w:p>
      <w:pPr>
        <w:pStyle w:val="TextBody"/>
        <w:bidi w:val="0"/>
        <w:spacing w:before="0" w:after="0"/>
        <w:jc w:val="center"/>
        <w:rPr>
          <w:rFonts w:ascii="Times New Roman" w:hAnsi="Times New Roman"/>
          <w:b/>
          <w:sz w:val="30"/>
        </w:rPr>
      </w:pPr>
      <w:r>
        <w:rPr>
          <w:rFonts w:ascii="Times New Roman" w:hAnsi="Times New Roman"/>
          <w:b/>
          <w:sz w:val="30"/>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4"/>
        </w:rPr>
      </w:pPr>
      <w:r>
        <w:rPr>
          <w:rFonts w:ascii="Times New Roman" w:hAnsi="Times New Roman"/>
          <w:b/>
          <w:sz w:val="44"/>
        </w:rPr>
        <w:t xml:space="preserve">Damora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Cayman Islands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37-1957007</w:t>
            </w:r>
          </w:p>
        </w:tc>
      </w:tr>
      <w:tr>
        <w:trPr/>
        <w:tc>
          <w:tcPr>
            <w:tcW w:w="5153"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No.)</w:t>
            </w:r>
          </w:p>
        </w:tc>
      </w:tr>
    </w:tbl>
    <w:p>
      <w:pPr>
        <w:pStyle w:val="TextBody"/>
        <w:bidi w:val="0"/>
        <w:spacing w:before="120" w:after="0"/>
        <w:jc w:val="center"/>
        <w:rPr>
          <w:rFonts w:ascii="Times New Roman" w:hAnsi="Times New Roman"/>
          <w:b/>
          <w:sz w:val="16"/>
        </w:rPr>
      </w:pPr>
      <w:r>
        <w:rPr>
          <w:rFonts w:ascii="Times New Roman" w:hAnsi="Times New Roman"/>
          <w:b/>
          <w:sz w:val="16"/>
        </w:rPr>
        <w:t xml:space="preserve">221 Crescent Street </w:t>
      </w:r>
    </w:p>
    <w:p>
      <w:pPr>
        <w:pStyle w:val="TextBody"/>
        <w:bidi w:val="0"/>
        <w:spacing w:before="0" w:after="0"/>
        <w:jc w:val="center"/>
        <w:rPr>
          <w:rFonts w:ascii="Times New Roman" w:hAnsi="Times New Roman"/>
          <w:b/>
          <w:sz w:val="16"/>
        </w:rPr>
      </w:pPr>
      <w:r>
        <w:rPr>
          <w:rFonts w:ascii="Times New Roman" w:hAnsi="Times New Roman"/>
          <w:b/>
          <w:sz w:val="16"/>
        </w:rPr>
        <w:t xml:space="preserve">Building 23, Suite 105 </w:t>
      </w:r>
    </w:p>
    <w:p>
      <w:pPr>
        <w:pStyle w:val="TextBody"/>
        <w:bidi w:val="0"/>
        <w:spacing w:before="0" w:after="0"/>
        <w:jc w:val="center"/>
        <w:rPr>
          <w:rFonts w:ascii="Times New Roman" w:hAnsi="Times New Roman"/>
          <w:b/>
          <w:sz w:val="16"/>
        </w:rPr>
      </w:pPr>
      <w:r>
        <w:rPr>
          <w:rFonts w:ascii="Times New Roman" w:hAnsi="Times New Roman"/>
          <w:b/>
          <w:sz w:val="16"/>
        </w:rPr>
        <w:t xml:space="preserve">Waltham, MA 02453 </w:t>
      </w:r>
    </w:p>
    <w:p>
      <w:pPr>
        <w:pStyle w:val="TextBody"/>
        <w:bidi w:val="0"/>
        <w:spacing w:before="0" w:after="0"/>
        <w:jc w:val="center"/>
        <w:rPr>
          <w:rFonts w:ascii="Times New Roman" w:hAnsi="Times New Roman"/>
          <w:b/>
          <w:sz w:val="16"/>
        </w:rPr>
      </w:pPr>
      <w:r>
        <w:rPr>
          <w:rFonts w:ascii="Times New Roman" w:hAnsi="Times New Roman"/>
          <w:b/>
          <w:sz w:val="16"/>
        </w:rPr>
        <w:t xml:space="preserve">(781) 281-9020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Walkers (Cayman) LLP </w:t>
      </w:r>
    </w:p>
    <w:p>
      <w:pPr>
        <w:pStyle w:val="TextBody"/>
        <w:bidi w:val="0"/>
        <w:spacing w:before="0" w:after="0"/>
        <w:jc w:val="center"/>
        <w:rPr>
          <w:rFonts w:ascii="Times New Roman" w:hAnsi="Times New Roman"/>
          <w:b/>
          <w:sz w:val="16"/>
        </w:rPr>
      </w:pPr>
      <w:r>
        <w:rPr>
          <w:rFonts w:ascii="Times New Roman" w:hAnsi="Times New Roman"/>
          <w:b/>
          <w:sz w:val="16"/>
        </w:rPr>
        <w:t xml:space="preserve">190 Elgin Avenue </w:t>
      </w:r>
    </w:p>
    <w:p>
      <w:pPr>
        <w:pStyle w:val="TextBody"/>
        <w:bidi w:val="0"/>
        <w:spacing w:before="0" w:after="0"/>
        <w:jc w:val="center"/>
        <w:rPr>
          <w:rFonts w:ascii="Times New Roman" w:hAnsi="Times New Roman"/>
          <w:b/>
          <w:sz w:val="16"/>
        </w:rPr>
      </w:pPr>
      <w:r>
        <w:rPr>
          <w:rFonts w:ascii="Times New Roman" w:hAnsi="Times New Roman"/>
          <w:b/>
          <w:sz w:val="16"/>
        </w:rPr>
        <w:t xml:space="preserve">George Town, Grand Cayman </w:t>
      </w:r>
    </w:p>
    <w:p>
      <w:pPr>
        <w:pStyle w:val="TextBody"/>
        <w:bidi w:val="0"/>
        <w:spacing w:before="0" w:after="0"/>
        <w:jc w:val="center"/>
        <w:rPr>
          <w:rFonts w:ascii="Times New Roman" w:hAnsi="Times New Roman"/>
          <w:b/>
          <w:sz w:val="16"/>
        </w:rPr>
      </w:pPr>
      <w:r>
        <w:rPr>
          <w:rFonts w:ascii="Times New Roman" w:hAnsi="Times New Roman"/>
          <w:b/>
          <w:sz w:val="16"/>
        </w:rPr>
        <w:t xml:space="preserve">KY1-9008, Cayman Islands </w:t>
      </w:r>
    </w:p>
    <w:p>
      <w:pPr>
        <w:pStyle w:val="TextBody"/>
        <w:bidi w:val="0"/>
        <w:spacing w:before="0" w:after="0"/>
        <w:jc w:val="center"/>
        <w:rPr>
          <w:rFonts w:ascii="Times New Roman" w:hAnsi="Times New Roman"/>
          <w:b/>
          <w:sz w:val="16"/>
        </w:rPr>
      </w:pPr>
      <w:r>
        <w:rPr>
          <w:rFonts w:ascii="Times New Roman" w:hAnsi="Times New Roman"/>
          <w:b/>
          <w:sz w:val="16"/>
        </w:rPr>
        <w:t xml:space="preserve">+1 (345) 949-0100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120" w:after="0"/>
        <w:jc w:val="center"/>
        <w:rPr>
          <w:rFonts w:ascii="Times New Roman" w:hAnsi="Times New Roman"/>
          <w:b/>
          <w:sz w:val="16"/>
        </w:rPr>
      </w:pPr>
      <w:r>
        <w:rPr>
          <w:rFonts w:ascii="Times New Roman" w:hAnsi="Times New Roman"/>
          <w:b/>
          <w:sz w:val="16"/>
        </w:rPr>
        <w:t xml:space="preserve">Ryan A. Murr </w:t>
      </w:r>
    </w:p>
    <w:p>
      <w:pPr>
        <w:pStyle w:val="TextBody"/>
        <w:bidi w:val="0"/>
        <w:spacing w:before="0" w:after="0"/>
        <w:jc w:val="center"/>
        <w:rPr>
          <w:rFonts w:ascii="Times New Roman" w:hAnsi="Times New Roman"/>
          <w:b/>
          <w:sz w:val="16"/>
        </w:rPr>
      </w:pPr>
      <w:r>
        <w:rPr>
          <w:rFonts w:ascii="Times New Roman" w:hAnsi="Times New Roman"/>
          <w:b/>
          <w:sz w:val="16"/>
        </w:rPr>
        <w:t xml:space="preserve">Branden C. Berns </w:t>
      </w:r>
    </w:p>
    <w:p>
      <w:pPr>
        <w:pStyle w:val="TextBody"/>
        <w:bidi w:val="0"/>
        <w:spacing w:before="0" w:after="0"/>
        <w:jc w:val="center"/>
        <w:rPr>
          <w:rFonts w:ascii="Times New Roman" w:hAnsi="Times New Roman"/>
          <w:b/>
          <w:sz w:val="16"/>
        </w:rPr>
      </w:pPr>
      <w:r>
        <w:rPr>
          <w:rFonts w:ascii="Times New Roman" w:hAnsi="Times New Roman"/>
          <w:b/>
          <w:sz w:val="16"/>
        </w:rPr>
        <w:t xml:space="preserve">Melanie E. Neary </w:t>
      </w:r>
    </w:p>
    <w:p>
      <w:pPr>
        <w:pStyle w:val="TextBody"/>
        <w:bidi w:val="0"/>
        <w:spacing w:before="0" w:after="0"/>
        <w:jc w:val="center"/>
        <w:rPr>
          <w:rFonts w:ascii="Times New Roman" w:hAnsi="Times New Roman"/>
          <w:b/>
          <w:sz w:val="16"/>
        </w:rPr>
      </w:pPr>
      <w:r>
        <w:rPr>
          <w:rFonts w:ascii="Times New Roman" w:hAnsi="Times New Roman"/>
          <w:b/>
          <w:sz w:val="16"/>
        </w:rPr>
        <w:t xml:space="preserve">Gibson, Dunn &amp; Crutcher LLP </w:t>
      </w:r>
    </w:p>
    <w:p>
      <w:pPr>
        <w:pStyle w:val="TextBody"/>
        <w:bidi w:val="0"/>
        <w:spacing w:before="0" w:after="0"/>
        <w:jc w:val="center"/>
        <w:rPr>
          <w:rFonts w:ascii="Times New Roman" w:hAnsi="Times New Roman"/>
          <w:b/>
          <w:sz w:val="16"/>
        </w:rPr>
      </w:pPr>
      <w:r>
        <w:rPr>
          <w:rFonts w:ascii="Times New Roman" w:hAnsi="Times New Roman"/>
          <w:b/>
          <w:sz w:val="16"/>
        </w:rPr>
        <w:t xml:space="preserve">One Embarcadero Center, Suite 2600 </w:t>
      </w:r>
    </w:p>
    <w:p>
      <w:pPr>
        <w:pStyle w:val="TextBody"/>
        <w:bidi w:val="0"/>
        <w:spacing w:before="0" w:after="0"/>
        <w:jc w:val="center"/>
        <w:rPr>
          <w:rFonts w:ascii="Times New Roman" w:hAnsi="Times New Roman"/>
          <w:b/>
          <w:sz w:val="16"/>
        </w:rPr>
      </w:pPr>
      <w:r>
        <w:rPr>
          <w:rFonts w:ascii="Times New Roman" w:hAnsi="Times New Roman"/>
          <w:b/>
          <w:sz w:val="16"/>
        </w:rPr>
        <w:t xml:space="preserve">San Francisco, CA 94111 </w:t>
      </w:r>
    </w:p>
    <w:p>
      <w:pPr>
        <w:pStyle w:val="TextBody"/>
        <w:bidi w:val="0"/>
        <w:spacing w:before="0" w:after="0"/>
        <w:jc w:val="center"/>
        <w:rPr>
          <w:rFonts w:ascii="Times New Roman" w:hAnsi="Times New Roman"/>
          <w:b/>
          <w:sz w:val="16"/>
        </w:rPr>
      </w:pPr>
      <w:r>
        <w:rPr>
          <w:rFonts w:ascii="Times New Roman" w:hAnsi="Times New Roman"/>
          <w:b/>
          <w:sz w:val="16"/>
        </w:rPr>
        <w:t xml:space="preserve">(415) 393-8373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the effective date of this Registration Statement. </w:t>
      </w:r>
    </w:p>
    <w:p>
      <w:pPr>
        <w:pStyle w:val="TextBody"/>
        <w:bidi w:val="0"/>
        <w:spacing w:before="12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earliest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 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12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12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No. 1 (this “Amendment”) to the Registration Statement on Form S-3 (Registration No. 333-292175) (the “Registration Statement”) is being filed pursuant to Rule 414(d) under the Securities Act of 1933, as amended (the “Securities Act”), by Damora Therapeutics, Inc., a Cayman Islands exempted company (“Damora Cayman”), as the successor to Damora Therapeutics, Inc. (formerly known as Galecto, Inc.), a corporation formed under the laws of the State of Delaware (“Damora Delaware”). The Registration Statement was filed with the Securities and Exchange Commission (the “Commission”) on December 16, 2025 and declared effective on December 23, 2025.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Damora Delaware changed its jurisdiction of incorporation from the State of Delaware to the Cayman Islands, as described further below (the “Redomestication”). Damora Cayman expressly adopts the Registration Statement, as modified by this Amendment, as its own registration statement for all purposes of the Securities Act and the Securities Exchange Act of 1934, as amended (the “Exchange Act”). For the purposes of this Amendment and the Registration Statement, references to the “Company,” the “Registrant,” “we,” “our,” “us” and similar terms mean, as of any time prior to the Redomestication, Damora Delaware, and, as of any time after the Redomestication, Damora Cayman. The information contained in this Amendment sets forth additional information to reflect the Redomestication. All documents filed by the Company under Sections 13(a), 13(c), 14 or 15(d) of the Exchange Act before the effective date of the Redomestication will not reflect the change in our jurisdiction of incorporation or capital structure.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was effected in the manner described in the section titled “Proposal No. 3 – Approval of the Redomestication of the Company” in Damora’s definitive proxy statement filed with the Commission on December 31, 2025 (the “Proxy Statement”). In the Redomestication, Damora Delaware discontinued its existence as a corporation under Section 266 of the Delaware General Corporation Law (the “DGCL”) and, pursuant to Part 12 of the Companies Act, as amended, of the Cayman Islands (the “Companies Act”), continued its existence as a Cayman Islands exempted company limited by shares. The business, assets and liabilities of the Company, as well as its principal place of business and fiscal year, were the same immediately after the Redomestication as they were immediately prior to the Redomestication. In addition, the directors and executive officers of the Company immediately after the Redomestication were the same individuals who were directors and executive officers, respectively, of Damora Delaware immediately prior to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and upon the effective time of the Redomestication, among other things, (i) each share of common stock, par value $0.00001 per share, of Damora Delaware (the “Damora Delaware Common Stock”) issued and outstanding immediately prior to the Redomestication converted, on a one-for-one basis, into a duly authorized, validly issued, fully paid and nonassessable ordinary share, par value $0.00001 per share, of Damora Cayman (a “Damora Cayman Ordinary Share”), (ii) each share of Series A Non-Voting Convertible Preferred Stock, par value $0.00001 per share, of Damora Delaware issued and outstanding immediately prior to the Redomestication converted, on a one-for-one basis, into a duly authorized, validly issued, fully paid and nonassessable Series A Non-Voting Convertible Preferred Share, par value $0.00001 per share, of Damora Cayman, (iii) each share of Series B Non-Voting Convertible Preferred Stock, par value $0.00001 per share, of Damora Delaware issued and outstanding immediately prior to the Redomestication converted, on a one-for-one basis, into a duly authorized, validly issued, fully paid and nonassessable Series B Non-Voting Convertible Preferred Share, par value $0.00001 per share, of Damora Cayman, (iv) each share of Series C Non-Voting Convertible Preferred Stock, par value $0.00001 per share, of Damora Delaware issued and outstanding immediately prior to the Redomestication converted, on a one-for-one basis, into a duly authorized, validly issued, fully paid and nonassessable Series C Non-Voting Convertible Preferred Share, par value $0.00001 per share, of Damora Cayman, (v) each option to purchase Damora Delaware Common Stock issued and outstanding immediately prior to the Redomestication converted, on a one-for-one basis, into a duly authorized and validly issued option to purchase Damora Cayman Ordinary Shares, (vi) each restricted stock unit of Damora Delaware issued and outstanding immediately prior to the Redomestication converted, on a one-for-one basis, into a duly authorized and validly issued restricted stock unit of Damora Cayman, and (vii) each warrant to purchase shares of Damora Delaware Common Stock issued and outstanding immediately prior to the Redomestication converted, on a one-for-one basis, into a duly authorized and validly issued warrant to purchase Damora Cayman Ordinary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rights of holders of Damora Cayman Ordinary Shares are now governed by Damora Cayman’s memorandum and articles of association (the “Cayman Articles”) and Cayman Islands law, which are described in the section of the Proxy Statement titled “Proposal No. 3 – Approval of the Redomestication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fees were paid at the time of filing of the Registration Statement. Because no additional securities are being registered, no further registration fee is required.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this item is incorporated by reference from Item 14 of the Company’s Registration Statement on Form S-3 (Registration No. 333-292175), which was filed with the Commission on December 16, 2025 and declared effective on December 23, 2025. </w:t>
      </w:r>
    </w:p>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In most cases, under Cayman Islands law, the Company will be the proper plaintiff in any claim based on a breach of duty owed to it, and a claim against (for example) the Company’s directors or officers usually may not be brought by a shareholder. In principle, a shareholder does not have a direct right of action against directors of the Company. However, based on Cayman Islands authorities and English authorities (which will be of persuasive authority in the Cayman Islands), there are exceptions to the foregoing principle such that a shareholder may be entitled to bring a derivative action on behalf of the Company, but only in limited circumstances, including but not limited to: the Company acts or proposes to act illegally or ultra vires; the act complained of (although not ultra vires) could be affected if duly authorized by a special resolution that has not been obtained; and those who control the Company are perpetuating a “fraud on the minority”. A shareholder may have a direct right of action against the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 The Cayman Articles provide for indemnification for every director and officer of Damora Cayman.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restrict the authority of a Cayman Islands exempted company to advance expenses incurred by an officer or director in defending any civil, criminal, administrative or investigative action, suit or proceeding, but there is no statutory provision expressly requiring or governing advancement of expenses. Instead, the ability to advance expenses is typically addressed in a Cayman Islands exempted company’s articles of association. The Cayman Articles provide for expense advancement provisions for indemnified persons. </w:t>
      </w:r>
    </w:p>
    <w:p>
      <w:pPr>
        <w:pStyle w:val="TextBody"/>
        <w:bidi w:val="0"/>
        <w:spacing w:before="240" w:after="0"/>
        <w:jc w:val="left"/>
        <w:rPr>
          <w:rFonts w:ascii="Times New Roman" w:hAnsi="Times New Roman"/>
          <w:sz w:val="20"/>
        </w:rPr>
      </w:pPr>
      <w:r>
        <w:rPr>
          <w:rFonts w:ascii="Times New Roman" w:hAnsi="Times New Roman"/>
          <w:sz w:val="20"/>
        </w:rPr>
        <w:t xml:space="preserve">Damora Cayman has entered into indemnification agreements with each of its directors and executive officers that obligate us to indemnify, hold harmless, exonerate, and to advance expenses as incurred, to the fullest extent permitted under applicable law, from damage arising from the fact that such person is or was an officer or director of Damora Cayman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Cayman Articles also provide that Damora Cayman may maintain insurance to protect a director or an officer against liability. Damora Cayman has obtained insurance that covers certain liabilities of its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rights set forth above shall not be exclusive of any other right which an indemnified person may have or hereafter acquire under any statute, the Cayman Articles, any agreement, any vote of shareholders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Damora Cayman’s indemnification obligations may discourage shareholders from bringing a lawsuit against its officers or directors for breach of their fiduciary duty. These provisions also may have the effect of reducing the likelihood of derivative litigation against Damora Cayman’s officers and directors, even though such an action, if successful, might otherwise benefit us and our shareholders. Furthermore, a shareholder’s investment may be adversely affected to the extent Damora Cayman pays the costs of settlement and damage awards against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officers and directors pursuant to these indemnification provisions. Insofar as indemnification for liabilities arising under the Securities Act may be permitted to directors, officers, or control persons, in the opinion of the Commission,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0"/>
        <w:gridCol w:w="403"/>
        <w:gridCol w:w="9032"/>
      </w:tblGrid>
      <w:tr>
        <w:trPr/>
        <w:tc>
          <w:tcPr>
            <w:tcW w:w="770"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9032" w:type="dxa"/>
            <w:tcBorders/>
            <w:vAlign w:val="center"/>
          </w:tcPr>
          <w:p>
            <w:pPr>
              <w:pStyle w:val="TableContents"/>
              <w:bidi w:val="0"/>
              <w:spacing w:before="0" w:after="283"/>
              <w:jc w:val="left"/>
              <w:rPr>
                <w:sz w:val="4"/>
                <w:szCs w:val="4"/>
              </w:rPr>
            </w:pPr>
            <w:r>
              <w:rPr>
                <w:sz w:val="4"/>
                <w:szCs w:val="4"/>
              </w:rPr>
            </w:r>
          </w:p>
        </w:tc>
      </w:tr>
      <w:tr>
        <w:trPr/>
        <w:tc>
          <w:tcPr>
            <w:tcW w:w="770"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403" w:type="dxa"/>
            <w:tcBorders/>
            <w:vAlign w:val="bottom"/>
          </w:tcPr>
          <w:p>
            <w:pPr>
              <w:pStyle w:val="TableContents"/>
              <w:bidi w:val="0"/>
              <w:spacing w:before="0" w:after="283"/>
              <w:jc w:val="left"/>
              <w:rPr/>
            </w:pPr>
            <w:r>
              <w:rPr/>
              <w:t>  </w:t>
            </w:r>
          </w:p>
        </w:tc>
        <w:tc>
          <w:tcPr>
            <w:tcW w:w="90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2.1</w:t>
            </w:r>
          </w:p>
        </w:tc>
        <w:tc>
          <w:tcPr>
            <w:tcW w:w="403" w:type="dxa"/>
            <w:tcBorders/>
            <w:vAlign w:val="bottom"/>
          </w:tcPr>
          <w:p>
            <w:pPr>
              <w:pStyle w:val="TableContents"/>
              <w:bidi w:val="0"/>
              <w:spacing w:before="0" w:after="283"/>
              <w:jc w:val="left"/>
              <w:rPr/>
            </w:pPr>
            <w:r>
              <w:rPr/>
              <w:t>  </w:t>
            </w:r>
          </w:p>
        </w:tc>
        <w:tc>
          <w:tcPr>
            <w:tcW w:w="9032" w:type="dxa"/>
            <w:tcBorders/>
          </w:tcPr>
          <w:p>
            <w:pPr>
              <w:pStyle w:val="TableContents"/>
              <w:bidi w:val="0"/>
              <w:spacing w:before="0" w:after="283"/>
              <w:jc w:val="left"/>
              <w:rPr/>
            </w:pPr>
            <w:hyperlink r:id="rId2">
              <w:r>
                <w:rPr>
                  <w:rStyle w:val="InternetLink"/>
                </w:rPr>
                <w:t>Plan of Conversion (incorporated by reference to Exhibit 2.1 to Registrant’s Current Report on Form 8-K (File No. 001-39655) filed with the SEC on July 20, 2026).</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3.1</w:t>
            </w:r>
          </w:p>
        </w:tc>
        <w:tc>
          <w:tcPr>
            <w:tcW w:w="403" w:type="dxa"/>
            <w:tcBorders/>
            <w:vAlign w:val="bottom"/>
          </w:tcPr>
          <w:p>
            <w:pPr>
              <w:pStyle w:val="TableContents"/>
              <w:bidi w:val="0"/>
              <w:spacing w:before="0" w:after="283"/>
              <w:jc w:val="left"/>
              <w:rPr/>
            </w:pPr>
            <w:r>
              <w:rPr/>
              <w:t>  </w:t>
            </w:r>
          </w:p>
        </w:tc>
        <w:tc>
          <w:tcPr>
            <w:tcW w:w="9032" w:type="dxa"/>
            <w:tcBorders/>
          </w:tcPr>
          <w:p>
            <w:pPr>
              <w:pStyle w:val="TableContents"/>
              <w:bidi w:val="0"/>
              <w:spacing w:before="0" w:after="283"/>
              <w:jc w:val="left"/>
              <w:rPr/>
            </w:pPr>
            <w:hyperlink r:id="rId3">
              <w:r>
                <w:rPr>
                  <w:rStyle w:val="InternetLink"/>
                </w:rPr>
                <w:t>Cayman Memorandum and Articles of Association (incorporated by reference to Exhibit 3.1 to Registrant’s Current Report on Form 8-K (File No. 001-39655) filed with the SEC on July 20, 2026).</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3.2</w:t>
            </w:r>
          </w:p>
        </w:tc>
        <w:tc>
          <w:tcPr>
            <w:tcW w:w="403" w:type="dxa"/>
            <w:tcBorders/>
            <w:vAlign w:val="bottom"/>
          </w:tcPr>
          <w:p>
            <w:pPr>
              <w:pStyle w:val="TableContents"/>
              <w:bidi w:val="0"/>
              <w:spacing w:before="0" w:after="283"/>
              <w:jc w:val="left"/>
              <w:rPr/>
            </w:pPr>
            <w:r>
              <w:rPr/>
              <w:t>  </w:t>
            </w:r>
          </w:p>
        </w:tc>
        <w:tc>
          <w:tcPr>
            <w:tcW w:w="9032" w:type="dxa"/>
            <w:tcBorders/>
          </w:tcPr>
          <w:p>
            <w:pPr>
              <w:pStyle w:val="TableContents"/>
              <w:bidi w:val="0"/>
              <w:spacing w:before="0" w:after="283"/>
              <w:jc w:val="left"/>
              <w:rPr/>
            </w:pPr>
            <w:hyperlink r:id="rId4">
              <w:r>
                <w:rPr>
                  <w:rStyle w:val="InternetLink"/>
                </w:rPr>
                <w:t>Cayman Certificate of Designation of Preferences, Rights and Limitations of Series A Non-Voting Convertible Preferred Shares, effective July 16, 2026 (incorporated by reference to Exhibit 3.2 to Registrant’s Current Report on Form 8-K (File No. 001-39655) filed with the SEC on July 20, 2026).</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3.3</w:t>
            </w:r>
          </w:p>
        </w:tc>
        <w:tc>
          <w:tcPr>
            <w:tcW w:w="403" w:type="dxa"/>
            <w:tcBorders/>
            <w:vAlign w:val="bottom"/>
          </w:tcPr>
          <w:p>
            <w:pPr>
              <w:pStyle w:val="TableContents"/>
              <w:bidi w:val="0"/>
              <w:spacing w:before="0" w:after="283"/>
              <w:jc w:val="left"/>
              <w:rPr/>
            </w:pPr>
            <w:r>
              <w:rPr/>
              <w:t>  </w:t>
            </w:r>
          </w:p>
        </w:tc>
        <w:tc>
          <w:tcPr>
            <w:tcW w:w="9032" w:type="dxa"/>
            <w:tcBorders/>
          </w:tcPr>
          <w:p>
            <w:pPr>
              <w:pStyle w:val="TableContents"/>
              <w:bidi w:val="0"/>
              <w:spacing w:before="0" w:after="283"/>
              <w:jc w:val="left"/>
              <w:rPr/>
            </w:pPr>
            <w:hyperlink r:id="rId5">
              <w:r>
                <w:rPr>
                  <w:rStyle w:val="InternetLink"/>
                </w:rPr>
                <w:t>Cayman Certificate of Designation of Preferences, Rights and Limitations of Series B Non-Voting Convertible Preferred Shares, effective July 16, 2026 (incorporated by reference to Exhibit 3.3 to Registrant’s Current Report on Form 8-K (File No. 001-39655) filed with the SEC on July 20, 2026).</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3.4</w:t>
            </w:r>
          </w:p>
        </w:tc>
        <w:tc>
          <w:tcPr>
            <w:tcW w:w="403" w:type="dxa"/>
            <w:tcBorders/>
            <w:vAlign w:val="bottom"/>
          </w:tcPr>
          <w:p>
            <w:pPr>
              <w:pStyle w:val="TableContents"/>
              <w:bidi w:val="0"/>
              <w:spacing w:before="0" w:after="283"/>
              <w:jc w:val="left"/>
              <w:rPr/>
            </w:pPr>
            <w:r>
              <w:rPr/>
              <w:t>  </w:t>
            </w:r>
          </w:p>
        </w:tc>
        <w:tc>
          <w:tcPr>
            <w:tcW w:w="9032" w:type="dxa"/>
            <w:tcBorders/>
          </w:tcPr>
          <w:p>
            <w:pPr>
              <w:pStyle w:val="TableContents"/>
              <w:bidi w:val="0"/>
              <w:spacing w:before="0" w:after="283"/>
              <w:jc w:val="left"/>
              <w:rPr/>
            </w:pPr>
            <w:hyperlink r:id="rId6">
              <w:r>
                <w:rPr>
                  <w:rStyle w:val="InternetLink"/>
                </w:rPr>
                <w:t>Cayman Certificate of Designation of Preferences, Rights and Limitations of Series C Non-Voting Convertible Preferred Shares, effective July 16, 2026 (incorporated by reference to Exhibit 3.4 to Registrant’s Current Report on Form 8-K (File No. 001-39655) filed with the SEC on July 20, 2026).</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4.1</w:t>
            </w:r>
          </w:p>
        </w:tc>
        <w:tc>
          <w:tcPr>
            <w:tcW w:w="403" w:type="dxa"/>
            <w:tcBorders/>
            <w:vAlign w:val="bottom"/>
          </w:tcPr>
          <w:p>
            <w:pPr>
              <w:pStyle w:val="TableContents"/>
              <w:bidi w:val="0"/>
              <w:spacing w:before="0" w:after="283"/>
              <w:jc w:val="left"/>
              <w:rPr/>
            </w:pPr>
            <w:r>
              <w:rPr/>
              <w:t>  </w:t>
            </w:r>
          </w:p>
        </w:tc>
        <w:tc>
          <w:tcPr>
            <w:tcW w:w="9032" w:type="dxa"/>
            <w:tcBorders/>
          </w:tcPr>
          <w:p>
            <w:pPr>
              <w:pStyle w:val="TableContents"/>
              <w:bidi w:val="0"/>
              <w:spacing w:before="0" w:after="283"/>
              <w:jc w:val="left"/>
              <w:rPr/>
            </w:pPr>
            <w:hyperlink r:id="rId7">
              <w:r>
                <w:rPr>
                  <w:rStyle w:val="InternetLink"/>
                </w:rPr>
                <w:t>Form of Registration Rights Agreement, by and among the Registrant and certain investors signatory thereto (incorporated by reference to Exhibit 10.2 to Registrant’s Current Report on Form 8-K (File No. 001-39655) filed with the SEC on November 10, 2025).</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5.1</w:t>
            </w:r>
          </w:p>
        </w:tc>
        <w:tc>
          <w:tcPr>
            <w:tcW w:w="403" w:type="dxa"/>
            <w:tcBorders/>
            <w:vAlign w:val="bottom"/>
          </w:tcPr>
          <w:p>
            <w:pPr>
              <w:pStyle w:val="TableContents"/>
              <w:bidi w:val="0"/>
              <w:spacing w:before="0" w:after="283"/>
              <w:jc w:val="left"/>
              <w:rPr/>
            </w:pPr>
            <w:r>
              <w:rPr/>
              <w:t>  </w:t>
            </w:r>
          </w:p>
        </w:tc>
        <w:tc>
          <w:tcPr>
            <w:tcW w:w="9032" w:type="dxa"/>
            <w:tcBorders/>
          </w:tcPr>
          <w:p>
            <w:pPr>
              <w:pStyle w:val="TableContents"/>
              <w:bidi w:val="0"/>
              <w:spacing w:before="0" w:after="283"/>
              <w:jc w:val="left"/>
              <w:rPr/>
            </w:pPr>
            <w:hyperlink w:anchor="d157378dex51.htm">
              <w:r>
                <w:rPr>
                  <w:rStyle w:val="InternetLink"/>
                </w:rPr>
                <w:t xml:space="preserve">Opinion of Walkers (Cayman) LLP.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10.1</w:t>
            </w:r>
          </w:p>
        </w:tc>
        <w:tc>
          <w:tcPr>
            <w:tcW w:w="403" w:type="dxa"/>
            <w:tcBorders/>
            <w:vAlign w:val="bottom"/>
          </w:tcPr>
          <w:p>
            <w:pPr>
              <w:pStyle w:val="TableContents"/>
              <w:bidi w:val="0"/>
              <w:spacing w:before="0" w:after="283"/>
              <w:jc w:val="left"/>
              <w:rPr/>
            </w:pPr>
            <w:r>
              <w:rPr/>
              <w:t>  </w:t>
            </w:r>
          </w:p>
        </w:tc>
        <w:tc>
          <w:tcPr>
            <w:tcW w:w="9032" w:type="dxa"/>
            <w:tcBorders/>
          </w:tcPr>
          <w:p>
            <w:pPr>
              <w:pStyle w:val="TableContents"/>
              <w:bidi w:val="0"/>
              <w:spacing w:before="0" w:after="283"/>
              <w:jc w:val="left"/>
              <w:rPr/>
            </w:pPr>
            <w:hyperlink r:id="rId8">
              <w:r>
                <w:rPr>
                  <w:rStyle w:val="InternetLink"/>
                </w:rPr>
                <w:t>Form of Indemnification Agreement for directors and officers (incorporated by reference to Exhibit 10.1 to Registrant’s Current Report on Form 8-K (File No. 001-39655) filed with the SEC on July 20, 2026).</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23.1</w:t>
            </w:r>
          </w:p>
        </w:tc>
        <w:tc>
          <w:tcPr>
            <w:tcW w:w="403" w:type="dxa"/>
            <w:tcBorders/>
            <w:vAlign w:val="bottom"/>
          </w:tcPr>
          <w:p>
            <w:pPr>
              <w:pStyle w:val="TableContents"/>
              <w:bidi w:val="0"/>
              <w:spacing w:before="0" w:after="283"/>
              <w:jc w:val="left"/>
              <w:rPr/>
            </w:pPr>
            <w:r>
              <w:rPr/>
              <w:t>  </w:t>
            </w:r>
          </w:p>
        </w:tc>
        <w:tc>
          <w:tcPr>
            <w:tcW w:w="9032" w:type="dxa"/>
            <w:tcBorders/>
          </w:tcPr>
          <w:p>
            <w:pPr>
              <w:pStyle w:val="TableContents"/>
              <w:bidi w:val="0"/>
              <w:spacing w:before="0" w:after="283"/>
              <w:jc w:val="left"/>
              <w:rPr/>
            </w:pPr>
            <w:hyperlink w:anchor="d157378dex51.htm">
              <w:r>
                <w:rPr>
                  <w:rStyle w:val="InternetLink"/>
                </w:rPr>
                <w:t xml:space="preserve">Consent of Walkers (Cayman) LLP (included in Exhibit 5.1).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23.2</w:t>
            </w:r>
          </w:p>
        </w:tc>
        <w:tc>
          <w:tcPr>
            <w:tcW w:w="403" w:type="dxa"/>
            <w:tcBorders/>
            <w:vAlign w:val="bottom"/>
          </w:tcPr>
          <w:p>
            <w:pPr>
              <w:pStyle w:val="TableContents"/>
              <w:bidi w:val="0"/>
              <w:spacing w:before="0" w:after="283"/>
              <w:jc w:val="left"/>
              <w:rPr/>
            </w:pPr>
            <w:r>
              <w:rPr/>
              <w:t>  </w:t>
            </w:r>
          </w:p>
        </w:tc>
        <w:tc>
          <w:tcPr>
            <w:tcW w:w="9032" w:type="dxa"/>
            <w:tcBorders/>
          </w:tcPr>
          <w:p>
            <w:pPr>
              <w:pStyle w:val="TableContents"/>
              <w:bidi w:val="0"/>
              <w:spacing w:before="0" w:after="283"/>
              <w:jc w:val="left"/>
              <w:rPr/>
            </w:pPr>
            <w:hyperlink w:anchor="d157378dex232.htm">
              <w:r>
                <w:rPr>
                  <w:rStyle w:val="InternetLink"/>
                </w:rPr>
                <w:t xml:space="preserve">Consent of EY Godkendt Revisionspartnerselskab, independent registered public accounting firm.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24.1</w:t>
            </w:r>
          </w:p>
        </w:tc>
        <w:tc>
          <w:tcPr>
            <w:tcW w:w="403" w:type="dxa"/>
            <w:tcBorders/>
            <w:vAlign w:val="bottom"/>
          </w:tcPr>
          <w:p>
            <w:pPr>
              <w:pStyle w:val="TableContents"/>
              <w:bidi w:val="0"/>
              <w:spacing w:before="0" w:after="283"/>
              <w:jc w:val="left"/>
              <w:rPr/>
            </w:pPr>
            <w:r>
              <w:rPr/>
              <w:t>  </w:t>
            </w:r>
          </w:p>
        </w:tc>
        <w:tc>
          <w:tcPr>
            <w:tcW w:w="9032" w:type="dxa"/>
            <w:tcBorders/>
          </w:tcPr>
          <w:p>
            <w:pPr>
              <w:pStyle w:val="TableContents"/>
              <w:bidi w:val="0"/>
              <w:spacing w:before="0" w:after="283"/>
              <w:jc w:val="left"/>
              <w:rPr/>
            </w:pPr>
            <w:hyperlink w:anchor="ii157378_sig">
              <w:r>
                <w:rPr>
                  <w:rStyle w:val="InternetLink"/>
                </w:rPr>
                <w:t xml:space="preserve">Power of Attorney (included on the signature page to the registration statement).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107</w:t>
            </w:r>
          </w:p>
        </w:tc>
        <w:tc>
          <w:tcPr>
            <w:tcW w:w="403" w:type="dxa"/>
            <w:tcBorders/>
            <w:vAlign w:val="bottom"/>
          </w:tcPr>
          <w:p>
            <w:pPr>
              <w:pStyle w:val="TableContents"/>
              <w:bidi w:val="0"/>
              <w:spacing w:before="0" w:after="283"/>
              <w:jc w:val="left"/>
              <w:rPr/>
            </w:pPr>
            <w:r>
              <w:rPr/>
              <w:t>  </w:t>
            </w:r>
          </w:p>
        </w:tc>
        <w:tc>
          <w:tcPr>
            <w:tcW w:w="9032" w:type="dxa"/>
            <w:tcBorders/>
          </w:tcPr>
          <w:p>
            <w:pPr>
              <w:pStyle w:val="TableContents"/>
              <w:bidi w:val="0"/>
              <w:spacing w:before="0" w:after="283"/>
              <w:jc w:val="left"/>
              <w:rPr/>
            </w:pPr>
            <w:hyperlink r:id="rId9">
              <w:r>
                <w:rPr>
                  <w:rStyle w:val="InternetLink"/>
                </w:rPr>
                <w:t xml:space="preserve">Filing Fee Table (incorporated by reference to Exhibit 107 to Registrant’s Registration Statement on Form S-3 (File No. 333-292175) filed with the SEC on December 16, 2025). </w:t>
              </w:r>
            </w:hyperlink>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“Filing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subparagraphs (i),(ii), and (iii)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ii157378_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Waltham, Massachusetts, on August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Damora Therapeutics,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Jennifer Jarrett</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Jennifer Jarrett</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that each person whose signature appears below hereby constitutes and appoints Jennifer Jarrett and Brian Burkavage, as his or her true and lawful attorneys-in-fact, proxies and agents, each with full power of substitution and resubstitution, for him or her in his or her name, place and stead,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and generally to do all such things in his or her name and behalf in his or her capacity as officers and directors to enable Damora Therapeutics, Inc. to comply with the provisions of the Securities Act and all requirements of the SEC, granting unto said attorneys-in-fact, proxies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3"/>
        <w:gridCol w:w="121"/>
        <w:gridCol w:w="3511"/>
        <w:gridCol w:w="199"/>
        <w:gridCol w:w="1971"/>
      </w:tblGrid>
      <w:tr>
        <w:trPr/>
        <w:tc>
          <w:tcPr>
            <w:tcW w:w="44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r>
      <w:tr>
        <w:trPr/>
        <w:tc>
          <w:tcPr>
            <w:tcW w:w="4403" w:type="dxa"/>
            <w:tcBorders/>
            <w:vAlign w:val="bottom"/>
          </w:tcPr>
          <w:p>
            <w:pPr>
              <w:pStyle w:val="TableContents"/>
              <w:bidi w:val="0"/>
              <w:spacing w:before="0" w:after="283"/>
              <w:jc w:val="center"/>
              <w:rPr>
                <w:b/>
              </w:rPr>
            </w:pPr>
            <w:r>
              <w:rPr>
                <w:b/>
              </w:rPr>
              <w:t>Signature</w:t>
            </w:r>
          </w:p>
        </w:tc>
        <w:tc>
          <w:tcPr>
            <w:tcW w:w="121" w:type="dxa"/>
            <w:tcBorders/>
            <w:vAlign w:val="bottom"/>
          </w:tcPr>
          <w:p>
            <w:pPr>
              <w:pStyle w:val="TableContents"/>
              <w:bidi w:val="0"/>
              <w:spacing w:before="0" w:after="283"/>
              <w:jc w:val="left"/>
              <w:rPr/>
            </w:pPr>
            <w:r>
              <w:rPr/>
              <w:t>  </w:t>
            </w:r>
          </w:p>
        </w:tc>
        <w:tc>
          <w:tcPr>
            <w:tcW w:w="3511" w:type="dxa"/>
            <w:tcBorders/>
            <w:vAlign w:val="bottom"/>
          </w:tcPr>
          <w:p>
            <w:pPr>
              <w:pStyle w:val="TableContents"/>
              <w:bidi w:val="0"/>
              <w:spacing w:before="0" w:after="283"/>
              <w:jc w:val="center"/>
              <w:rPr>
                <w:b/>
              </w:rPr>
            </w:pPr>
            <w:r>
              <w:rPr>
                <w:b/>
              </w:rPr>
              <w:t>Title</w:t>
            </w:r>
          </w:p>
        </w:tc>
        <w:tc>
          <w:tcPr>
            <w:tcW w:w="199" w:type="dxa"/>
            <w:tcBorders/>
            <w:vAlign w:val="bottom"/>
          </w:tcPr>
          <w:p>
            <w:pPr>
              <w:pStyle w:val="TableContents"/>
              <w:bidi w:val="0"/>
              <w:spacing w:before="0" w:after="283"/>
              <w:jc w:val="left"/>
              <w:rPr/>
            </w:pPr>
            <w:r>
              <w:rPr/>
              <w:t> </w:t>
            </w:r>
          </w:p>
        </w:tc>
        <w:tc>
          <w:tcPr>
            <w:tcW w:w="1971" w:type="dxa"/>
            <w:tcBorders/>
            <w:vAlign w:val="bottom"/>
          </w:tcPr>
          <w:p>
            <w:pPr>
              <w:pStyle w:val="TableContents"/>
              <w:bidi w:val="0"/>
              <w:spacing w:before="0" w:after="283"/>
              <w:jc w:val="center"/>
              <w:rPr>
                <w:b/>
              </w:rPr>
            </w:pPr>
            <w:r>
              <w:rPr>
                <w:b/>
              </w:rPr>
              <w:t>Date</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32" w:type="dxa"/>
            <w:gridSpan w:val="2"/>
            <w:tcBorders/>
            <w:vAlign w:val="center"/>
          </w:tcPr>
          <w:p>
            <w:pPr>
              <w:pStyle w:val="TableContents"/>
              <w:bidi w:val="0"/>
              <w:spacing w:before="0" w:after="283"/>
              <w:jc w:val="left"/>
              <w:rPr>
                <w:sz w:val="4"/>
                <w:szCs w:val="4"/>
              </w:rPr>
            </w:pPr>
            <w:r>
              <w:rPr>
                <w:sz w:val="4"/>
                <w:szCs w:val="4"/>
              </w:rPr>
            </w:r>
          </w:p>
        </w:tc>
        <w:tc>
          <w:tcPr>
            <w:tcW w:w="2170"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Jennifer Jarrett</w:t>
            </w:r>
          </w:p>
          <w:p>
            <w:pPr>
              <w:pStyle w:val="TableContents"/>
              <w:bidi w:val="0"/>
              <w:spacing w:before="0" w:after="20"/>
              <w:jc w:val="center"/>
              <w:rPr>
                <w:rFonts w:ascii="Times New Roman" w:hAnsi="Times New Roman"/>
                <w:sz w:val="20"/>
              </w:rPr>
            </w:pPr>
            <w:r>
              <w:rPr>
                <w:rFonts w:ascii="Times New Roman" w:hAnsi="Times New Roman"/>
                <w:sz w:val="20"/>
              </w:rPr>
              <w:t>Jennifer Jarrett</w:t>
            </w:r>
          </w:p>
        </w:tc>
        <w:tc>
          <w:tcPr>
            <w:tcW w:w="121"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283"/>
              <w:jc w:val="center"/>
              <w:rPr/>
            </w:pPr>
            <w:r>
              <w:rPr/>
              <w:t>President, Chief Executive Officer and Director (Principal Executive Officer)</w:t>
            </w:r>
          </w:p>
        </w:tc>
        <w:tc>
          <w:tcPr>
            <w:tcW w:w="199" w:type="dxa"/>
            <w:tcBorders/>
            <w:vAlign w:val="bottom"/>
          </w:tcPr>
          <w:p>
            <w:pPr>
              <w:pStyle w:val="TableContents"/>
              <w:bidi w:val="0"/>
              <w:spacing w:before="0" w:after="283"/>
              <w:jc w:val="left"/>
              <w:rPr/>
            </w:pPr>
            <w:r>
              <w:rPr/>
              <w:t> </w:t>
            </w:r>
          </w:p>
        </w:tc>
        <w:tc>
          <w:tcPr>
            <w:tcW w:w="1971" w:type="dxa"/>
            <w:tcBorders/>
          </w:tcPr>
          <w:p>
            <w:pPr>
              <w:pStyle w:val="TableContents"/>
              <w:bidi w:val="0"/>
              <w:spacing w:before="0" w:after="283"/>
              <w:jc w:val="center"/>
              <w:rPr/>
            </w:pPr>
            <w:r>
              <w:rPr/>
              <w:t>August 10,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32" w:type="dxa"/>
            <w:gridSpan w:val="2"/>
            <w:tcBorders/>
            <w:vAlign w:val="center"/>
          </w:tcPr>
          <w:p>
            <w:pPr>
              <w:pStyle w:val="TableContents"/>
              <w:bidi w:val="0"/>
              <w:spacing w:before="0" w:after="283"/>
              <w:jc w:val="left"/>
              <w:rPr>
                <w:sz w:val="4"/>
                <w:szCs w:val="4"/>
              </w:rPr>
            </w:pPr>
            <w:r>
              <w:rPr>
                <w:sz w:val="4"/>
                <w:szCs w:val="4"/>
              </w:rPr>
            </w:r>
          </w:p>
        </w:tc>
        <w:tc>
          <w:tcPr>
            <w:tcW w:w="2170"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Brian Burkavage</w:t>
            </w:r>
          </w:p>
          <w:p>
            <w:pPr>
              <w:pStyle w:val="TableContents"/>
              <w:bidi w:val="0"/>
              <w:spacing w:before="0" w:after="20"/>
              <w:jc w:val="center"/>
              <w:rPr>
                <w:rFonts w:ascii="Times New Roman" w:hAnsi="Times New Roman"/>
                <w:sz w:val="20"/>
              </w:rPr>
            </w:pPr>
            <w:r>
              <w:rPr>
                <w:rFonts w:ascii="Times New Roman" w:hAnsi="Times New Roman"/>
                <w:sz w:val="20"/>
              </w:rPr>
              <w:t>Brian Burkavage</w:t>
            </w:r>
          </w:p>
        </w:tc>
        <w:tc>
          <w:tcPr>
            <w:tcW w:w="121"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283"/>
              <w:jc w:val="center"/>
              <w:rPr/>
            </w:pPr>
            <w:r>
              <w:rPr/>
              <w:t>Senior Vice President, Finance (Principal Financial Officer and Principal Accounting Officer)</w:t>
            </w:r>
          </w:p>
        </w:tc>
        <w:tc>
          <w:tcPr>
            <w:tcW w:w="199" w:type="dxa"/>
            <w:tcBorders/>
            <w:vAlign w:val="bottom"/>
          </w:tcPr>
          <w:p>
            <w:pPr>
              <w:pStyle w:val="TableContents"/>
              <w:bidi w:val="0"/>
              <w:spacing w:before="0" w:after="283"/>
              <w:jc w:val="left"/>
              <w:rPr/>
            </w:pPr>
            <w:r>
              <w:rPr/>
              <w:t> </w:t>
            </w:r>
          </w:p>
        </w:tc>
        <w:tc>
          <w:tcPr>
            <w:tcW w:w="1971" w:type="dxa"/>
            <w:tcBorders/>
          </w:tcPr>
          <w:p>
            <w:pPr>
              <w:pStyle w:val="TableContents"/>
              <w:bidi w:val="0"/>
              <w:spacing w:before="0" w:after="283"/>
              <w:jc w:val="center"/>
              <w:rPr/>
            </w:pPr>
            <w:r>
              <w:rPr/>
              <w:t>August 10,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32" w:type="dxa"/>
            <w:gridSpan w:val="2"/>
            <w:tcBorders/>
            <w:vAlign w:val="center"/>
          </w:tcPr>
          <w:p>
            <w:pPr>
              <w:pStyle w:val="TableContents"/>
              <w:bidi w:val="0"/>
              <w:spacing w:before="0" w:after="283"/>
              <w:jc w:val="left"/>
              <w:rPr>
                <w:sz w:val="4"/>
                <w:szCs w:val="4"/>
              </w:rPr>
            </w:pPr>
            <w:r>
              <w:rPr>
                <w:sz w:val="4"/>
                <w:szCs w:val="4"/>
              </w:rPr>
            </w:r>
          </w:p>
        </w:tc>
        <w:tc>
          <w:tcPr>
            <w:tcW w:w="2170"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Peter Harwin</w:t>
            </w:r>
          </w:p>
          <w:p>
            <w:pPr>
              <w:pStyle w:val="TableContents"/>
              <w:bidi w:val="0"/>
              <w:spacing w:before="0" w:after="20"/>
              <w:jc w:val="center"/>
              <w:rPr>
                <w:rFonts w:ascii="Times New Roman" w:hAnsi="Times New Roman"/>
                <w:sz w:val="20"/>
              </w:rPr>
            </w:pPr>
            <w:r>
              <w:rPr>
                <w:rFonts w:ascii="Times New Roman" w:hAnsi="Times New Roman"/>
                <w:sz w:val="20"/>
              </w:rPr>
              <w:t>Peter Harwin</w:t>
            </w:r>
          </w:p>
        </w:tc>
        <w:tc>
          <w:tcPr>
            <w:tcW w:w="121"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283"/>
              <w:jc w:val="center"/>
              <w:rPr/>
            </w:pPr>
            <w:r>
              <w:rPr/>
              <w:t>Chairman of the Board</w:t>
            </w:r>
          </w:p>
        </w:tc>
        <w:tc>
          <w:tcPr>
            <w:tcW w:w="199" w:type="dxa"/>
            <w:tcBorders/>
            <w:vAlign w:val="bottom"/>
          </w:tcPr>
          <w:p>
            <w:pPr>
              <w:pStyle w:val="TableContents"/>
              <w:bidi w:val="0"/>
              <w:spacing w:before="0" w:after="283"/>
              <w:jc w:val="left"/>
              <w:rPr/>
            </w:pPr>
            <w:r>
              <w:rPr/>
              <w:t> </w:t>
            </w:r>
          </w:p>
        </w:tc>
        <w:tc>
          <w:tcPr>
            <w:tcW w:w="1971" w:type="dxa"/>
            <w:tcBorders/>
          </w:tcPr>
          <w:p>
            <w:pPr>
              <w:pStyle w:val="TableContents"/>
              <w:bidi w:val="0"/>
              <w:spacing w:before="0" w:after="283"/>
              <w:jc w:val="center"/>
              <w:rPr/>
            </w:pPr>
            <w:r>
              <w:rPr/>
              <w:t>August 10,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32" w:type="dxa"/>
            <w:gridSpan w:val="2"/>
            <w:tcBorders/>
            <w:vAlign w:val="center"/>
          </w:tcPr>
          <w:p>
            <w:pPr>
              <w:pStyle w:val="TableContents"/>
              <w:bidi w:val="0"/>
              <w:spacing w:before="0" w:after="283"/>
              <w:jc w:val="left"/>
              <w:rPr>
                <w:sz w:val="4"/>
                <w:szCs w:val="4"/>
              </w:rPr>
            </w:pPr>
            <w:r>
              <w:rPr>
                <w:sz w:val="4"/>
                <w:szCs w:val="4"/>
              </w:rPr>
            </w:r>
          </w:p>
        </w:tc>
        <w:tc>
          <w:tcPr>
            <w:tcW w:w="2170"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Julianne Bruno</w:t>
            </w:r>
          </w:p>
          <w:p>
            <w:pPr>
              <w:pStyle w:val="TableContents"/>
              <w:bidi w:val="0"/>
              <w:spacing w:before="0" w:after="20"/>
              <w:jc w:val="center"/>
              <w:rPr>
                <w:rFonts w:ascii="Times New Roman" w:hAnsi="Times New Roman"/>
                <w:sz w:val="20"/>
              </w:rPr>
            </w:pPr>
            <w:r>
              <w:rPr>
                <w:rFonts w:ascii="Times New Roman" w:hAnsi="Times New Roman"/>
                <w:sz w:val="20"/>
              </w:rPr>
              <w:t>Julianne Bruno</w:t>
            </w:r>
          </w:p>
        </w:tc>
        <w:tc>
          <w:tcPr>
            <w:tcW w:w="121"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71" w:type="dxa"/>
            <w:tcBorders/>
          </w:tcPr>
          <w:p>
            <w:pPr>
              <w:pStyle w:val="TableContents"/>
              <w:bidi w:val="0"/>
              <w:spacing w:before="0" w:after="283"/>
              <w:jc w:val="center"/>
              <w:rPr/>
            </w:pPr>
            <w:r>
              <w:rPr/>
              <w:t>August 10,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32" w:type="dxa"/>
            <w:gridSpan w:val="2"/>
            <w:tcBorders/>
            <w:vAlign w:val="center"/>
          </w:tcPr>
          <w:p>
            <w:pPr>
              <w:pStyle w:val="TableContents"/>
              <w:bidi w:val="0"/>
              <w:spacing w:before="0" w:after="283"/>
              <w:jc w:val="left"/>
              <w:rPr>
                <w:sz w:val="4"/>
                <w:szCs w:val="4"/>
              </w:rPr>
            </w:pPr>
            <w:r>
              <w:rPr>
                <w:sz w:val="4"/>
                <w:szCs w:val="4"/>
              </w:rPr>
            </w:r>
          </w:p>
        </w:tc>
        <w:tc>
          <w:tcPr>
            <w:tcW w:w="2170"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Cain, Ph.D.</w:t>
            </w:r>
          </w:p>
          <w:p>
            <w:pPr>
              <w:pStyle w:val="TableContents"/>
              <w:bidi w:val="0"/>
              <w:spacing w:before="0" w:after="20"/>
              <w:jc w:val="center"/>
              <w:rPr>
                <w:rFonts w:ascii="Times New Roman" w:hAnsi="Times New Roman"/>
                <w:sz w:val="20"/>
              </w:rPr>
            </w:pPr>
            <w:r>
              <w:rPr>
                <w:rFonts w:ascii="Times New Roman" w:hAnsi="Times New Roman"/>
                <w:sz w:val="20"/>
              </w:rPr>
              <w:t>Christopher Cain, Ph.D.</w:t>
            </w:r>
          </w:p>
        </w:tc>
        <w:tc>
          <w:tcPr>
            <w:tcW w:w="121"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71" w:type="dxa"/>
            <w:tcBorders/>
          </w:tcPr>
          <w:p>
            <w:pPr>
              <w:pStyle w:val="TableContents"/>
              <w:bidi w:val="0"/>
              <w:spacing w:before="0" w:after="283"/>
              <w:jc w:val="center"/>
              <w:rPr/>
            </w:pPr>
            <w:r>
              <w:rPr/>
              <w:t>August 10,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460"/>
        <w:gridCol w:w="120"/>
        <w:gridCol w:w="3473"/>
        <w:gridCol w:w="201"/>
        <w:gridCol w:w="1951"/>
      </w:tblGrid>
      <w:tr>
        <w:trPr/>
        <w:tc>
          <w:tcPr>
            <w:tcW w:w="4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4460"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473" w:type="dxa"/>
            <w:tcBorders/>
            <w:vAlign w:val="bottom"/>
          </w:tcPr>
          <w:p>
            <w:pPr>
              <w:pStyle w:val="TableContents"/>
              <w:bidi w:val="0"/>
              <w:spacing w:before="0" w:after="283"/>
              <w:jc w:val="center"/>
              <w:rPr>
                <w:b/>
              </w:rPr>
            </w:pPr>
            <w:r>
              <w:rPr>
                <w:b/>
              </w:rPr>
              <w:t>Title</w:t>
            </w:r>
          </w:p>
        </w:tc>
        <w:tc>
          <w:tcPr>
            <w:tcW w:w="201" w:type="dxa"/>
            <w:tcBorders/>
            <w:vAlign w:val="bottom"/>
          </w:tcPr>
          <w:p>
            <w:pPr>
              <w:pStyle w:val="TableContents"/>
              <w:bidi w:val="0"/>
              <w:spacing w:before="0" w:after="283"/>
              <w:jc w:val="left"/>
              <w:rPr/>
            </w:pPr>
            <w:r>
              <w:rPr/>
              <w:t> </w:t>
            </w:r>
          </w:p>
        </w:tc>
        <w:tc>
          <w:tcPr>
            <w:tcW w:w="1951" w:type="dxa"/>
            <w:tcBorders/>
            <w:vAlign w:val="bottom"/>
          </w:tcPr>
          <w:p>
            <w:pPr>
              <w:pStyle w:val="TableContents"/>
              <w:bidi w:val="0"/>
              <w:spacing w:before="0" w:after="283"/>
              <w:jc w:val="center"/>
              <w:rPr>
                <w:b/>
              </w:rPr>
            </w:pPr>
            <w:r>
              <w:rPr>
                <w:b/>
              </w:rPr>
              <w:t>Date</w:t>
            </w:r>
          </w:p>
        </w:tc>
      </w:tr>
      <w:tr>
        <w:trPr>
          <w:trHeight w:val="240" w:hRule="atLeast"/>
        </w:trPr>
        <w:tc>
          <w:tcPr>
            <w:tcW w:w="4460"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c>
          <w:tcPr>
            <w:tcW w:w="2152" w:type="dxa"/>
            <w:gridSpan w:val="2"/>
            <w:tcBorders/>
            <w:vAlign w:val="center"/>
          </w:tcPr>
          <w:p>
            <w:pPr>
              <w:pStyle w:val="TableContents"/>
              <w:bidi w:val="0"/>
              <w:spacing w:before="0" w:after="283"/>
              <w:jc w:val="left"/>
              <w:rPr>
                <w:sz w:val="4"/>
                <w:szCs w:val="4"/>
              </w:rPr>
            </w:pPr>
            <w:r>
              <w:rPr>
                <w:sz w:val="4"/>
                <w:szCs w:val="4"/>
              </w:rPr>
            </w:r>
          </w:p>
        </w:tc>
      </w:tr>
      <w:tr>
        <w:trPr/>
        <w:tc>
          <w:tcPr>
            <w:tcW w:w="446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Landsittel</w:t>
            </w:r>
          </w:p>
          <w:p>
            <w:pPr>
              <w:pStyle w:val="TableContents"/>
              <w:bidi w:val="0"/>
              <w:spacing w:before="0" w:after="20"/>
              <w:jc w:val="center"/>
              <w:rPr>
                <w:rFonts w:ascii="Times New Roman" w:hAnsi="Times New Roman"/>
                <w:sz w:val="20"/>
              </w:rPr>
            </w:pPr>
            <w:r>
              <w:rPr>
                <w:rFonts w:ascii="Times New Roman" w:hAnsi="Times New Roman"/>
                <w:sz w:val="20"/>
              </w:rPr>
              <w:t>Michael Landsittel</w:t>
            </w:r>
          </w:p>
        </w:tc>
        <w:tc>
          <w:tcPr>
            <w:tcW w:w="120"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August 10, 2026</w:t>
            </w:r>
          </w:p>
        </w:tc>
      </w:tr>
      <w:tr>
        <w:trPr>
          <w:trHeight w:val="240" w:hRule="atLeast"/>
        </w:trPr>
        <w:tc>
          <w:tcPr>
            <w:tcW w:w="4460"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c>
          <w:tcPr>
            <w:tcW w:w="2152" w:type="dxa"/>
            <w:gridSpan w:val="2"/>
            <w:tcBorders/>
            <w:vAlign w:val="center"/>
          </w:tcPr>
          <w:p>
            <w:pPr>
              <w:pStyle w:val="TableContents"/>
              <w:bidi w:val="0"/>
              <w:spacing w:before="0" w:after="283"/>
              <w:jc w:val="left"/>
              <w:rPr>
                <w:sz w:val="4"/>
                <w:szCs w:val="4"/>
              </w:rPr>
            </w:pPr>
            <w:r>
              <w:rPr>
                <w:sz w:val="4"/>
                <w:szCs w:val="4"/>
              </w:rPr>
            </w:r>
          </w:p>
        </w:tc>
      </w:tr>
      <w:tr>
        <w:trPr/>
        <w:tc>
          <w:tcPr>
            <w:tcW w:w="446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Cameron Turtle, D.Phil.</w:t>
            </w:r>
          </w:p>
          <w:p>
            <w:pPr>
              <w:pStyle w:val="TableContents"/>
              <w:bidi w:val="0"/>
              <w:spacing w:before="0" w:after="20"/>
              <w:jc w:val="center"/>
              <w:rPr>
                <w:rFonts w:ascii="Times New Roman" w:hAnsi="Times New Roman"/>
                <w:sz w:val="20"/>
              </w:rPr>
            </w:pPr>
            <w:r>
              <w:rPr>
                <w:rFonts w:ascii="Times New Roman" w:hAnsi="Times New Roman"/>
                <w:sz w:val="20"/>
              </w:rPr>
              <w:t>Cameron Turtle, D.Phil.</w:t>
            </w:r>
          </w:p>
        </w:tc>
        <w:tc>
          <w:tcPr>
            <w:tcW w:w="120"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August 10,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AUTHORIZED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6(a) of the Securities Act of 1933, the undersigned has signed this registration statement, solely in its capacity as the duly authorized representative of Damora Therapeutics, Inc., in Waltham, Massachusetts, on August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Damora Therapeutics,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Burkavage</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Brian Burkavage</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Senior Vice President, Finance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3" w:name="d157378dex51.htm"/>
      <w:bookmarkStart w:id="4" w:name="ksd157378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716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371600" cy="2667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5"/>
        <w:gridCol w:w="122"/>
        <w:gridCol w:w="4858"/>
      </w:tblGrid>
      <w:tr>
        <w:trPr/>
        <w:tc>
          <w:tcPr>
            <w:tcW w:w="52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8" w:type="dxa"/>
            <w:tcBorders/>
            <w:vAlign w:val="center"/>
          </w:tcPr>
          <w:p>
            <w:pPr>
              <w:pStyle w:val="TableContents"/>
              <w:bidi w:val="0"/>
              <w:spacing w:before="0" w:after="283"/>
              <w:jc w:val="left"/>
              <w:rPr>
                <w:sz w:val="4"/>
                <w:szCs w:val="4"/>
              </w:rPr>
            </w:pPr>
            <w:r>
              <w:rPr>
                <w:sz w:val="4"/>
                <w:szCs w:val="4"/>
              </w:rPr>
            </w:r>
          </w:p>
        </w:tc>
      </w:tr>
      <w:tr>
        <w:trPr/>
        <w:tc>
          <w:tcPr>
            <w:tcW w:w="52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 August 2026</w:t>
            </w:r>
          </w:p>
        </w:tc>
        <w:tc>
          <w:tcPr>
            <w:tcW w:w="122" w:type="dxa"/>
            <w:tcBorders/>
            <w:vAlign w:val="bottom"/>
          </w:tcPr>
          <w:p>
            <w:pPr>
              <w:pStyle w:val="TableContents"/>
              <w:bidi w:val="0"/>
              <w:spacing w:before="0" w:after="283"/>
              <w:jc w:val="left"/>
              <w:rPr/>
            </w:pPr>
            <w:r>
              <w:rPr/>
              <w:t>  </w:t>
            </w:r>
          </w:p>
        </w:tc>
        <w:tc>
          <w:tcPr>
            <w:tcW w:w="4858" w:type="dxa"/>
            <w:tcBorders/>
            <w:vAlign w:val="bottom"/>
          </w:tcPr>
          <w:p>
            <w:pPr>
              <w:pStyle w:val="TableContents"/>
              <w:bidi w:val="0"/>
              <w:spacing w:before="0" w:after="283"/>
              <w:jc w:val="right"/>
              <w:rPr/>
            </w:pPr>
            <w:r>
              <w:rPr/>
              <w:t>Our Ref: SF/AB/199820</w:t>
            </w:r>
          </w:p>
        </w:tc>
      </w:tr>
      <w:tr>
        <w:trPr>
          <w:trHeight w:val="240" w:hRule="atLeast"/>
        </w:trPr>
        <w:tc>
          <w:tcPr>
            <w:tcW w:w="5225" w:type="dxa"/>
            <w:tcBorders/>
            <w:vAlign w:val="center"/>
          </w:tcPr>
          <w:p>
            <w:pPr>
              <w:pStyle w:val="TableContents"/>
              <w:bidi w:val="0"/>
              <w:spacing w:before="0" w:after="283"/>
              <w:jc w:val="left"/>
              <w:rPr>
                <w:sz w:val="4"/>
                <w:szCs w:val="4"/>
              </w:rPr>
            </w:pPr>
            <w:r>
              <w:rPr>
                <w:sz w:val="4"/>
                <w:szCs w:val="4"/>
              </w:rPr>
            </w:r>
          </w:p>
        </w:tc>
        <w:tc>
          <w:tcPr>
            <w:tcW w:w="4980" w:type="dxa"/>
            <w:gridSpan w:val="2"/>
            <w:tcBorders/>
            <w:vAlign w:val="center"/>
          </w:tcPr>
          <w:p>
            <w:pPr>
              <w:pStyle w:val="TableContents"/>
              <w:bidi w:val="0"/>
              <w:spacing w:before="0" w:after="283"/>
              <w:jc w:val="left"/>
              <w:rPr>
                <w:sz w:val="4"/>
                <w:szCs w:val="4"/>
              </w:rPr>
            </w:pPr>
            <w:r>
              <w:rPr>
                <w:sz w:val="4"/>
                <w:szCs w:val="4"/>
              </w:rPr>
            </w:r>
          </w:p>
        </w:tc>
      </w:tr>
      <w:tr>
        <w:trPr/>
        <w:tc>
          <w:tcPr>
            <w:tcW w:w="52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Damora Therapeutics, Inc.</w:t>
            </w:r>
          </w:p>
          <w:p>
            <w:pPr>
              <w:pStyle w:val="TableContents"/>
              <w:bidi w:val="0"/>
              <w:spacing w:before="0" w:after="0"/>
              <w:jc w:val="left"/>
              <w:rPr>
                <w:rFonts w:ascii="Times New Roman" w:hAnsi="Times New Roman"/>
                <w:sz w:val="20"/>
              </w:rPr>
            </w:pPr>
            <w:r>
              <w:rPr>
                <w:rFonts w:ascii="Times New Roman" w:hAnsi="Times New Roman"/>
                <w:sz w:val="20"/>
              </w:rPr>
              <w:t>c/o Walkers Corporate Limited</w:t>
            </w:r>
          </w:p>
          <w:p>
            <w:pPr>
              <w:pStyle w:val="TableContents"/>
              <w:bidi w:val="0"/>
              <w:spacing w:before="0" w:after="0"/>
              <w:jc w:val="left"/>
              <w:rPr>
                <w:rFonts w:ascii="Times New Roman" w:hAnsi="Times New Roman"/>
                <w:sz w:val="20"/>
              </w:rPr>
            </w:pPr>
            <w:r>
              <w:rPr>
                <w:rFonts w:ascii="Times New Roman" w:hAnsi="Times New Roman"/>
                <w:sz w:val="20"/>
              </w:rPr>
              <w:t>190 Elgin Avenue</w:t>
            </w:r>
          </w:p>
          <w:p>
            <w:pPr>
              <w:pStyle w:val="TableContents"/>
              <w:bidi w:val="0"/>
              <w:spacing w:before="0" w:after="0"/>
              <w:jc w:val="left"/>
              <w:rPr>
                <w:rFonts w:ascii="Times New Roman" w:hAnsi="Times New Roman"/>
                <w:sz w:val="20"/>
              </w:rPr>
            </w:pPr>
            <w:r>
              <w:rPr>
                <w:rFonts w:ascii="Times New Roman" w:hAnsi="Times New Roman"/>
                <w:sz w:val="20"/>
              </w:rPr>
              <w:t>George Town</w:t>
            </w:r>
          </w:p>
          <w:p>
            <w:pPr>
              <w:pStyle w:val="TableContents"/>
              <w:bidi w:val="0"/>
              <w:spacing w:before="0" w:after="0"/>
              <w:jc w:val="left"/>
              <w:rPr>
                <w:rFonts w:ascii="Times New Roman" w:hAnsi="Times New Roman"/>
                <w:sz w:val="20"/>
              </w:rPr>
            </w:pPr>
            <w:r>
              <w:rPr>
                <w:rFonts w:ascii="Times New Roman" w:hAnsi="Times New Roman"/>
                <w:sz w:val="20"/>
              </w:rPr>
              <w:t>Grand Cayman KY1-9008</w:t>
            </w:r>
          </w:p>
          <w:p>
            <w:pPr>
              <w:pStyle w:val="TableContents"/>
              <w:bidi w:val="0"/>
              <w:spacing w:before="0" w:after="20"/>
              <w:jc w:val="left"/>
              <w:rPr>
                <w:rFonts w:ascii="Times New Roman" w:hAnsi="Times New Roman"/>
                <w:sz w:val="20"/>
              </w:rPr>
            </w:pPr>
            <w:r>
              <w:rPr>
                <w:rFonts w:ascii="Times New Roman" w:hAnsi="Times New Roman"/>
                <w:sz w:val="20"/>
              </w:rPr>
              <w:t>Cayman Islands</w:t>
            </w:r>
          </w:p>
        </w:tc>
        <w:tc>
          <w:tcPr>
            <w:tcW w:w="122" w:type="dxa"/>
            <w:tcBorders/>
            <w:vAlign w:val="bottom"/>
          </w:tcPr>
          <w:p>
            <w:pPr>
              <w:pStyle w:val="TableContents"/>
              <w:bidi w:val="0"/>
              <w:spacing w:before="0" w:after="283"/>
              <w:jc w:val="left"/>
              <w:rPr/>
            </w:pPr>
            <w:r>
              <w:rPr/>
              <w:t>  </w:t>
            </w:r>
          </w:p>
        </w:tc>
        <w:tc>
          <w:tcPr>
            <w:tcW w:w="485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Ladies and Gentlemen </w:t>
      </w:r>
    </w:p>
    <w:p>
      <w:pPr>
        <w:pStyle w:val="TextBody"/>
        <w:bidi w:val="0"/>
        <w:spacing w:before="240" w:after="0"/>
        <w:jc w:val="left"/>
        <w:rPr>
          <w:rFonts w:ascii="Times New Roman" w:hAnsi="Times New Roman"/>
          <w:b/>
          <w:sz w:val="20"/>
        </w:rPr>
      </w:pPr>
      <w:r>
        <w:rPr>
          <w:rFonts w:ascii="Times New Roman" w:hAnsi="Times New Roman"/>
          <w:b/>
          <w:sz w:val="20"/>
        </w:rPr>
        <w:t xml:space="preserve">DAMORA THERAPEUTICS, INC. </w:t>
      </w:r>
    </w:p>
    <w:p>
      <w:pPr>
        <w:pStyle w:val="TextBody"/>
        <w:bidi w:val="0"/>
        <w:spacing w:before="240" w:after="0"/>
        <w:jc w:val="left"/>
        <w:rPr>
          <w:rFonts w:ascii="Times New Roman" w:hAnsi="Times New Roman"/>
          <w:sz w:val="20"/>
        </w:rPr>
      </w:pPr>
      <w:r>
        <w:rPr>
          <w:rFonts w:ascii="Times New Roman" w:hAnsi="Times New Roman"/>
          <w:sz w:val="20"/>
        </w:rPr>
        <w:t>We have acted as Cayman Islands legal advisers to Damora Therapeutics, Inc. (the “</w:t>
      </w:r>
      <w:r>
        <w:rPr>
          <w:rFonts w:ascii="Times New Roman" w:hAnsi="Times New Roman"/>
          <w:b/>
          <w:sz w:val="20"/>
        </w:rPr>
        <w:t>Company</w:t>
      </w:r>
      <w:r>
        <w:rPr>
          <w:rFonts w:ascii="Times New Roman" w:hAnsi="Times New Roman"/>
          <w:sz w:val="20"/>
        </w:rPr>
        <w:t>”), which, prior to its registration by way of continuation as an exempted company limited by shares under the Companies Act (as amended) of the Cayman Islands (the “</w:t>
      </w:r>
      <w:r>
        <w:rPr>
          <w:rFonts w:ascii="Times New Roman" w:hAnsi="Times New Roman"/>
          <w:b/>
          <w:sz w:val="20"/>
        </w:rPr>
        <w:t>Companies Act</w:t>
      </w:r>
      <w:r>
        <w:rPr>
          <w:rFonts w:ascii="Times New Roman" w:hAnsi="Times New Roman"/>
          <w:sz w:val="20"/>
        </w:rPr>
        <w:t>”) on 16 July 2026 (the “</w:t>
      </w:r>
      <w:r>
        <w:rPr>
          <w:rFonts w:ascii="Times New Roman" w:hAnsi="Times New Roman"/>
          <w:b/>
          <w:sz w:val="20"/>
        </w:rPr>
        <w:t>Redomestication</w:t>
      </w:r>
      <w:r>
        <w:rPr>
          <w:rFonts w:ascii="Times New Roman" w:hAnsi="Times New Roman"/>
          <w:sz w:val="20"/>
        </w:rPr>
        <w:t>”), was a corporation incorporated under the laws of the State of Delaware (the “</w:t>
      </w:r>
      <w:r>
        <w:rPr>
          <w:rFonts w:ascii="Times New Roman" w:hAnsi="Times New Roman"/>
          <w:b/>
          <w:sz w:val="20"/>
        </w:rPr>
        <w:t>Prior Jurisdiction</w:t>
      </w:r>
      <w:r>
        <w:rPr>
          <w:rFonts w:ascii="Times New Roman" w:hAnsi="Times New Roman"/>
          <w:sz w:val="20"/>
        </w:rPr>
        <w:t>”). We have been asked to provide this legal opinion to you with regards to the laws of the Cayman Islands in connection with the registration by the Company under the United States Securities Act of 1933, as amended (the “</w:t>
      </w:r>
      <w:r>
        <w:rPr>
          <w:rFonts w:ascii="Times New Roman" w:hAnsi="Times New Roman"/>
          <w:b/>
          <w:sz w:val="20"/>
        </w:rPr>
        <w:t>Securities Act</w:t>
      </w:r>
      <w:r>
        <w:rPr>
          <w:rFonts w:ascii="Times New Roman" w:hAnsi="Times New Roman"/>
          <w:sz w:val="20"/>
        </w:rPr>
        <w:t xml:space="preserve">”) and pursuant to the terms of the Registration Statement (as defined in Schedule 1), of: </w:t>
      </w:r>
    </w:p>
    <w:p>
      <w:pPr>
        <w:pStyle w:val="TextBody"/>
        <w:bidi w:val="0"/>
        <w:spacing w:before="120" w:after="0"/>
        <w:jc w:val="left"/>
        <w:rPr>
          <w:rFonts w:ascii="Times New Roman" w:hAnsi="Times New Roman"/>
          <w:sz w:val="20"/>
        </w:rPr>
      </w:pPr>
      <w:r>
        <w:rPr>
          <w:rFonts w:ascii="Times New Roman" w:hAnsi="Times New Roman"/>
          <w:sz w:val="20"/>
        </w:rPr>
        <w:t>1. 42,260,671 ordinary shares (the “</w:t>
      </w:r>
      <w:r>
        <w:rPr>
          <w:rFonts w:ascii="Times New Roman" w:hAnsi="Times New Roman"/>
          <w:b/>
          <w:sz w:val="20"/>
        </w:rPr>
        <w:t>Issued</w:t>
      </w:r>
      <w:r>
        <w:rPr>
          <w:rFonts w:ascii="Times New Roman" w:hAnsi="Times New Roman"/>
          <w:sz w:val="20"/>
        </w:rPr>
        <w:t xml:space="preserve"> </w:t>
      </w:r>
      <w:r>
        <w:rPr>
          <w:rFonts w:ascii="Times New Roman" w:hAnsi="Times New Roman"/>
          <w:b/>
          <w:sz w:val="20"/>
        </w:rPr>
        <w:t>Ordinary</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and, immediately prior to the Redomestication, the securities from which such Issued Ordinary Shares were converted being referred to as the “</w:t>
      </w:r>
      <w:r>
        <w:rPr>
          <w:rFonts w:ascii="Times New Roman" w:hAnsi="Times New Roman"/>
          <w:b/>
          <w:sz w:val="20"/>
        </w:rPr>
        <w:t>Delaware Common Stock</w:t>
      </w:r>
      <w:r>
        <w:rPr>
          <w:rFonts w:ascii="Times New Roman" w:hAnsi="Times New Roman"/>
          <w:sz w:val="20"/>
        </w:rPr>
        <w:t>”) with a nominal value of US$0.00001 per share in the capital of the Company (the “</w:t>
      </w:r>
      <w:r>
        <w:rPr>
          <w:rFonts w:ascii="Times New Roman" w:hAnsi="Times New Roman"/>
          <w:b/>
          <w:sz w:val="20"/>
        </w:rPr>
        <w:t>Ordinary</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 16,366,000 Ordinary Shares (the “</w:t>
      </w:r>
      <w:r>
        <w:rPr>
          <w:rFonts w:ascii="Times New Roman" w:hAnsi="Times New Roman"/>
          <w:b/>
          <w:sz w:val="20"/>
        </w:rPr>
        <w:t>Series B</w:t>
      </w:r>
      <w:r>
        <w:rPr>
          <w:rFonts w:ascii="Times New Roman" w:hAnsi="Times New Roman"/>
          <w:sz w:val="20"/>
        </w:rPr>
        <w:t xml:space="preserve"> </w:t>
      </w:r>
      <w:r>
        <w:rPr>
          <w:rFonts w:ascii="Times New Roman" w:hAnsi="Times New Roman"/>
          <w:b/>
          <w:sz w:val="20"/>
        </w:rPr>
        <w:t>Preferred Conversion Shares</w:t>
      </w:r>
      <w:r>
        <w:rPr>
          <w:rFonts w:ascii="Times New Roman" w:hAnsi="Times New Roman"/>
          <w:sz w:val="20"/>
        </w:rPr>
        <w:t>”) issuable upon conversion of 16,366 Series B Non-Voting Convertible Preferred Shares (the “</w:t>
      </w:r>
      <w:r>
        <w:rPr>
          <w:rFonts w:ascii="Times New Roman" w:hAnsi="Times New Roman"/>
          <w:b/>
          <w:sz w:val="20"/>
        </w:rPr>
        <w:t>Series B Preferred Shares</w:t>
      </w:r>
      <w:r>
        <w:rPr>
          <w:rFonts w:ascii="Times New Roman" w:hAnsi="Times New Roman"/>
          <w:sz w:val="20"/>
        </w:rPr>
        <w:t>”, and, immediately prior to the Redomestication, the securities from which such Series B Preferred Shares were converted being referred to as the “</w:t>
      </w:r>
      <w:r>
        <w:rPr>
          <w:rFonts w:ascii="Times New Roman" w:hAnsi="Times New Roman"/>
          <w:b/>
          <w:sz w:val="20"/>
        </w:rPr>
        <w:t>Delaware Series B</w:t>
      </w:r>
      <w:r>
        <w:rPr>
          <w:rFonts w:ascii="Times New Roman" w:hAnsi="Times New Roman"/>
          <w:sz w:val="20"/>
        </w:rPr>
        <w:t xml:space="preserve"> </w:t>
      </w:r>
      <w:r>
        <w:rPr>
          <w:rFonts w:ascii="Times New Roman" w:hAnsi="Times New Roman"/>
          <w:b/>
          <w:sz w:val="20"/>
        </w:rPr>
        <w:t>Preferred Stock</w:t>
      </w:r>
      <w:r>
        <w:rPr>
          <w:rFonts w:ascii="Times New Roman" w:hAnsi="Times New Roman"/>
          <w:sz w:val="20"/>
        </w:rPr>
        <w:t xml:space="preserve">”) with a nominal value of US$0.00001 per share in the capital of the Company; and </w:t>
      </w:r>
    </w:p>
    <w:p>
      <w:pPr>
        <w:pStyle w:val="TextBody"/>
        <w:bidi w:val="0"/>
        <w:spacing w:before="240" w:after="0"/>
        <w:jc w:val="left"/>
        <w:rPr>
          <w:rFonts w:ascii="Times New Roman" w:hAnsi="Times New Roman"/>
          <w:sz w:val="20"/>
        </w:rPr>
      </w:pPr>
      <w:r>
        <w:rPr>
          <w:rFonts w:ascii="Times New Roman" w:hAnsi="Times New Roman"/>
          <w:sz w:val="20"/>
        </w:rPr>
        <w:t>3. 1,722,000 Ordinary Shares (the “</w:t>
      </w:r>
      <w:r>
        <w:rPr>
          <w:rFonts w:ascii="Times New Roman" w:hAnsi="Times New Roman"/>
          <w:b/>
          <w:sz w:val="20"/>
        </w:rPr>
        <w:t>Series C Preferred Conversion Shares</w:t>
      </w:r>
      <w:r>
        <w:rPr>
          <w:rFonts w:ascii="Times New Roman" w:hAnsi="Times New Roman"/>
          <w:sz w:val="20"/>
        </w:rPr>
        <w:t>” and together with the Series B Preferred Conversion Shares, the “</w:t>
      </w:r>
      <w:r>
        <w:rPr>
          <w:rFonts w:ascii="Times New Roman" w:hAnsi="Times New Roman"/>
          <w:b/>
          <w:sz w:val="20"/>
        </w:rPr>
        <w:t>Preferred Conversion</w:t>
      </w:r>
      <w:r>
        <w:rPr>
          <w:rFonts w:ascii="Times New Roman" w:hAnsi="Times New Roman"/>
          <w:sz w:val="20"/>
        </w:rPr>
        <w:t xml:space="preserve"> Shares”) issuable upon conversion of 1,722 Series C Non-Voting Convertible Preferred Shares (the “</w:t>
      </w:r>
      <w:r>
        <w:rPr>
          <w:rFonts w:ascii="Times New Roman" w:hAnsi="Times New Roman"/>
          <w:b/>
          <w:sz w:val="20"/>
        </w:rPr>
        <w:t>Series C Preferred Shares</w:t>
      </w:r>
      <w:r>
        <w:rPr>
          <w:rFonts w:ascii="Times New Roman" w:hAnsi="Times New Roman"/>
          <w:sz w:val="20"/>
        </w:rPr>
        <w:t>”, and, immediately prior to the Redomestication, the securities from which such Series C Preferred Shares were converted being referred to as the “</w:t>
      </w:r>
      <w:r>
        <w:rPr>
          <w:rFonts w:ascii="Times New Roman" w:hAnsi="Times New Roman"/>
          <w:b/>
          <w:sz w:val="20"/>
        </w:rPr>
        <w:t>Delaware Series C Preferred Stock</w:t>
      </w:r>
      <w:r>
        <w:rPr>
          <w:rFonts w:ascii="Times New Roman" w:hAnsi="Times New Roman"/>
          <w:sz w:val="20"/>
        </w:rPr>
        <w:t>” and together with the Delaware Series B Preferred Stock the “</w:t>
      </w:r>
      <w:r>
        <w:rPr>
          <w:rFonts w:ascii="Times New Roman" w:hAnsi="Times New Roman"/>
          <w:b/>
          <w:sz w:val="20"/>
        </w:rPr>
        <w:t>Delaware Preferred Stock</w:t>
      </w:r>
      <w:r>
        <w:rPr>
          <w:rFonts w:ascii="Times New Roman" w:hAnsi="Times New Roman"/>
          <w:sz w:val="20"/>
        </w:rPr>
        <w:t xml:space="preserve">”) with a nominal value of US$0.00001 per share in the capital of the Company.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7160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371600" cy="2667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giving this opinion, we have examined and relied upon the originals or copies of the documents listed in Schedule 1. </w:t>
      </w:r>
    </w:p>
    <w:p>
      <w:pPr>
        <w:pStyle w:val="TextBody"/>
        <w:bidi w:val="0"/>
        <w:spacing w:before="240" w:after="0"/>
        <w:jc w:val="left"/>
        <w:rPr>
          <w:rFonts w:ascii="Times New Roman" w:hAnsi="Times New Roman"/>
          <w:sz w:val="20"/>
        </w:rPr>
      </w:pPr>
      <w:r>
        <w:rPr>
          <w:rFonts w:ascii="Times New Roman" w:hAnsi="Times New Roman"/>
          <w:sz w:val="20"/>
        </w:rPr>
        <w:t xml:space="preserve">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examinations and the assumptions and qualifications set out below, and having regard to legal considerations which we consider relevant, and under the laws of the Cayman Islands, we give the following opinion in relation to the matters set out below. </w:t>
      </w:r>
    </w:p>
    <w:p>
      <w:pPr>
        <w:pStyle w:val="TextBody"/>
        <w:bidi w:val="0"/>
        <w:spacing w:before="240" w:after="0"/>
        <w:jc w:val="left"/>
        <w:rPr>
          <w:rFonts w:ascii="Times New Roman" w:hAnsi="Times New Roman"/>
          <w:sz w:val="20"/>
        </w:rPr>
      </w:pPr>
      <w:r>
        <w:rPr>
          <w:rFonts w:ascii="Times New Roman" w:hAnsi="Times New Roman"/>
          <w:sz w:val="20"/>
        </w:rPr>
        <w:t>1. The Company is an exempted company registered by way of continuation with limited liability, validly existing under the laws of the Cayman Islands and in good standing with the Registrar of Companies in the Cayman Islands (the “</w:t>
      </w:r>
      <w:r>
        <w:rPr>
          <w:rFonts w:ascii="Times New Roman" w:hAnsi="Times New Roman"/>
          <w:b/>
          <w:sz w:val="20"/>
        </w:rPr>
        <w:t>Registrar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The Issued Ordinary Shares, the Series B Preferred Shares and the Series C Preferred Shares have been duly authorised by all necessary corporate action of the Company and are validly issued, fully paid and non-assessable (meaning that no additional sums may be levied on the holder thereof in respect of the shares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3. The Preferred Conversion Shares to be issued upon the conversion of the Series B Preferred Shares and the Series C Preferred Shares, respectively, have been duly authorised by all necessary corporate action of the Company and upon the issue of such Preferred Conversion Shares (by the entry of the name of the registered owner thereof in the Register of Members of the Company confirming that such Preferred Conversion Shares have been issued and credited as fully paid) in the manner contemplated by the Registration Statement (as defined in Schedule 1), such Preferred Conversion Shares will be validly issued, fully paid and non-assessable (meaning that no additional sums may be levied in respect of such Preferred Conversion Shares on the holder thereof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given based on the following assumptions. </w:t>
      </w:r>
    </w:p>
    <w:p>
      <w:pPr>
        <w:pStyle w:val="TextBody"/>
        <w:bidi w:val="0"/>
        <w:spacing w:before="240" w:after="0"/>
        <w:jc w:val="left"/>
        <w:rPr>
          <w:rFonts w:ascii="Times New Roman" w:hAnsi="Times New Roman"/>
          <w:sz w:val="20"/>
        </w:rPr>
      </w:pPr>
      <w:r>
        <w:rPr>
          <w:rFonts w:ascii="Times New Roman" w:hAnsi="Times New Roman"/>
          <w:sz w:val="20"/>
        </w:rPr>
        <w:t xml:space="preserve">1. All necessary actions were taken under the applicable U.S. laws to authorise and permit the Redomestication, and any and all consents, approvals and authorisations from the applicable U.S. governmental and regulatory authorities required to authorise and permit the Redomestication were obtained. </w:t>
      </w:r>
    </w:p>
    <w:p>
      <w:pPr>
        <w:pStyle w:val="TextBody"/>
        <w:bidi w:val="0"/>
        <w:spacing w:before="240" w:after="0"/>
        <w:jc w:val="left"/>
        <w:rPr>
          <w:rFonts w:ascii="Times New Roman" w:hAnsi="Times New Roman"/>
          <w:sz w:val="20"/>
        </w:rPr>
      </w:pPr>
      <w:r>
        <w:rPr>
          <w:rFonts w:ascii="Times New Roman" w:hAnsi="Times New Roman"/>
          <w:sz w:val="20"/>
        </w:rPr>
        <w:t xml:space="preserve">2. The laws of the Prior Jurisdiction permitted the transfer out of the Company in the manner provided in Part 12 of the Companies Act and have been fully complied with. </w:t>
      </w:r>
    </w:p>
    <w:p>
      <w:pPr>
        <w:pStyle w:val="TextBody"/>
        <w:bidi w:val="0"/>
        <w:spacing w:before="240" w:after="0"/>
        <w:jc w:val="left"/>
        <w:rPr>
          <w:rFonts w:ascii="Times New Roman" w:hAnsi="Times New Roman"/>
          <w:sz w:val="20"/>
        </w:rPr>
      </w:pPr>
      <w:r>
        <w:rPr>
          <w:rFonts w:ascii="Times New Roman" w:hAnsi="Times New Roman"/>
          <w:sz w:val="20"/>
        </w:rPr>
        <w:t xml:space="preserve">3. No provision of any law or regulation applicable in the Prior Jurisdiction (or elsewhere) was breached by virtue of the transfer by way of continuation of the Company to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4. The Delaware Common Stock and the Delaware Preferred Stock issued and outstanding immediately prior to the Redomestication were duly authorised for issuance by the Company, and were validly issued, fully paid and non-assessable under applicable U.S. laws.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71600"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1371600" cy="2667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The originals of all documents examined in connection with this opinion are authentic. The signatures, initials and seals on the Documents (as defined in Schedule 1) are genuine and are those of a person or persons given power to execute the Documents under the Resolutions (as defined in Schedule 1). All documents purporting to be sealed have been so sealed. All copies are complete and conform to their originals. The Documents conform in every material respect to the latest drafts of the same produced to us and, where provided in successive drafts, have been marked up to indicate all changes to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6. The Memorandum and Articles of Association will be the memorandum and articles of association of the Company in effect at the time of the issue of the Preferred Conversion Shares. </w:t>
      </w:r>
    </w:p>
    <w:p>
      <w:pPr>
        <w:pStyle w:val="TextBody"/>
        <w:bidi w:val="0"/>
        <w:spacing w:before="240" w:after="0"/>
        <w:jc w:val="left"/>
        <w:rPr>
          <w:rFonts w:ascii="Times New Roman" w:hAnsi="Times New Roman"/>
          <w:sz w:val="20"/>
        </w:rPr>
      </w:pPr>
      <w:r>
        <w:rPr>
          <w:rFonts w:ascii="Times New Roman" w:hAnsi="Times New Roman"/>
          <w:sz w:val="20"/>
        </w:rPr>
        <w:t xml:space="preserve">7. The Documents constitute or, when executed and delivered, will constitute the legal, valid and binding obligations of each of the parties thereto enforceable in accordance with their terms as a matter of the laws of all relevant jurisdictions (other than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8. The choice of the laws of the jurisdiction selected to govern each of the Documents has been made in good faith and will be regarded as a valid and binding selection which will be upheld in the courts of that jurisdiction and all relevant jurisdictions (other than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9. All authorisations, approvals, consents, licences and exemptions required by, and all filings and other steps required of each of the parties to the Documents outside the Cayman Islands to ensure the legality, validity and enforceability of the Documents have been or will be duly obtained, made or fulfilled and are and will remain in full force and effect and any conditions to which they are subject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10. The Company Records (as defined in Schedule 1) are complete and accurate and all matters required by law and the Memorandum and Articles of Association to be recorded therein are completely and accurately so recorded. </w:t>
      </w:r>
    </w:p>
    <w:p>
      <w:pPr>
        <w:pStyle w:val="TextBody"/>
        <w:bidi w:val="0"/>
        <w:spacing w:before="240" w:after="0"/>
        <w:jc w:val="left"/>
        <w:rPr>
          <w:rFonts w:ascii="Times New Roman" w:hAnsi="Times New Roman"/>
          <w:sz w:val="20"/>
        </w:rPr>
      </w:pPr>
      <w:r>
        <w:rPr>
          <w:rFonts w:ascii="Times New Roman" w:hAnsi="Times New Roman"/>
          <w:sz w:val="20"/>
        </w:rPr>
        <w:t xml:space="preserve">11. The accuracy and completeness of all factual representations made in the Registration Statement and all other documents reviewed by us. </w:t>
      </w:r>
    </w:p>
    <w:p>
      <w:pPr>
        <w:pStyle w:val="TextBody"/>
        <w:bidi w:val="0"/>
        <w:spacing w:before="240" w:after="0"/>
        <w:jc w:val="left"/>
        <w:rPr>
          <w:rFonts w:ascii="Times New Roman" w:hAnsi="Times New Roman"/>
          <w:sz w:val="20"/>
        </w:rPr>
      </w:pPr>
      <w:r>
        <w:rPr>
          <w:rFonts w:ascii="Times New Roman" w:hAnsi="Times New Roman"/>
          <w:sz w:val="20"/>
        </w:rPr>
        <w:t xml:space="preserve">12. The Company will receive consideration in money or money’s worth for each Preferred Conversion Share at or prior to issuance, such price in any event not being less than the stated par or nominal value of each Preferred Conversion Share. </w:t>
      </w:r>
    </w:p>
    <w:p>
      <w:pPr>
        <w:pStyle w:val="TextBody"/>
        <w:bidi w:val="0"/>
        <w:spacing w:before="240" w:after="0"/>
        <w:jc w:val="left"/>
        <w:rPr>
          <w:rFonts w:ascii="Times New Roman" w:hAnsi="Times New Roman"/>
          <w:sz w:val="20"/>
        </w:rPr>
      </w:pPr>
      <w:r>
        <w:rPr>
          <w:rFonts w:ascii="Times New Roman" w:hAnsi="Times New Roman"/>
          <w:sz w:val="20"/>
        </w:rPr>
        <w:t xml:space="preserve">13. On the date of issuance of the Preferred Conversion Shares, the Company will have sufficient authorised and unissued share capital. </w:t>
      </w:r>
    </w:p>
    <w:p>
      <w:pPr>
        <w:pStyle w:val="TextBody"/>
        <w:bidi w:val="0"/>
        <w:spacing w:before="240" w:after="0"/>
        <w:jc w:val="left"/>
        <w:rPr>
          <w:rFonts w:ascii="Times New Roman" w:hAnsi="Times New Roman"/>
          <w:sz w:val="20"/>
        </w:rPr>
      </w:pPr>
      <w:r>
        <w:rPr>
          <w:rFonts w:ascii="Times New Roman" w:hAnsi="Times New Roman"/>
          <w:sz w:val="20"/>
        </w:rPr>
        <w:t xml:space="preserve">14. The Resolutions are and shall remain in full force and effect and have not been or will not be revoked or varied.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71600"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371600" cy="2667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15. The Documents (as applicable) are within the capacity and power of, and have been or will be duly authorised, executed and delivered by, each of the parties thereto (other than the Company). </w:t>
      </w:r>
    </w:p>
    <w:p>
      <w:pPr>
        <w:pStyle w:val="TextBody"/>
        <w:bidi w:val="0"/>
        <w:spacing w:before="240" w:after="0"/>
        <w:jc w:val="left"/>
        <w:rPr>
          <w:rFonts w:ascii="Times New Roman" w:hAnsi="Times New Roman"/>
          <w:sz w:val="20"/>
        </w:rPr>
      </w:pPr>
      <w:r>
        <w:rPr>
          <w:rFonts w:ascii="Times New Roman" w:hAnsi="Times New Roman"/>
          <w:sz w:val="20"/>
        </w:rPr>
        <w:t xml:space="preserve">16. All preconditions to the issue of the Preferred Conversion Shares under the terms of the Certificates of Designation (as defined in Schedule 1) will be satisfied or duly waived prior to the issue of the Preferred Conversion Shares and there will be no breach of the terms of any of the Certificates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17. There are no provisions of the laws of any jurisdiction outside the Cayman Islands which would be contravened by the issuance and allotment of the Preferred Conversion Shares and, insofar as any obligation expressed to be incurred under any of the Documents is to be performed in or is otherwise subject to the laws of any jurisdiction outside the Cayman Islands, its performance will not be illegal by virtue of the laws of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18. There is nothing under any law (other than the laws of the Cayman Islands) which would or might affect any of the opinions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the following qualifications: </w:t>
      </w:r>
    </w:p>
    <w:p>
      <w:pPr>
        <w:pStyle w:val="TextBody"/>
        <w:bidi w:val="0"/>
        <w:spacing w:before="120" w:after="0"/>
        <w:jc w:val="left"/>
        <w:rPr>
          <w:rFonts w:ascii="Times New Roman" w:hAnsi="Times New Roman"/>
          <w:sz w:val="20"/>
        </w:rPr>
      </w:pPr>
      <w:r>
        <w:rPr>
          <w:rFonts w:ascii="Times New Roman" w:hAnsi="Times New Roman"/>
          <w:sz w:val="20"/>
        </w:rPr>
        <w:t>1. The term “</w:t>
      </w:r>
      <w:r>
        <w:rPr>
          <w:rFonts w:ascii="Times New Roman" w:hAnsi="Times New Roman"/>
          <w:b/>
          <w:sz w:val="20"/>
        </w:rPr>
        <w:t>enforceable</w:t>
      </w:r>
      <w:r>
        <w:rPr>
          <w:rFonts w:ascii="Times New Roman" w:hAnsi="Times New Roman"/>
          <w:sz w:val="20"/>
        </w:rPr>
        <w:t>” and its cognates as used in this opinion means that the obligations assumed by any party under the Documents are of a type which the courts of the Cayman Islands (the “</w:t>
      </w:r>
      <w:r>
        <w:rPr>
          <w:rFonts w:ascii="Times New Roman" w:hAnsi="Times New Roman"/>
          <w:b/>
          <w:sz w:val="20"/>
        </w:rPr>
        <w:t>Courts</w:t>
      </w:r>
      <w:r>
        <w:rPr>
          <w:rFonts w:ascii="Times New Roman" w:hAnsi="Times New Roman"/>
          <w:sz w:val="20"/>
        </w:rPr>
        <w:t>” and each a “</w:t>
      </w:r>
      <w:r>
        <w:rPr>
          <w:rFonts w:ascii="Times New Roman" w:hAnsi="Times New Roman"/>
          <w:b/>
          <w:sz w:val="20"/>
        </w:rPr>
        <w:t>Court</w:t>
      </w:r>
      <w:r>
        <w:rPr>
          <w:rFonts w:ascii="Times New Roman" w:hAnsi="Times New Roman"/>
          <w:sz w:val="20"/>
        </w:rPr>
        <w:t xml:space="preserve">”) enforce. This does not mean that those obligations will necessarily be enforced in all circumstances in accordance with their terms. In particular: </w:t>
      </w:r>
    </w:p>
    <w:p>
      <w:pPr>
        <w:pStyle w:val="TextBody"/>
        <w:bidi w:val="0"/>
        <w:spacing w:before="120" w:after="0"/>
        <w:jc w:val="left"/>
        <w:rPr>
          <w:rFonts w:ascii="Times New Roman" w:hAnsi="Times New Roman"/>
          <w:sz w:val="20"/>
        </w:rPr>
      </w:pPr>
      <w:r>
        <w:rPr>
          <w:rFonts w:ascii="Times New Roman" w:hAnsi="Times New Roman"/>
          <w:sz w:val="20"/>
        </w:rPr>
        <w:t xml:space="preserve">(a) enforcement of obligations and the priority of obligations may be limited by bankruptcy, insolvency, liquidation, restructuring, reorganisation, readjustment of debts or moratorium and other laws of general application relating to or affecting the rights of creditors or by prescription or lapse of time; </w:t>
      </w:r>
    </w:p>
    <w:p>
      <w:pPr>
        <w:pStyle w:val="TextBody"/>
        <w:bidi w:val="0"/>
        <w:spacing w:before="240" w:after="0"/>
        <w:jc w:val="left"/>
        <w:rPr>
          <w:rFonts w:ascii="Times New Roman" w:hAnsi="Times New Roman"/>
          <w:sz w:val="20"/>
        </w:rPr>
      </w:pPr>
      <w:r>
        <w:rPr>
          <w:rFonts w:ascii="Times New Roman" w:hAnsi="Times New Roman"/>
          <w:sz w:val="20"/>
        </w:rPr>
        <w:t xml:space="preserve">(b) enforcement may be limited by general principles of equity and, in particular, the availability of certain equitable remedies such as injunction or specific performance of an obligation may be limited where a Court considers damages to be an adequate remedy; </w:t>
      </w:r>
    </w:p>
    <w:p>
      <w:pPr>
        <w:pStyle w:val="TextBody"/>
        <w:bidi w:val="0"/>
        <w:spacing w:before="240" w:after="0"/>
        <w:jc w:val="left"/>
        <w:rPr>
          <w:rFonts w:ascii="Times New Roman" w:hAnsi="Times New Roman"/>
          <w:sz w:val="20"/>
        </w:rPr>
      </w:pPr>
      <w:r>
        <w:rPr>
          <w:rFonts w:ascii="Times New Roman" w:hAnsi="Times New Roman"/>
          <w:sz w:val="20"/>
        </w:rPr>
        <w:t xml:space="preserve">(c) claims may become barred under statutes of limitation or may be or become subject to defences of set-off, counterclaim, estoppel and similar defences; </w:t>
      </w:r>
    </w:p>
    <w:p>
      <w:pPr>
        <w:pStyle w:val="TextBody"/>
        <w:bidi w:val="0"/>
        <w:spacing w:before="240" w:after="0"/>
        <w:jc w:val="left"/>
        <w:rPr>
          <w:rFonts w:ascii="Times New Roman" w:hAnsi="Times New Roman"/>
          <w:sz w:val="20"/>
        </w:rPr>
      </w:pPr>
      <w:r>
        <w:rPr>
          <w:rFonts w:ascii="Times New Roman" w:hAnsi="Times New Roman"/>
          <w:sz w:val="20"/>
        </w:rPr>
        <w:t xml:space="preserve">(d) where obligations are to be performed in a jurisdiction outside the Cayman Islands, they may not be enforceable in the Cayman Islands to the extent that performance would be illegal under the laws of, or contrary to the public policy of,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a judgment of a Court may be required to be made in Cayman Islands dollars; </w:t>
      </w:r>
    </w:p>
    <w:p>
      <w:pPr>
        <w:pStyle w:val="TextBody"/>
        <w:bidi w:val="0"/>
        <w:spacing w:before="240" w:after="0"/>
        <w:jc w:val="left"/>
        <w:rPr>
          <w:rFonts w:ascii="Times New Roman" w:hAnsi="Times New Roman"/>
          <w:sz w:val="20"/>
        </w:rPr>
      </w:pPr>
      <w:r>
        <w:rPr>
          <w:rFonts w:ascii="Times New Roman" w:hAnsi="Times New Roman"/>
          <w:sz w:val="20"/>
        </w:rPr>
        <w:t xml:space="preserve">(f) to the extent that any provision of the Documents is adjudicated to be penal in nature, it will not be enforceable in the Courts; in particular, the enforceability of any provision of the Documents that is adjudicated to constitute a secondary obligation which imposes a detriment on the contract-breaker out of all proportion to any legitimate interest of the innocent party in the enforcement of the primary obligation may be limited;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91285" cy="2711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1391285" cy="2711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 to the extent that the performance of any obligation arising under the Documents would be fraudulent or contrary to public policy, it will not be enforceable in the Courts; </w:t>
      </w:r>
    </w:p>
    <w:p>
      <w:pPr>
        <w:pStyle w:val="TextBody"/>
        <w:bidi w:val="0"/>
        <w:spacing w:before="240" w:after="0"/>
        <w:jc w:val="left"/>
        <w:rPr>
          <w:rFonts w:ascii="Times New Roman" w:hAnsi="Times New Roman"/>
          <w:sz w:val="20"/>
        </w:rPr>
      </w:pPr>
      <w:r>
        <w:rPr>
          <w:rFonts w:ascii="Times New Roman" w:hAnsi="Times New Roman"/>
          <w:sz w:val="20"/>
        </w:rPr>
        <w:t xml:space="preserve">(h) in the case of an insolvent liquidation of the Company, its liabilities are required to be translated into the functional currency of the Company (being the currency of the primary economic environment in which it operated as at the commencement of the liquidation) at the exchange rates prevailing on the date of commencement of the voluntary liquidation or the day on which the winding up order is made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 a Court will not necessarily award costs in litigation in accordance with contractual provisions in this regard; and </w:t>
      </w:r>
    </w:p>
    <w:p>
      <w:pPr>
        <w:pStyle w:val="TextBody"/>
        <w:bidi w:val="0"/>
        <w:spacing w:before="240" w:after="0"/>
        <w:jc w:val="left"/>
        <w:rPr>
          <w:rFonts w:ascii="Times New Roman" w:hAnsi="Times New Roman"/>
          <w:sz w:val="20"/>
        </w:rPr>
      </w:pPr>
      <w:r>
        <w:rPr>
          <w:rFonts w:ascii="Times New Roman" w:hAnsi="Times New Roman"/>
          <w:sz w:val="20"/>
        </w:rPr>
        <w:t xml:space="preserve">(j) the effectiveness of terms in the Documents excusing any party from a liability or duty otherwise owed or indemnifying that party from the consequences of incurring such liability or breaching such duty shall be construed in accordance with, and shall be limited by, applicable law, including generally applicable rules and principles of common law and equity. </w:t>
      </w:r>
    </w:p>
    <w:p>
      <w:pPr>
        <w:pStyle w:val="TextBody"/>
        <w:bidi w:val="0"/>
        <w:spacing w:before="240" w:after="0"/>
        <w:jc w:val="left"/>
        <w:rPr>
          <w:rFonts w:ascii="Times New Roman" w:hAnsi="Times New Roman"/>
          <w:sz w:val="20"/>
        </w:rPr>
      </w:pPr>
      <w:r>
        <w:rPr>
          <w:rFonts w:ascii="Times New Roman" w:hAnsi="Times New Roman"/>
          <w:sz w:val="20"/>
        </w:rPr>
        <w:t xml:space="preserve">2. We have relied upon the statements and representations of directors, officers and other representatives of the Company as to factual matters. </w:t>
      </w:r>
    </w:p>
    <w:p>
      <w:pPr>
        <w:pStyle w:val="TextBody"/>
        <w:bidi w:val="0"/>
        <w:spacing w:before="240" w:after="0"/>
        <w:jc w:val="left"/>
        <w:rPr>
          <w:rFonts w:ascii="Times New Roman" w:hAnsi="Times New Roman"/>
          <w:sz w:val="20"/>
        </w:rPr>
      </w:pPr>
      <w:r>
        <w:rPr>
          <w:rFonts w:ascii="Times New Roman" w:hAnsi="Times New Roman"/>
          <w:sz w:val="20"/>
        </w:rPr>
        <w:t xml:space="preserve">3. Our opinion as to good standing is based solely upon receipt of the Certificate of Good Standing (as defined in Schedule 1) issued by the Registrar. The Company shall be deemed to be in good standing under section 200A of the Companies Act on the date of issue of the certificate if all fees and penalties under the Companies Act have been paid and the Registrar has no knowledge that the Company is in default under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other than persons entitled to rely upon it pursuant to the provisions of the Securities Act, without our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shall be construed in accordance with the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of this opinion as an exhibit to the Registration Statement and further consent to all references to us in the Registration Statement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Yours faithfully </w:t>
      </w:r>
    </w:p>
    <w:p>
      <w:pPr>
        <w:pStyle w:val="TextBody"/>
        <w:bidi w:val="0"/>
        <w:spacing w:before="240" w:after="0"/>
        <w:jc w:val="left"/>
        <w:rPr>
          <w:rFonts w:ascii="Times New Roman" w:hAnsi="Times New Roman"/>
          <w:sz w:val="20"/>
        </w:rPr>
      </w:pPr>
      <w:r>
        <w:rPr>
          <w:rFonts w:ascii="Times New Roman" w:hAnsi="Times New Roman"/>
          <w:sz w:val="20"/>
        </w:rPr>
        <w:t xml:space="preserve">/s/ Walkers (Cayman) LLP </w:t>
      </w:r>
    </w:p>
    <w:p>
      <w:pPr>
        <w:pStyle w:val="TextBody"/>
        <w:bidi w:val="0"/>
        <w:spacing w:before="240" w:after="0"/>
        <w:jc w:val="left"/>
        <w:rPr>
          <w:rFonts w:ascii="Times New Roman" w:hAnsi="Times New Roman"/>
          <w:b/>
          <w:sz w:val="20"/>
        </w:rPr>
      </w:pPr>
      <w:r>
        <w:rPr>
          <w:rFonts w:ascii="Times New Roman" w:hAnsi="Times New Roman"/>
          <w:b/>
          <w:sz w:val="20"/>
        </w:rPr>
        <w:t xml:space="preserve">WALKERS (CAYMAN) LLP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71600" cy="266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1371600" cy="2667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SCHEDULE 1</w:t>
      </w:r>
    </w:p>
    <w:p>
      <w:pPr>
        <w:pStyle w:val="TextBody"/>
        <w:bidi w:val="0"/>
        <w:spacing w:before="120" w:after="0"/>
        <w:jc w:val="center"/>
        <w:rPr>
          <w:rFonts w:ascii="Times New Roman" w:hAnsi="Times New Roman"/>
          <w:b/>
          <w:sz w:val="20"/>
        </w:rPr>
      </w:pPr>
      <w:r>
        <w:rPr>
          <w:rFonts w:ascii="Times New Roman" w:hAnsi="Times New Roman"/>
          <w:b/>
          <w:sz w:val="20"/>
        </w:rPr>
        <w:t xml:space="preserve">LIST OF DOCUMENTS EXAMINED </w:t>
      </w:r>
    </w:p>
    <w:p>
      <w:pPr>
        <w:pStyle w:val="TextBody"/>
        <w:bidi w:val="0"/>
        <w:spacing w:before="240" w:after="0"/>
        <w:jc w:val="left"/>
        <w:rPr>
          <w:rFonts w:ascii="Times New Roman" w:hAnsi="Times New Roman"/>
          <w:sz w:val="20"/>
        </w:rPr>
      </w:pPr>
      <w:r>
        <w:rPr>
          <w:rFonts w:ascii="Times New Roman" w:hAnsi="Times New Roman"/>
          <w:sz w:val="20"/>
        </w:rPr>
        <w:t>1. The Certificate of Registration By Way of Continuation of the Company dated 16 July 2026, the Memorandum and Articles of Association of the Company adopted by special resolution on 9 February 2026 and effective as of 16 July 2026 (the “</w:t>
      </w:r>
      <w:r>
        <w:rPr>
          <w:rFonts w:ascii="Times New Roman" w:hAnsi="Times New Roman"/>
          <w:b/>
          <w:sz w:val="20"/>
        </w:rPr>
        <w:t>Memorandum and Articles of Association</w:t>
      </w:r>
      <w:r>
        <w:rPr>
          <w:rFonts w:ascii="Times New Roman" w:hAnsi="Times New Roman"/>
          <w:sz w:val="20"/>
        </w:rPr>
        <w:t>”), the Register of Members dated 6 August 2026 and each of the Register of Directors, Register of Officers and Register of Mortgages and Charges of the Company (together, the “</w:t>
      </w:r>
      <w:r>
        <w:rPr>
          <w:rFonts w:ascii="Times New Roman" w:hAnsi="Times New Roman"/>
          <w:b/>
          <w:sz w:val="20"/>
        </w:rPr>
        <w:t>Company Records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The Cayman Online Registry Information System (CORIS), the Cayman Islands’ General Registry’s online database, searched on 7 August 2026. </w:t>
      </w:r>
    </w:p>
    <w:p>
      <w:pPr>
        <w:pStyle w:val="TextBody"/>
        <w:bidi w:val="0"/>
        <w:spacing w:before="240" w:after="0"/>
        <w:jc w:val="left"/>
        <w:rPr>
          <w:rFonts w:ascii="Times New Roman" w:hAnsi="Times New Roman"/>
          <w:sz w:val="20"/>
        </w:rPr>
      </w:pPr>
      <w:r>
        <w:rPr>
          <w:rFonts w:ascii="Times New Roman" w:hAnsi="Times New Roman"/>
          <w:sz w:val="20"/>
        </w:rPr>
        <w:t>3. A Certificate of Good Standing dated 7 August 2026 in respect of the Company issued by the Registrar (the “</w:t>
      </w:r>
      <w:r>
        <w:rPr>
          <w:rFonts w:ascii="Times New Roman" w:hAnsi="Times New Roman"/>
          <w:b/>
          <w:sz w:val="20"/>
        </w:rPr>
        <w:t>Certificate of Good 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Copies of the resolutions of the Board of Directors of the Company approving, among other things, the entry into the Documents, including, without limitation, copies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6 August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16 July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6 February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13 December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minutes of a meeting of the Board of Directors of the Company held on 7 November 2025, </w:t>
            </w:r>
          </w:p>
        </w:tc>
      </w:tr>
    </w:tbl>
    <w:p>
      <w:pPr>
        <w:pStyle w:val="TextBody"/>
        <w:bidi w:val="0"/>
        <w:spacing w:before="120" w:after="0"/>
        <w:jc w:val="left"/>
        <w:rPr>
          <w:rFonts w:ascii="Times New Roman" w:hAnsi="Times New Roman"/>
          <w:sz w:val="20"/>
        </w:rPr>
      </w:pPr>
      <w:r>
        <w:rPr>
          <w:rFonts w:ascii="Times New Roman" w:hAnsi="Times New Roman"/>
          <w:sz w:val="20"/>
        </w:rPr>
        <w:t>(altogether, the “</w:t>
      </w:r>
      <w:r>
        <w:rPr>
          <w:rFonts w:ascii="Times New Roman" w:hAnsi="Times New Roman"/>
          <w:b/>
          <w:sz w:val="20"/>
        </w:rPr>
        <w:t>Resolutions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5. Copies of the following documents (the “</w:t>
      </w:r>
      <w:r>
        <w:rPr>
          <w:rFonts w:ascii="Times New Roman" w:hAnsi="Times New Roman"/>
          <w:b/>
          <w:sz w:val="20"/>
        </w:rPr>
        <w:t>Documents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Registration Statement on Form S-3 (No. 333-292175), initially filed by the Company with the United States Securities and Exchange Commission on 16 December 2025, and the amendments thereto, including the Post-Effective Amendment No. 1 (collectively, the “</w:t>
            </w:r>
            <w:r>
              <w:rPr>
                <w:rFonts w:ascii="Times New Roman" w:hAnsi="Times New Roman"/>
                <w:b/>
                <w:sz w:val="20"/>
              </w:rPr>
              <w:t>Registration Statement</w:t>
            </w:r>
            <w:r>
              <w:rPr>
                <w:rFonts w:ascii="Times New Roman" w:hAnsi="Times New Roman"/>
                <w:sz w:val="20"/>
              </w:rPr>
              <w:t xml:space="preserve">”); and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71600" cy="266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1371600" cy="2667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Certificates of Designation of Preferences, Rights and Limitations of the Series B Non-Voting Convertible Preferred Shares and Series C Non-Voting Convertible Preferred Shares each dated 16 July 2026 (the “</w:t>
            </w:r>
            <w:r>
              <w:rPr>
                <w:rFonts w:ascii="Times New Roman" w:hAnsi="Times New Roman"/>
                <w:b/>
                <w:sz w:val="20"/>
              </w:rPr>
              <w:t>Certificates of Designation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p>
    <w:p>
      <w:pPr>
        <w:pStyle w:val="TextBody"/>
        <w:bidi w:val="0"/>
        <w:spacing w:before="0" w:after="0"/>
        <w:jc w:val="right"/>
        <w:rPr>
          <w:rFonts w:ascii="Times New Roman" w:hAnsi="Times New Roman"/>
          <w:b/>
          <w:sz w:val="20"/>
        </w:rPr>
      </w:pPr>
      <w:bookmarkStart w:id="5" w:name="d157378dex232.htm"/>
      <w:bookmarkStart w:id="6" w:name="ksd157378dex232"/>
      <w:bookmarkEnd w:id="5"/>
      <w:bookmarkEnd w:id="6"/>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Post-Effective Amendment No. 1 to the Registration Statement (Form S-3 No. 333-292175) and related Prospectus of Damora Therapeutics, Inc. for the registration of its ordinary shares and to the incorporation by reference therein of our report dated March 19, 2026, with respect to the consolidated financial statements of Damora Therapeutics, Inc.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EY Godkendt Revisionspartnerselskab </w:t>
      </w:r>
    </w:p>
    <w:p>
      <w:pPr>
        <w:pStyle w:val="TextBody"/>
        <w:bidi w:val="0"/>
        <w:spacing w:before="240" w:after="0"/>
        <w:jc w:val="left"/>
        <w:rPr>
          <w:rFonts w:ascii="Times New Roman" w:hAnsi="Times New Roman"/>
          <w:sz w:val="20"/>
        </w:rPr>
      </w:pPr>
      <w:r>
        <w:rPr>
          <w:rFonts w:ascii="Times New Roman" w:hAnsi="Times New Roman"/>
          <w:sz w:val="20"/>
        </w:rPr>
        <w:t xml:space="preserve">Copenhagen, Denmark </w:t>
      </w:r>
    </w:p>
    <w:p>
      <w:pPr>
        <w:pStyle w:val="TextBody"/>
        <w:bidi w:val="0"/>
        <w:spacing w:before="0" w:after="0"/>
        <w:jc w:val="left"/>
        <w:rPr>
          <w:rFonts w:ascii="Times New Roman" w:hAnsi="Times New Roman"/>
          <w:sz w:val="20"/>
        </w:rPr>
      </w:pPr>
      <w:r>
        <w:rPr>
          <w:rFonts w:ascii="Times New Roman" w:hAnsi="Times New Roman"/>
          <w:sz w:val="20"/>
        </w:rPr>
        <w:t xml:space="preserve">August 10,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0315/000119312526308899/dmra-ex2_1.htm" TargetMode="External"/><Relationship Id="rId3" Type="http://schemas.openxmlformats.org/officeDocument/2006/relationships/hyperlink" Target="http://www.sec.gov/Archives/edgar/data/1800315/000119312526308899/dmra-ex3_1.htm" TargetMode="External"/><Relationship Id="rId4" Type="http://schemas.openxmlformats.org/officeDocument/2006/relationships/hyperlink" Target="http://www.sec.gov/Archives/edgar/data/1800315/000119312526308899/dmra-ex3_2.htm" TargetMode="External"/><Relationship Id="rId5" Type="http://schemas.openxmlformats.org/officeDocument/2006/relationships/hyperlink" Target="http://www.sec.gov/Archives/edgar/data/1800315/000119312526308899/dmra-ex3_3.htm" TargetMode="External"/><Relationship Id="rId6" Type="http://schemas.openxmlformats.org/officeDocument/2006/relationships/hyperlink" Target="http://www.sec.gov/Archives/edgar/data/1800315/000119312526308899/dmra-ex3_4.htm" TargetMode="External"/><Relationship Id="rId7" Type="http://schemas.openxmlformats.org/officeDocument/2006/relationships/hyperlink" Target="http://www.sec.gov/Archives/edgar/data/1800315/000119312525273342/d53983dex102.htm" TargetMode="External"/><Relationship Id="rId8" Type="http://schemas.openxmlformats.org/officeDocument/2006/relationships/hyperlink" Target="http://www.sec.gov/Archives/edgar/data/1800315/000119312526308899/dmra-ex10_1.htm" TargetMode="External"/><Relationship Id="rId9" Type="http://schemas.openxmlformats.org/officeDocument/2006/relationships/hyperlink" Target="http://www.sec.gov/Archives/edgar/data/../../../ix?doc=/Archives/edgar/data/1800315/000119312525321093/d60916dexfilingfees.htm" TargetMode="External"/><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6636</Words>
  <Characters>35615</Characters>
  <CharactersWithSpaces>42331</CharactersWithSpaces>
  <Paragraphs>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